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18FAD" w14:textId="361DD21F" w:rsidR="009926C9" w:rsidRDefault="00BA4BC7" w:rsidP="00DC2447">
      <w:pPr>
        <w:tabs>
          <w:tab w:val="center" w:pos="4513"/>
          <w:tab w:val="right" w:pos="9026"/>
        </w:tabs>
        <w:jc w:val="center"/>
        <w:rPr>
          <w:rFonts w:ascii="Arial" w:hAnsi="Arial" w:cs="Arial"/>
          <w:b/>
          <w:bCs/>
          <w:sz w:val="24"/>
          <w:u w:val="single"/>
        </w:rPr>
      </w:pPr>
      <w:r>
        <w:rPr>
          <w:rFonts w:ascii="Arial" w:hAnsi="Arial" w:cs="Arial"/>
          <w:b/>
          <w:bCs/>
          <w:sz w:val="24"/>
          <w:u w:val="single"/>
        </w:rPr>
        <w:t xml:space="preserve">Switching to </w:t>
      </w:r>
      <w:r w:rsidR="003A0D11">
        <w:rPr>
          <w:rFonts w:ascii="Arial" w:hAnsi="Arial" w:cs="Arial"/>
          <w:b/>
          <w:bCs/>
          <w:sz w:val="24"/>
          <w:u w:val="single"/>
        </w:rPr>
        <w:t>Sitagliptin for adults with Type 2 Diabetes Mellitus (T2DM)</w:t>
      </w:r>
      <w:r w:rsidR="00852687">
        <w:rPr>
          <w:rFonts w:ascii="Arial" w:hAnsi="Arial" w:cs="Arial"/>
          <w:b/>
          <w:bCs/>
          <w:sz w:val="24"/>
          <w:u w:val="single"/>
        </w:rPr>
        <w:t xml:space="preserve">, </w:t>
      </w:r>
      <w:r w:rsidR="00EE3D37">
        <w:rPr>
          <w:rFonts w:ascii="Arial" w:hAnsi="Arial" w:cs="Arial"/>
          <w:b/>
          <w:bCs/>
          <w:sz w:val="24"/>
          <w:u w:val="single"/>
        </w:rPr>
        <w:t>v</w:t>
      </w:r>
      <w:r w:rsidR="00DC2447">
        <w:rPr>
          <w:rFonts w:ascii="Arial" w:hAnsi="Arial" w:cs="Arial"/>
          <w:b/>
          <w:bCs/>
          <w:sz w:val="24"/>
          <w:u w:val="single"/>
        </w:rPr>
        <w:t>ersion 2</w:t>
      </w:r>
      <w:r w:rsidR="00852687">
        <w:rPr>
          <w:rFonts w:ascii="Arial" w:hAnsi="Arial" w:cs="Arial"/>
          <w:b/>
          <w:bCs/>
          <w:sz w:val="24"/>
          <w:u w:val="single"/>
        </w:rPr>
        <w:t xml:space="preserve">- </w:t>
      </w:r>
      <w:r w:rsidR="00DC2447">
        <w:rPr>
          <w:rFonts w:ascii="Arial" w:hAnsi="Arial" w:cs="Arial"/>
          <w:b/>
          <w:bCs/>
          <w:sz w:val="24"/>
          <w:u w:val="single"/>
        </w:rPr>
        <w:t xml:space="preserve"> updated February 2026</w:t>
      </w:r>
    </w:p>
    <w:p w14:paraId="3D05EA4E" w14:textId="7FC39CD8" w:rsidR="00852F58" w:rsidRPr="00046A4C" w:rsidRDefault="0028247D" w:rsidP="00046A4C">
      <w:pPr>
        <w:spacing w:line="240" w:lineRule="auto"/>
        <w:rPr>
          <w:rFonts w:ascii="Arial" w:eastAsia="Times New Roman" w:hAnsi="Arial" w:cs="Arial"/>
          <w:b/>
          <w:u w:val="single"/>
          <w:lang w:eastAsia="en-GB"/>
        </w:rPr>
      </w:pPr>
      <w:r w:rsidRPr="00852F58">
        <w:rPr>
          <w:rFonts w:ascii="Arial" w:eastAsia="Times New Roman" w:hAnsi="Arial" w:cs="Arial"/>
          <w:b/>
          <w:u w:val="single"/>
          <w:lang w:eastAsia="en-GB"/>
        </w:rPr>
        <w:t>Background</w:t>
      </w:r>
    </w:p>
    <w:p w14:paraId="7603E932" w14:textId="0139F987" w:rsidR="00047ABA" w:rsidRPr="002B12FC" w:rsidRDefault="00F779C1" w:rsidP="003A0D11">
      <w:pPr>
        <w:pStyle w:val="ListParagraph"/>
        <w:numPr>
          <w:ilvl w:val="0"/>
          <w:numId w:val="16"/>
        </w:numPr>
        <w:spacing w:after="0"/>
        <w:rPr>
          <w:rFonts w:ascii="Arial" w:eastAsia="Times New Roman" w:hAnsi="Arial" w:cs="Arial"/>
          <w:bCs/>
          <w:sz w:val="20"/>
          <w:szCs w:val="20"/>
          <w:lang w:eastAsia="en-GB"/>
        </w:rPr>
      </w:pPr>
      <w:r w:rsidRPr="002B12FC">
        <w:rPr>
          <w:rFonts w:ascii="Arial" w:eastAsia="Times New Roman" w:hAnsi="Arial" w:cs="Arial"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A6BC47E" wp14:editId="728087ED">
                <wp:simplePos x="0" y="0"/>
                <wp:positionH relativeFrom="margin">
                  <wp:align>right</wp:align>
                </wp:positionH>
                <wp:positionV relativeFrom="paragraph">
                  <wp:posOffset>380131</wp:posOffset>
                </wp:positionV>
                <wp:extent cx="6177915" cy="950595"/>
                <wp:effectExtent l="0" t="0" r="0" b="19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7915" cy="950976"/>
                        </a:xfrm>
                        <a:prstGeom prst="rect">
                          <a:avLst/>
                        </a:prstGeom>
                        <a:ln w="12700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540D2F" w14:textId="77777777" w:rsidR="00F779C1" w:rsidRPr="002B12FC" w:rsidRDefault="00F779C1" w:rsidP="003A0D11">
                            <w:pPr>
                              <w:tabs>
                                <w:tab w:val="center" w:pos="4513"/>
                                <w:tab w:val="right" w:pos="9026"/>
                              </w:tabs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B12FC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First choice</w:t>
                            </w:r>
                            <w:r w:rsidRPr="002B12F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– sitagliptin </w:t>
                            </w:r>
                          </w:p>
                          <w:p w14:paraId="1A8A8EEE" w14:textId="77777777" w:rsidR="00F779C1" w:rsidRPr="002B12FC" w:rsidRDefault="00F779C1" w:rsidP="003A0D11">
                            <w:pPr>
                              <w:tabs>
                                <w:tab w:val="center" w:pos="4513"/>
                                <w:tab w:val="right" w:pos="9026"/>
                              </w:tabs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B12FC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Second choice</w:t>
                            </w:r>
                            <w:r w:rsidRPr="002B12F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– linagliptin – preferred for the following patients:</w:t>
                            </w:r>
                          </w:p>
                          <w:p w14:paraId="509A058B" w14:textId="4B3DDE18" w:rsidR="00F779C1" w:rsidRDefault="00F779C1" w:rsidP="003A0D11">
                            <w:pPr>
                              <w:pStyle w:val="ListParagraph"/>
                              <w:numPr>
                                <w:ilvl w:val="1"/>
                                <w:numId w:val="7"/>
                              </w:numPr>
                              <w:tabs>
                                <w:tab w:val="center" w:pos="4513"/>
                                <w:tab w:val="right" w:pos="9026"/>
                              </w:tabs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B12F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Patients with severely impaired renal function (eGFR &lt; </w:t>
                            </w:r>
                            <w:r w:rsidR="005E21B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15</w:t>
                            </w:r>
                            <w:r w:rsidRPr="002B12F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ml/min/1.73 m</w:t>
                            </w:r>
                            <w:r w:rsidRPr="002B12FC">
                              <w:rPr>
                                <w:rFonts w:ascii="Arial" w:hAnsi="Arial" w:cs="Arial"/>
                                <w:sz w:val="20"/>
                                <w:szCs w:val="20"/>
                                <w:vertAlign w:val="superscript"/>
                              </w:rPr>
                              <w:t>2</w:t>
                            </w:r>
                            <w:r w:rsidRPr="002B12F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) including patients whose eGFR is expected to be &lt;</w:t>
                            </w:r>
                            <w:r w:rsidR="005E21B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15</w:t>
                            </w:r>
                            <w:r w:rsidRPr="002B12F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ml/min/1.73 m</w:t>
                            </w:r>
                            <w:r w:rsidRPr="002B12FC">
                              <w:rPr>
                                <w:rFonts w:ascii="Arial" w:hAnsi="Arial" w:cs="Arial"/>
                                <w:sz w:val="20"/>
                                <w:szCs w:val="20"/>
                                <w:vertAlign w:val="superscript"/>
                              </w:rPr>
                              <w:t>2</w:t>
                            </w:r>
                            <w:r w:rsidRPr="002B12F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within a year.  </w:t>
                            </w:r>
                          </w:p>
                          <w:p w14:paraId="2B8C08D9" w14:textId="2D27E8BC" w:rsidR="005E21B3" w:rsidRPr="002B12FC" w:rsidRDefault="005E21B3" w:rsidP="003A0D11">
                            <w:pPr>
                              <w:pStyle w:val="ListParagraph"/>
                              <w:numPr>
                                <w:ilvl w:val="1"/>
                                <w:numId w:val="7"/>
                              </w:numPr>
                              <w:tabs>
                                <w:tab w:val="center" w:pos="4513"/>
                                <w:tab w:val="right" w:pos="9026"/>
                              </w:tabs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Patients on dialysis or chronic kidney disease stage 5</w:t>
                            </w:r>
                          </w:p>
                          <w:p w14:paraId="3280789E" w14:textId="77777777" w:rsidR="00F779C1" w:rsidRPr="002B12FC" w:rsidRDefault="00F779C1" w:rsidP="003A0D11">
                            <w:pPr>
                              <w:tabs>
                                <w:tab w:val="center" w:pos="4513"/>
                                <w:tab w:val="right" w:pos="9026"/>
                              </w:tabs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5BED429C" w14:textId="483EDCE5" w:rsidR="00F779C1" w:rsidRDefault="00F779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6BC4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5.25pt;margin-top:29.95pt;width:486.45pt;height:74.8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" fillcolor="white [3201]" stroked="f" strokeweight="1pt">
                <v:textbox>
                  <w:txbxContent>
                    <w:p w14:paraId="13540D2F" w14:textId="77777777" w:rsidR="00F779C1" w:rsidRPr="002B12FC" w:rsidRDefault="00F779C1" w:rsidP="003A0D11">
                      <w:pPr>
                        <w:tabs>
                          <w:tab w:val="center" w:pos="4513"/>
                          <w:tab w:val="right" w:pos="9026"/>
                        </w:tabs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B12FC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First choice</w:t>
                      </w:r>
                      <w:r w:rsidRPr="002B12F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– sitagliptin </w:t>
                      </w:r>
                    </w:p>
                    <w:p w14:paraId="1A8A8EEE" w14:textId="77777777" w:rsidR="00F779C1" w:rsidRPr="002B12FC" w:rsidRDefault="00F779C1" w:rsidP="003A0D11">
                      <w:pPr>
                        <w:tabs>
                          <w:tab w:val="center" w:pos="4513"/>
                          <w:tab w:val="right" w:pos="9026"/>
                        </w:tabs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B12FC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Second choice</w:t>
                      </w:r>
                      <w:r w:rsidRPr="002B12F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– linagliptin – preferred for the following patients:</w:t>
                      </w:r>
                    </w:p>
                    <w:p w14:paraId="509A058B" w14:textId="4B3DDE18" w:rsidR="00F779C1" w:rsidRDefault="00F779C1" w:rsidP="003A0D11">
                      <w:pPr>
                        <w:pStyle w:val="ListParagraph"/>
                        <w:numPr>
                          <w:ilvl w:val="1"/>
                          <w:numId w:val="7"/>
                        </w:numPr>
                        <w:tabs>
                          <w:tab w:val="center" w:pos="4513"/>
                          <w:tab w:val="right" w:pos="9026"/>
                        </w:tabs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B12F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Patients with severely impaired renal function (eGFR &lt; </w:t>
                      </w:r>
                      <w:r w:rsidR="005E21B3">
                        <w:rPr>
                          <w:rFonts w:ascii="Arial" w:hAnsi="Arial" w:cs="Arial"/>
                          <w:sz w:val="20"/>
                          <w:szCs w:val="20"/>
                        </w:rPr>
                        <w:t>15</w:t>
                      </w:r>
                      <w:r w:rsidRPr="002B12F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ml/min/1.73 m</w:t>
                      </w:r>
                      <w:r w:rsidRPr="002B12FC">
                        <w:rPr>
                          <w:rFonts w:ascii="Arial" w:hAnsi="Arial" w:cs="Arial"/>
                          <w:sz w:val="20"/>
                          <w:szCs w:val="20"/>
                          <w:vertAlign w:val="superscript"/>
                        </w:rPr>
                        <w:t>2</w:t>
                      </w:r>
                      <w:r w:rsidRPr="002B12FC">
                        <w:rPr>
                          <w:rFonts w:ascii="Arial" w:hAnsi="Arial" w:cs="Arial"/>
                          <w:sz w:val="20"/>
                          <w:szCs w:val="20"/>
                        </w:rPr>
                        <w:t>) including patients whose eGFR is expected to be &lt;</w:t>
                      </w:r>
                      <w:r w:rsidR="005E21B3">
                        <w:rPr>
                          <w:rFonts w:ascii="Arial" w:hAnsi="Arial" w:cs="Arial"/>
                          <w:sz w:val="20"/>
                          <w:szCs w:val="20"/>
                        </w:rPr>
                        <w:t>15</w:t>
                      </w:r>
                      <w:r w:rsidRPr="002B12F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ml/min/1.73 m</w:t>
                      </w:r>
                      <w:r w:rsidRPr="002B12FC">
                        <w:rPr>
                          <w:rFonts w:ascii="Arial" w:hAnsi="Arial" w:cs="Arial"/>
                          <w:sz w:val="20"/>
                          <w:szCs w:val="20"/>
                          <w:vertAlign w:val="superscript"/>
                        </w:rPr>
                        <w:t>2</w:t>
                      </w:r>
                      <w:r w:rsidRPr="002B12F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within a year.  </w:t>
                      </w:r>
                    </w:p>
                    <w:p w14:paraId="2B8C08D9" w14:textId="2D27E8BC" w:rsidR="005E21B3" w:rsidRPr="002B12FC" w:rsidRDefault="005E21B3" w:rsidP="003A0D11">
                      <w:pPr>
                        <w:pStyle w:val="ListParagraph"/>
                        <w:numPr>
                          <w:ilvl w:val="1"/>
                          <w:numId w:val="7"/>
                        </w:numPr>
                        <w:tabs>
                          <w:tab w:val="center" w:pos="4513"/>
                          <w:tab w:val="right" w:pos="9026"/>
                        </w:tabs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Patients on dialysis or chronic kidney disease stage 5</w:t>
                      </w:r>
                    </w:p>
                    <w:p w14:paraId="3280789E" w14:textId="77777777" w:rsidR="00F779C1" w:rsidRPr="002B12FC" w:rsidRDefault="00F779C1" w:rsidP="003A0D11">
                      <w:pPr>
                        <w:tabs>
                          <w:tab w:val="center" w:pos="4513"/>
                          <w:tab w:val="right" w:pos="9026"/>
                        </w:tabs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5BED429C" w14:textId="483EDCE5" w:rsidR="00F779C1" w:rsidRDefault="00F779C1"/>
                  </w:txbxContent>
                </v:textbox>
                <w10:wrap type="square" anchorx="margin"/>
              </v:shape>
            </w:pict>
          </mc:Fallback>
        </mc:AlternateContent>
      </w:r>
      <w:r w:rsidR="00744403"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In </w:t>
      </w:r>
      <w:r w:rsidR="00AC2F12">
        <w:rPr>
          <w:rFonts w:ascii="Arial" w:eastAsia="Times New Roman" w:hAnsi="Arial" w:cs="Arial"/>
          <w:bCs/>
          <w:sz w:val="20"/>
          <w:szCs w:val="20"/>
          <w:lang w:eastAsia="en-GB"/>
        </w:rPr>
        <w:t>December 2025</w:t>
      </w:r>
      <w:r w:rsidR="00744403"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>, the</w:t>
      </w:r>
      <w:r w:rsidR="00047ABA"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 </w:t>
      </w:r>
      <w:r w:rsidR="00744403"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following recommendations on DPP-4 inhibitor choice were agreed by </w:t>
      </w:r>
      <w:r w:rsidR="003A0D11"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the </w:t>
      </w:r>
      <w:r w:rsidR="00047ABA"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Hertfordshire </w:t>
      </w:r>
      <w:r w:rsidR="00744403"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>and West Essex Area Prescribing Committee</w:t>
      </w:r>
      <w:r w:rsidR="003A0D11"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 (HWE APC)</w:t>
      </w:r>
      <w:r w:rsidR="00744403"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>:</w:t>
      </w:r>
    </w:p>
    <w:p w14:paraId="2E5C7CFD" w14:textId="2425001B" w:rsidR="002B12FC" w:rsidRPr="002B12FC" w:rsidRDefault="00F779C1" w:rsidP="002B12FC">
      <w:pPr>
        <w:pStyle w:val="ListParagraph"/>
        <w:numPr>
          <w:ilvl w:val="0"/>
          <w:numId w:val="16"/>
        </w:numPr>
        <w:tabs>
          <w:tab w:val="center" w:pos="4513"/>
          <w:tab w:val="right" w:pos="9026"/>
        </w:tabs>
        <w:spacing w:after="0" w:line="240" w:lineRule="auto"/>
        <w:rPr>
          <w:sz w:val="20"/>
          <w:szCs w:val="20"/>
        </w:rPr>
      </w:pPr>
      <w:r w:rsidRPr="002B12FC">
        <w:rPr>
          <w:rFonts w:ascii="Arial" w:hAnsi="Arial" w:cs="Arial"/>
          <w:sz w:val="20"/>
          <w:szCs w:val="20"/>
        </w:rPr>
        <w:t xml:space="preserve">A DPP-4 inhibitor </w:t>
      </w:r>
      <w:r w:rsidR="00046A4C">
        <w:rPr>
          <w:rFonts w:ascii="Arial" w:hAnsi="Arial" w:cs="Arial"/>
          <w:sz w:val="20"/>
          <w:szCs w:val="20"/>
        </w:rPr>
        <w:t>comparison</w:t>
      </w:r>
      <w:r w:rsidRPr="002B12FC">
        <w:rPr>
          <w:rFonts w:ascii="Arial" w:hAnsi="Arial" w:cs="Arial"/>
          <w:sz w:val="20"/>
          <w:szCs w:val="20"/>
        </w:rPr>
        <w:t xml:space="preserve"> document can be found at the following </w:t>
      </w:r>
      <w:hyperlink r:id="rId8" w:history="1">
        <w:r w:rsidRPr="002B12FC">
          <w:rPr>
            <w:rStyle w:val="Hyperlink"/>
            <w:rFonts w:ascii="Arial" w:hAnsi="Arial" w:cs="Arial"/>
            <w:sz w:val="20"/>
            <w:szCs w:val="20"/>
          </w:rPr>
          <w:t>link</w:t>
        </w:r>
      </w:hyperlink>
    </w:p>
    <w:p w14:paraId="10D471E0" w14:textId="77777777" w:rsidR="00F779C1" w:rsidRDefault="00F779C1" w:rsidP="009926C9">
      <w:pPr>
        <w:spacing w:after="0" w:line="240" w:lineRule="auto"/>
        <w:rPr>
          <w:rFonts w:ascii="Arial" w:eastAsia="Times New Roman" w:hAnsi="Arial" w:cs="Arial"/>
          <w:b/>
          <w:u w:val="single"/>
          <w:lang w:eastAsia="en-GB"/>
        </w:rPr>
      </w:pPr>
    </w:p>
    <w:p w14:paraId="714B417F" w14:textId="08ED8E70" w:rsidR="0036440C" w:rsidRPr="003A0D11" w:rsidRDefault="003A0D11" w:rsidP="003A0D11">
      <w:pPr>
        <w:spacing w:line="240" w:lineRule="auto"/>
        <w:rPr>
          <w:rFonts w:ascii="Arial" w:eastAsia="Times New Roman" w:hAnsi="Arial" w:cs="Arial"/>
          <w:b/>
          <w:u w:val="single"/>
          <w:lang w:eastAsia="en-GB"/>
        </w:rPr>
      </w:pPr>
      <w:r>
        <w:rPr>
          <w:rFonts w:ascii="Arial" w:eastAsia="Times New Roman" w:hAnsi="Arial" w:cs="Arial"/>
          <w:b/>
          <w:u w:val="single"/>
          <w:lang w:eastAsia="en-GB"/>
        </w:rPr>
        <w:t>Switch guidance</w:t>
      </w:r>
    </w:p>
    <w:p w14:paraId="7A7ABF92" w14:textId="1EF2FA27" w:rsidR="00852F58" w:rsidRDefault="009926C9" w:rsidP="003A0D11">
      <w:pPr>
        <w:pStyle w:val="ListParagraph"/>
        <w:numPr>
          <w:ilvl w:val="0"/>
          <w:numId w:val="18"/>
        </w:numPr>
        <w:spacing w:after="0"/>
        <w:rPr>
          <w:rFonts w:ascii="Arial" w:eastAsia="Times New Roman" w:hAnsi="Arial" w:cs="Arial"/>
          <w:bCs/>
          <w:sz w:val="20"/>
          <w:szCs w:val="20"/>
          <w:lang w:eastAsia="en-GB"/>
        </w:rPr>
      </w:pPr>
      <w:r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>Existing patients currently prescribed other DPP-4 inhibitors (excluding generic sitagliptin) should be considered for a switch to sitagliptin</w:t>
      </w:r>
      <w:r w:rsidR="0036440C"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 following assessment against the inclusion/exclusion criteria</w:t>
      </w:r>
      <w:r w:rsidR="003F7C66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 below</w:t>
      </w:r>
      <w:r w:rsidR="00852F58"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>.</w:t>
      </w:r>
    </w:p>
    <w:p w14:paraId="6A737B63" w14:textId="1B6EA819" w:rsidR="00046A4C" w:rsidRPr="00046A4C" w:rsidRDefault="00046A4C" w:rsidP="00046A4C">
      <w:pPr>
        <w:pStyle w:val="ListParagraph"/>
        <w:numPr>
          <w:ilvl w:val="0"/>
          <w:numId w:val="18"/>
        </w:numPr>
        <w:spacing w:after="0"/>
        <w:rPr>
          <w:rFonts w:ascii="Arial" w:eastAsia="Times New Roman" w:hAnsi="Arial" w:cs="Arial"/>
          <w:bCs/>
          <w:sz w:val="20"/>
          <w:szCs w:val="20"/>
          <w:lang w:eastAsia="en-GB"/>
        </w:rPr>
      </w:pPr>
      <w:r>
        <w:rPr>
          <w:rFonts w:ascii="Arial" w:eastAsia="Times New Roman" w:hAnsi="Arial" w:cs="Arial"/>
          <w:bCs/>
          <w:sz w:val="20"/>
          <w:szCs w:val="20"/>
          <w:lang w:eastAsia="en-GB"/>
        </w:rPr>
        <w:t>All p</w:t>
      </w:r>
      <w:r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>atients currently prescribed branded Januvia®</w:t>
      </w:r>
      <w:r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 </w:t>
      </w:r>
      <w:r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>should be switched to generic sitagliptin.</w:t>
      </w:r>
    </w:p>
    <w:p w14:paraId="2547A4E9" w14:textId="5EF8E54A" w:rsidR="009926C9" w:rsidRDefault="0036440C" w:rsidP="003A0D11">
      <w:pPr>
        <w:pStyle w:val="ListParagraph"/>
        <w:numPr>
          <w:ilvl w:val="0"/>
          <w:numId w:val="18"/>
        </w:numPr>
        <w:spacing w:after="0"/>
        <w:rPr>
          <w:rFonts w:ascii="Arial" w:eastAsia="Times New Roman" w:hAnsi="Arial" w:cs="Arial"/>
          <w:bCs/>
          <w:sz w:val="20"/>
          <w:szCs w:val="20"/>
          <w:lang w:eastAsia="en-GB"/>
        </w:rPr>
      </w:pPr>
      <w:r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The </w:t>
      </w:r>
      <w:r w:rsidR="00176F30"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>most recent eGFR measurement</w:t>
      </w:r>
      <w:r w:rsidR="00852F58"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 </w:t>
      </w:r>
      <w:r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should be used to determine the </w:t>
      </w:r>
      <w:r w:rsidR="00046A4C">
        <w:rPr>
          <w:rFonts w:ascii="Arial" w:eastAsia="Times New Roman" w:hAnsi="Arial" w:cs="Arial"/>
          <w:bCs/>
          <w:sz w:val="20"/>
          <w:szCs w:val="20"/>
          <w:lang w:eastAsia="en-GB"/>
        </w:rPr>
        <w:t>correct</w:t>
      </w:r>
      <w:r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 dose</w:t>
      </w:r>
      <w:r w:rsidR="0055742B"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 of sitagliptin</w:t>
      </w:r>
      <w:r w:rsidR="003A0D11"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 (see table below)</w:t>
      </w:r>
      <w:r w:rsidR="00852F58"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. </w:t>
      </w:r>
      <w:r w:rsidR="00BA4BC7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Patients with T2DM </w:t>
      </w:r>
      <w:r w:rsidR="00BA4BC7" w:rsidRPr="00BA4BC7">
        <w:rPr>
          <w:rFonts w:ascii="Arial" w:eastAsia="Times New Roman" w:hAnsi="Arial" w:cs="Arial"/>
          <w:bCs/>
          <w:sz w:val="20"/>
          <w:szCs w:val="20"/>
          <w:lang w:eastAsia="en-GB"/>
        </w:rPr>
        <w:t>should have their renal function measured at least annually</w:t>
      </w:r>
      <w:r w:rsidR="00BA4BC7">
        <w:rPr>
          <w:rFonts w:ascii="Arial" w:eastAsia="Times New Roman" w:hAnsi="Arial" w:cs="Arial"/>
          <w:bCs/>
          <w:sz w:val="20"/>
          <w:szCs w:val="20"/>
          <w:lang w:eastAsia="en-GB"/>
        </w:rPr>
        <w:t>.</w:t>
      </w:r>
      <w:r w:rsidR="00BA4BC7" w:rsidRPr="00BA4BC7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 </w:t>
      </w:r>
      <w:r w:rsidR="00384AC1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Where </w:t>
      </w:r>
      <w:r w:rsidR="00BA4BC7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a </w:t>
      </w:r>
      <w:r w:rsidR="00384AC1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patient </w:t>
      </w:r>
      <w:r w:rsidR="00BA4BC7">
        <w:rPr>
          <w:rFonts w:ascii="Arial" w:eastAsia="Times New Roman" w:hAnsi="Arial" w:cs="Arial"/>
          <w:bCs/>
          <w:sz w:val="20"/>
          <w:szCs w:val="20"/>
          <w:lang w:eastAsia="en-GB"/>
        </w:rPr>
        <w:t>has</w:t>
      </w:r>
      <w:r w:rsidR="00384AC1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 not had </w:t>
      </w:r>
      <w:r w:rsidR="00BA4BC7">
        <w:rPr>
          <w:rFonts w:ascii="Arial" w:eastAsia="Times New Roman" w:hAnsi="Arial" w:cs="Arial"/>
          <w:bCs/>
          <w:sz w:val="20"/>
          <w:szCs w:val="20"/>
          <w:lang w:eastAsia="en-GB"/>
        </w:rPr>
        <w:t>their renal function measured within the last year</w:t>
      </w:r>
      <w:r w:rsidR="00384AC1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, this should be </w:t>
      </w:r>
      <w:proofErr w:type="gramStart"/>
      <w:r w:rsidR="00457326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requested </w:t>
      </w:r>
      <w:r w:rsidR="00E47723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 (</w:t>
      </w:r>
      <w:proofErr w:type="gramEnd"/>
      <w:r w:rsidR="00E47723">
        <w:rPr>
          <w:rFonts w:ascii="Arial" w:eastAsia="Times New Roman" w:hAnsi="Arial" w:cs="Arial"/>
          <w:bCs/>
          <w:sz w:val="20"/>
          <w:szCs w:val="20"/>
          <w:lang w:eastAsia="en-GB"/>
        </w:rPr>
        <w:t>and this will also inform the switch).</w:t>
      </w:r>
    </w:p>
    <w:p w14:paraId="59BF30AF" w14:textId="77777777" w:rsidR="00C01040" w:rsidRPr="00C01040" w:rsidRDefault="00C01040" w:rsidP="00C01040">
      <w:pPr>
        <w:pStyle w:val="ListParagraph"/>
        <w:numPr>
          <w:ilvl w:val="0"/>
          <w:numId w:val="1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en-GB"/>
        </w:rPr>
      </w:pPr>
      <w:r w:rsidRPr="00C01040">
        <w:rPr>
          <w:rFonts w:ascii="Arial" w:eastAsia="Times New Roman" w:hAnsi="Arial" w:cs="Arial"/>
          <w:bCs/>
          <w:sz w:val="20"/>
          <w:szCs w:val="20"/>
          <w:lang w:eastAsia="en-GB"/>
        </w:rPr>
        <w:t>Local nephrology specialists have requested patients on dialysis or with chronic kidney disease stage 5 should be prescribed linagliptin, as sitagliptin is removed by dialysis and is therefore not the preferred treatment for this group of patients.</w:t>
      </w:r>
    </w:p>
    <w:p w14:paraId="3E74ECA9" w14:textId="69A1DB9E" w:rsidR="002B12FC" w:rsidRPr="002B12FC" w:rsidRDefault="002B12FC" w:rsidP="002B12FC">
      <w:pPr>
        <w:pStyle w:val="ListParagraph"/>
        <w:numPr>
          <w:ilvl w:val="0"/>
          <w:numId w:val="18"/>
        </w:numPr>
        <w:spacing w:after="0"/>
        <w:rPr>
          <w:rFonts w:ascii="Arial" w:eastAsia="Times New Roman" w:hAnsi="Arial" w:cs="Arial"/>
          <w:bCs/>
          <w:sz w:val="20"/>
          <w:szCs w:val="20"/>
          <w:lang w:eastAsia="en-GB"/>
        </w:rPr>
      </w:pPr>
      <w:r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Patients who have been switched from other DPP-4 inhibitors to sitagliptin should be informed using the following </w:t>
      </w:r>
      <w:hyperlink r:id="rId9" w:history="1">
        <w:r w:rsidRPr="00FF644E">
          <w:rPr>
            <w:rStyle w:val="Hyperlink"/>
            <w:rFonts w:ascii="Arial" w:eastAsia="Times New Roman" w:hAnsi="Arial" w:cs="Arial"/>
            <w:bCs/>
            <w:sz w:val="20"/>
            <w:szCs w:val="20"/>
            <w:lang w:eastAsia="en-GB"/>
          </w:rPr>
          <w:t>patient letter.</w:t>
        </w:r>
      </w:hyperlink>
    </w:p>
    <w:p w14:paraId="36F5AA00" w14:textId="77777777" w:rsidR="009926C9" w:rsidRDefault="009926C9" w:rsidP="008F6297">
      <w:pPr>
        <w:tabs>
          <w:tab w:val="center" w:pos="4513"/>
          <w:tab w:val="right" w:pos="9026"/>
        </w:tabs>
        <w:spacing w:after="0" w:line="240" w:lineRule="auto"/>
        <w:jc w:val="both"/>
        <w:rPr>
          <w:b/>
        </w:rPr>
      </w:pPr>
    </w:p>
    <w:p w14:paraId="03F85C60" w14:textId="77777777" w:rsidR="009926C9" w:rsidRPr="002B12FC" w:rsidRDefault="009926C9" w:rsidP="003A0D11">
      <w:pPr>
        <w:spacing w:after="0"/>
        <w:rPr>
          <w:rFonts w:ascii="Arial" w:eastAsia="Times New Roman" w:hAnsi="Arial" w:cs="Arial"/>
          <w:b/>
          <w:sz w:val="20"/>
          <w:szCs w:val="20"/>
          <w:lang w:eastAsia="en-GB"/>
        </w:rPr>
      </w:pPr>
      <w:r w:rsidRPr="002B12FC">
        <w:rPr>
          <w:rFonts w:ascii="Arial" w:eastAsia="Times New Roman" w:hAnsi="Arial" w:cs="Arial"/>
          <w:b/>
          <w:sz w:val="20"/>
          <w:szCs w:val="20"/>
          <w:lang w:eastAsia="en-GB"/>
        </w:rPr>
        <w:t>Inclusion criteria</w:t>
      </w:r>
    </w:p>
    <w:p w14:paraId="69FC8259" w14:textId="77870C74" w:rsidR="009926C9" w:rsidRPr="002B12FC" w:rsidRDefault="009926C9" w:rsidP="003A0D11">
      <w:pPr>
        <w:spacing w:after="0"/>
        <w:rPr>
          <w:rFonts w:ascii="Arial" w:eastAsia="Times New Roman" w:hAnsi="Arial" w:cs="Arial"/>
          <w:bCs/>
          <w:sz w:val="20"/>
          <w:szCs w:val="20"/>
          <w:lang w:eastAsia="en-GB"/>
        </w:rPr>
      </w:pPr>
      <w:r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Patients aged 18 years and older currently being prescribed alogliptin (Vipidia®), linagliptin (Trajenta®), saxagliptin (Onglyza®), vildagliptin (Galvus®) </w:t>
      </w:r>
      <w:r w:rsidR="00AC53C6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and </w:t>
      </w:r>
      <w:r w:rsidR="00AC53C6"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>branded sitagliptin</w:t>
      </w:r>
      <w:r w:rsidR="0026418A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 (</w:t>
      </w:r>
      <w:r w:rsidR="0026418A"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>Januvia®</w:t>
      </w:r>
      <w:r w:rsidR="0026418A">
        <w:rPr>
          <w:rFonts w:ascii="Arial" w:eastAsia="Times New Roman" w:hAnsi="Arial" w:cs="Arial"/>
          <w:bCs/>
          <w:sz w:val="20"/>
          <w:szCs w:val="20"/>
          <w:lang w:eastAsia="en-GB"/>
        </w:rPr>
        <w:t>)</w:t>
      </w:r>
      <w:r w:rsidR="00AC53C6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 </w:t>
      </w:r>
      <w:r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for the treatment of </w:t>
      </w:r>
      <w:r w:rsidR="00176F30"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>T2DM.</w:t>
      </w:r>
    </w:p>
    <w:p w14:paraId="1721885F" w14:textId="77777777" w:rsidR="009926C9" w:rsidRDefault="009926C9" w:rsidP="009926C9">
      <w:pPr>
        <w:spacing w:after="0" w:line="240" w:lineRule="auto"/>
        <w:rPr>
          <w:rFonts w:ascii="Arial" w:eastAsia="Times New Roman" w:hAnsi="Arial" w:cs="Arial"/>
          <w:bCs/>
          <w:lang w:eastAsia="en-GB"/>
        </w:rPr>
      </w:pPr>
    </w:p>
    <w:p w14:paraId="7C795789" w14:textId="77777777" w:rsidR="009926C9" w:rsidRPr="002B12FC" w:rsidRDefault="009926C9" w:rsidP="003A0D11">
      <w:pPr>
        <w:spacing w:after="0"/>
        <w:rPr>
          <w:rFonts w:ascii="Arial" w:eastAsia="Times New Roman" w:hAnsi="Arial" w:cs="Arial"/>
          <w:b/>
          <w:sz w:val="20"/>
          <w:szCs w:val="20"/>
          <w:lang w:eastAsia="en-GB"/>
        </w:rPr>
      </w:pPr>
      <w:r w:rsidRPr="002B12FC">
        <w:rPr>
          <w:rFonts w:ascii="Arial" w:eastAsia="Times New Roman" w:hAnsi="Arial" w:cs="Arial"/>
          <w:b/>
          <w:sz w:val="20"/>
          <w:szCs w:val="20"/>
          <w:lang w:eastAsia="en-GB"/>
        </w:rPr>
        <w:t>Exclusion criteria</w:t>
      </w:r>
    </w:p>
    <w:p w14:paraId="282CF02D" w14:textId="2FDBFEF9" w:rsidR="009926C9" w:rsidRPr="002B12FC" w:rsidRDefault="009926C9" w:rsidP="003A0D11">
      <w:pPr>
        <w:pStyle w:val="ListParagraph"/>
        <w:numPr>
          <w:ilvl w:val="0"/>
          <w:numId w:val="15"/>
        </w:numPr>
        <w:spacing w:after="0"/>
        <w:rPr>
          <w:rFonts w:ascii="Arial" w:eastAsia="Times New Roman" w:hAnsi="Arial" w:cs="Arial"/>
          <w:bCs/>
          <w:sz w:val="20"/>
          <w:szCs w:val="20"/>
          <w:lang w:eastAsia="en-GB"/>
        </w:rPr>
      </w:pPr>
      <w:r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Previous intolerance to sitagliptin or any of the excipients listed in the </w:t>
      </w:r>
      <w:hyperlink r:id="rId10" w:history="1">
        <w:r w:rsidRPr="00BA4BC7">
          <w:rPr>
            <w:rStyle w:val="Hyperlink"/>
            <w:rFonts w:ascii="Arial" w:eastAsia="Times New Roman" w:hAnsi="Arial" w:cs="Arial"/>
            <w:bCs/>
            <w:sz w:val="20"/>
            <w:szCs w:val="20"/>
            <w:lang w:eastAsia="en-GB"/>
          </w:rPr>
          <w:t>SPC</w:t>
        </w:r>
      </w:hyperlink>
    </w:p>
    <w:p w14:paraId="3FDFD9AF" w14:textId="3574CD5E" w:rsidR="009B522B" w:rsidRPr="002B12FC" w:rsidRDefault="009B522B" w:rsidP="003A0D11">
      <w:pPr>
        <w:pStyle w:val="ListParagraph"/>
        <w:numPr>
          <w:ilvl w:val="0"/>
          <w:numId w:val="15"/>
        </w:numPr>
        <w:spacing w:after="0"/>
        <w:rPr>
          <w:rFonts w:ascii="Arial" w:eastAsia="Times New Roman" w:hAnsi="Arial" w:cs="Arial"/>
          <w:bCs/>
          <w:sz w:val="20"/>
          <w:szCs w:val="20"/>
          <w:lang w:eastAsia="en-GB"/>
        </w:rPr>
      </w:pPr>
      <w:r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>Previous treatment failure with sitagliptin</w:t>
      </w:r>
    </w:p>
    <w:p w14:paraId="567D6339" w14:textId="6E183928" w:rsidR="0036440C" w:rsidRPr="002B12FC" w:rsidRDefault="0036440C" w:rsidP="003A0D11">
      <w:pPr>
        <w:pStyle w:val="ListParagraph"/>
        <w:numPr>
          <w:ilvl w:val="0"/>
          <w:numId w:val="15"/>
        </w:numPr>
        <w:tabs>
          <w:tab w:val="center" w:pos="4513"/>
          <w:tab w:val="right" w:pos="9026"/>
        </w:tabs>
        <w:spacing w:after="0"/>
        <w:rPr>
          <w:rFonts w:ascii="Arial" w:hAnsi="Arial" w:cs="Arial"/>
          <w:sz w:val="20"/>
          <w:szCs w:val="20"/>
        </w:rPr>
      </w:pPr>
      <w:r w:rsidRPr="002B12FC">
        <w:rPr>
          <w:rFonts w:ascii="Arial" w:hAnsi="Arial" w:cs="Arial"/>
          <w:sz w:val="20"/>
          <w:szCs w:val="20"/>
        </w:rPr>
        <w:t>Patients with severely impaired renal function (eGFR &lt;</w:t>
      </w:r>
      <w:r w:rsidR="005E21B3">
        <w:rPr>
          <w:rFonts w:ascii="Arial" w:hAnsi="Arial" w:cs="Arial"/>
          <w:sz w:val="20"/>
          <w:szCs w:val="20"/>
        </w:rPr>
        <w:t>15</w:t>
      </w:r>
      <w:r w:rsidRPr="002B12FC">
        <w:rPr>
          <w:rFonts w:ascii="Arial" w:hAnsi="Arial" w:cs="Arial"/>
          <w:sz w:val="20"/>
          <w:szCs w:val="20"/>
        </w:rPr>
        <w:t xml:space="preserve"> ml/min/1.73 m</w:t>
      </w:r>
      <w:r w:rsidRPr="002B12FC">
        <w:rPr>
          <w:rFonts w:ascii="Arial" w:hAnsi="Arial" w:cs="Arial"/>
          <w:sz w:val="20"/>
          <w:szCs w:val="20"/>
          <w:vertAlign w:val="superscript"/>
        </w:rPr>
        <w:t>2</w:t>
      </w:r>
      <w:r w:rsidRPr="002B12FC">
        <w:rPr>
          <w:rFonts w:ascii="Arial" w:hAnsi="Arial" w:cs="Arial"/>
          <w:sz w:val="20"/>
          <w:szCs w:val="20"/>
        </w:rPr>
        <w:t>) including patients whose eGFR is expected to be &lt;</w:t>
      </w:r>
      <w:r w:rsidR="005E21B3">
        <w:rPr>
          <w:rFonts w:ascii="Arial" w:hAnsi="Arial" w:cs="Arial"/>
          <w:sz w:val="20"/>
          <w:szCs w:val="20"/>
        </w:rPr>
        <w:t>15</w:t>
      </w:r>
      <w:r w:rsidRPr="002B12FC">
        <w:rPr>
          <w:rFonts w:ascii="Arial" w:hAnsi="Arial" w:cs="Arial"/>
          <w:sz w:val="20"/>
          <w:szCs w:val="20"/>
        </w:rPr>
        <w:t xml:space="preserve"> ml/min/1.73 m</w:t>
      </w:r>
      <w:r w:rsidRPr="002B12FC">
        <w:rPr>
          <w:rFonts w:ascii="Arial" w:hAnsi="Arial" w:cs="Arial"/>
          <w:sz w:val="20"/>
          <w:szCs w:val="20"/>
          <w:vertAlign w:val="superscript"/>
        </w:rPr>
        <w:t>2</w:t>
      </w:r>
      <w:r w:rsidRPr="002B12FC">
        <w:rPr>
          <w:rFonts w:ascii="Arial" w:hAnsi="Arial" w:cs="Arial"/>
          <w:sz w:val="20"/>
          <w:szCs w:val="20"/>
        </w:rPr>
        <w:t xml:space="preserve"> </w:t>
      </w:r>
      <w:r w:rsidR="00D364AB">
        <w:rPr>
          <w:rFonts w:ascii="Arial" w:hAnsi="Arial" w:cs="Arial"/>
          <w:sz w:val="20"/>
          <w:szCs w:val="20"/>
        </w:rPr>
        <w:t>before</w:t>
      </w:r>
      <w:r w:rsidR="00852F58" w:rsidRPr="002B12FC">
        <w:rPr>
          <w:rFonts w:ascii="Arial" w:hAnsi="Arial" w:cs="Arial"/>
          <w:sz w:val="20"/>
          <w:szCs w:val="20"/>
        </w:rPr>
        <w:t xml:space="preserve"> their next annual diabetes review</w:t>
      </w:r>
      <w:r w:rsidRPr="002B12FC">
        <w:rPr>
          <w:rFonts w:ascii="Arial" w:hAnsi="Arial" w:cs="Arial"/>
          <w:sz w:val="20"/>
          <w:szCs w:val="20"/>
        </w:rPr>
        <w:t xml:space="preserve">  </w:t>
      </w:r>
    </w:p>
    <w:p w14:paraId="2141945C" w14:textId="0CEDD9F9" w:rsidR="00484BEB" w:rsidRPr="002B12FC" w:rsidRDefault="00484BEB" w:rsidP="003A0D11">
      <w:pPr>
        <w:pStyle w:val="ListParagraph"/>
        <w:numPr>
          <w:ilvl w:val="0"/>
          <w:numId w:val="15"/>
        </w:numPr>
        <w:spacing w:after="0"/>
        <w:rPr>
          <w:rFonts w:ascii="Arial" w:eastAsia="Times New Roman" w:hAnsi="Arial" w:cs="Arial"/>
          <w:bCs/>
          <w:sz w:val="20"/>
          <w:szCs w:val="20"/>
          <w:lang w:eastAsia="en-GB"/>
        </w:rPr>
      </w:pPr>
      <w:r w:rsidRPr="002B12FC">
        <w:rPr>
          <w:rFonts w:ascii="Arial" w:eastAsia="Times New Roman" w:hAnsi="Arial" w:cs="Arial"/>
          <w:bCs/>
          <w:sz w:val="20"/>
          <w:szCs w:val="20"/>
          <w:lang w:eastAsia="en-GB"/>
        </w:rPr>
        <w:t>Patients who have severe hepatic impairment (Child-Pugh score &gt; 9)</w:t>
      </w:r>
    </w:p>
    <w:p w14:paraId="321774C7" w14:textId="77777777" w:rsidR="009926C9" w:rsidRDefault="009926C9" w:rsidP="009926C9">
      <w:pPr>
        <w:spacing w:after="0" w:line="240" w:lineRule="auto"/>
        <w:rPr>
          <w:rFonts w:ascii="Arial" w:eastAsia="Times New Roman" w:hAnsi="Arial" w:cs="Arial"/>
          <w:b/>
          <w:lang w:eastAsia="en-GB"/>
        </w:rPr>
      </w:pPr>
    </w:p>
    <w:p w14:paraId="7FBE1ECE" w14:textId="032237F7" w:rsidR="009926C9" w:rsidRPr="002B12FC" w:rsidRDefault="008405FB" w:rsidP="003A0D11">
      <w:pPr>
        <w:spacing w:line="240" w:lineRule="auto"/>
        <w:rPr>
          <w:rFonts w:ascii="Arial" w:eastAsia="Times New Roman" w:hAnsi="Arial" w:cs="Arial"/>
          <w:b/>
          <w:sz w:val="20"/>
          <w:szCs w:val="20"/>
          <w:lang w:eastAsia="en-GB"/>
        </w:rPr>
      </w:pPr>
      <w:r w:rsidRPr="002B12FC">
        <w:rPr>
          <w:rFonts w:ascii="Arial" w:eastAsia="Times New Roman" w:hAnsi="Arial" w:cs="Arial"/>
          <w:b/>
          <w:sz w:val="20"/>
          <w:szCs w:val="20"/>
          <w:lang w:eastAsia="en-GB"/>
        </w:rPr>
        <w:t>Recommended d</w:t>
      </w:r>
      <w:r w:rsidR="009926C9" w:rsidRPr="002B12FC">
        <w:rPr>
          <w:rFonts w:ascii="Arial" w:eastAsia="Times New Roman" w:hAnsi="Arial" w:cs="Arial"/>
          <w:b/>
          <w:sz w:val="20"/>
          <w:szCs w:val="20"/>
          <w:lang w:eastAsia="en-GB"/>
        </w:rPr>
        <w:t>oses</w:t>
      </w:r>
      <w:r w:rsidRPr="002B12FC">
        <w:rPr>
          <w:rFonts w:ascii="Arial" w:eastAsia="Times New Roman" w:hAnsi="Arial" w:cs="Arial"/>
          <w:b/>
          <w:sz w:val="20"/>
          <w:szCs w:val="20"/>
          <w:lang w:eastAsia="en-GB"/>
        </w:rPr>
        <w:t xml:space="preserve"> of sitagliptin</w:t>
      </w:r>
      <w:r w:rsidR="00852F58" w:rsidRPr="002B12FC">
        <w:rPr>
          <w:rFonts w:ascii="Arial" w:eastAsia="Times New Roman" w:hAnsi="Arial" w:cs="Arial"/>
          <w:b/>
          <w:sz w:val="20"/>
          <w:szCs w:val="20"/>
          <w:lang w:eastAsia="en-GB"/>
        </w:rPr>
        <w:t xml:space="preserve"> based on eGFR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972"/>
        <w:gridCol w:w="6804"/>
      </w:tblGrid>
      <w:tr w:rsidR="008405FB" w:rsidRPr="002B12FC" w14:paraId="07EAC00B" w14:textId="77777777" w:rsidTr="00DD44DC">
        <w:tc>
          <w:tcPr>
            <w:tcW w:w="2972" w:type="dxa"/>
            <w:vAlign w:val="center"/>
          </w:tcPr>
          <w:p w14:paraId="3BB0C39D" w14:textId="77777777" w:rsidR="008405FB" w:rsidRPr="002B12FC" w:rsidRDefault="008405FB" w:rsidP="003A0D11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B12FC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eGFR (mL/minute/1.73 m</w:t>
            </w:r>
            <w:r w:rsidRPr="002B12FC">
              <w:rPr>
                <w:rFonts w:ascii="Arial" w:eastAsia="Times New Roman" w:hAnsi="Arial" w:cs="Arial"/>
                <w:b/>
                <w:sz w:val="20"/>
                <w:szCs w:val="20"/>
                <w:vertAlign w:val="superscript"/>
                <w:lang w:eastAsia="en-GB"/>
              </w:rPr>
              <w:t>2</w:t>
            </w:r>
            <w:r w:rsidRPr="002B12FC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6804" w:type="dxa"/>
            <w:vAlign w:val="center"/>
          </w:tcPr>
          <w:p w14:paraId="133C35DB" w14:textId="77777777" w:rsidR="008405FB" w:rsidRPr="002B12FC" w:rsidRDefault="008405FB" w:rsidP="003A0D11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B12FC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Dose</w:t>
            </w:r>
          </w:p>
        </w:tc>
      </w:tr>
      <w:tr w:rsidR="008405FB" w:rsidRPr="002B12FC" w14:paraId="084566B1" w14:textId="77777777" w:rsidTr="00DD44DC">
        <w:trPr>
          <w:trHeight w:val="253"/>
        </w:trPr>
        <w:tc>
          <w:tcPr>
            <w:tcW w:w="2972" w:type="dxa"/>
            <w:vAlign w:val="center"/>
          </w:tcPr>
          <w:p w14:paraId="01805F83" w14:textId="1C7BAB78" w:rsidR="008405FB" w:rsidRPr="002B12FC" w:rsidRDefault="008405FB" w:rsidP="003A0D11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pPr>
            <w:r w:rsidRPr="002B12FC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≥ 45</w:t>
            </w:r>
          </w:p>
        </w:tc>
        <w:tc>
          <w:tcPr>
            <w:tcW w:w="6804" w:type="dxa"/>
            <w:vAlign w:val="center"/>
          </w:tcPr>
          <w:p w14:paraId="15B628BC" w14:textId="283A0098" w:rsidR="008405FB" w:rsidRPr="002B12FC" w:rsidRDefault="008405FB" w:rsidP="003A0D11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pPr>
            <w:r w:rsidRPr="002B12FC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100mg once daily</w:t>
            </w:r>
          </w:p>
        </w:tc>
      </w:tr>
      <w:tr w:rsidR="008405FB" w:rsidRPr="002B12FC" w14:paraId="331AF81B" w14:textId="77777777" w:rsidTr="00DD44DC">
        <w:trPr>
          <w:trHeight w:val="253"/>
        </w:trPr>
        <w:tc>
          <w:tcPr>
            <w:tcW w:w="2972" w:type="dxa"/>
            <w:vAlign w:val="center"/>
          </w:tcPr>
          <w:p w14:paraId="6E042C03" w14:textId="2F7ED852" w:rsidR="008405FB" w:rsidRPr="002B12FC" w:rsidRDefault="008405FB" w:rsidP="003A0D11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pPr>
            <w:r w:rsidRPr="002B12FC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≥ 30 to &lt; 45</w:t>
            </w:r>
          </w:p>
        </w:tc>
        <w:tc>
          <w:tcPr>
            <w:tcW w:w="6804" w:type="dxa"/>
            <w:vAlign w:val="center"/>
          </w:tcPr>
          <w:p w14:paraId="31194FE6" w14:textId="2002DD07" w:rsidR="008405FB" w:rsidRPr="002B12FC" w:rsidRDefault="008405FB" w:rsidP="003A0D11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pPr>
            <w:r w:rsidRPr="002B12FC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50mg once daily</w:t>
            </w:r>
          </w:p>
        </w:tc>
      </w:tr>
      <w:tr w:rsidR="005E21B3" w:rsidRPr="002B12FC" w14:paraId="2BA3E44B" w14:textId="77777777" w:rsidTr="00DD44DC">
        <w:trPr>
          <w:trHeight w:val="253"/>
        </w:trPr>
        <w:tc>
          <w:tcPr>
            <w:tcW w:w="2972" w:type="dxa"/>
            <w:vAlign w:val="center"/>
          </w:tcPr>
          <w:p w14:paraId="15E711D9" w14:textId="5FCCEADC" w:rsidR="005E21B3" w:rsidRPr="002B12FC" w:rsidRDefault="005E21B3" w:rsidP="003A0D11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pPr>
            <w:r w:rsidRPr="002B12FC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≥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15</w:t>
            </w:r>
            <w:r w:rsidRPr="002B12FC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to &lt;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6804" w:type="dxa"/>
            <w:vAlign w:val="center"/>
          </w:tcPr>
          <w:p w14:paraId="5CA47185" w14:textId="1B35A45B" w:rsidR="005E21B3" w:rsidRPr="002B12FC" w:rsidRDefault="005E21B3" w:rsidP="003A0D11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25mg once daily </w:t>
            </w:r>
          </w:p>
        </w:tc>
      </w:tr>
      <w:tr w:rsidR="008405FB" w:rsidRPr="002B12FC" w14:paraId="09D291C0" w14:textId="77777777" w:rsidTr="00DD44DC">
        <w:trPr>
          <w:trHeight w:val="253"/>
        </w:trPr>
        <w:tc>
          <w:tcPr>
            <w:tcW w:w="2972" w:type="dxa"/>
            <w:shd w:val="clear" w:color="auto" w:fill="F2DBDB" w:themeFill="accent2" w:themeFillTint="33"/>
            <w:vAlign w:val="center"/>
          </w:tcPr>
          <w:p w14:paraId="5B255297" w14:textId="524E77B6" w:rsidR="008405FB" w:rsidRPr="002B12FC" w:rsidRDefault="008405FB" w:rsidP="003A0D11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pPr>
            <w:r w:rsidRPr="002B12FC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&lt;</w:t>
            </w:r>
            <w:r w:rsidR="004F476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 </w:t>
            </w:r>
            <w:r w:rsidR="005E21B3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6804" w:type="dxa"/>
            <w:shd w:val="clear" w:color="auto" w:fill="F2DBDB" w:themeFill="accent2" w:themeFillTint="33"/>
            <w:vAlign w:val="center"/>
          </w:tcPr>
          <w:p w14:paraId="41DE5794" w14:textId="76D874D5" w:rsidR="008405FB" w:rsidRPr="002B12FC" w:rsidRDefault="008405FB" w:rsidP="002B12FC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pPr>
            <w:r w:rsidRPr="002B12FC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Not eligible for switch</w:t>
            </w:r>
            <w:r w:rsidR="00905CB4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– </w:t>
            </w:r>
            <w:r w:rsidR="0026418A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l</w:t>
            </w:r>
            <w:r w:rsidR="00905CB4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ocally linagliptin is recommended for this cohort.</w:t>
            </w:r>
          </w:p>
        </w:tc>
      </w:tr>
    </w:tbl>
    <w:p w14:paraId="4279DE6D" w14:textId="2E771EE2" w:rsidR="00B31332" w:rsidRPr="00B31332" w:rsidRDefault="00DD44DC" w:rsidP="00B31332">
      <w:pPr>
        <w:tabs>
          <w:tab w:val="center" w:pos="4513"/>
          <w:tab w:val="right" w:pos="9026"/>
        </w:tabs>
        <w:rPr>
          <w:bCs/>
        </w:rPr>
      </w:pPr>
      <w:r>
        <w:rPr>
          <w:bCs/>
        </w:rPr>
        <w:t xml:space="preserve">Further details available on </w:t>
      </w:r>
      <w:hyperlink r:id="rId11" w:history="1">
        <w:r w:rsidRPr="00DD44DC">
          <w:rPr>
            <w:rStyle w:val="Hyperlink"/>
            <w:bCs/>
          </w:rPr>
          <w:t>BNF</w:t>
        </w:r>
      </w:hyperlink>
      <w:r>
        <w:rPr>
          <w:bCs/>
        </w:rPr>
        <w:t xml:space="preserve"> and </w:t>
      </w:r>
      <w:hyperlink r:id="rId12" w:history="1">
        <w:r w:rsidRPr="00DD44DC">
          <w:rPr>
            <w:rStyle w:val="Hyperlink"/>
            <w:bCs/>
          </w:rPr>
          <w:t>SPC</w:t>
        </w:r>
      </w:hyperlink>
      <w:r>
        <w:rPr>
          <w:bCs/>
        </w:rPr>
        <w:t xml:space="preserve"> </w:t>
      </w:r>
      <w:r w:rsidR="00B31332">
        <w:tab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3"/>
        <w:gridCol w:w="8591"/>
      </w:tblGrid>
      <w:tr w:rsidR="00B31332" w:rsidRPr="00435BF6" w14:paraId="39C27952" w14:textId="77777777" w:rsidTr="00B31332">
        <w:trPr>
          <w:trHeight w:hRule="exact" w:val="216"/>
        </w:trPr>
        <w:tc>
          <w:tcPr>
            <w:tcW w:w="58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56E638" w14:textId="77777777" w:rsidR="00B31332" w:rsidRPr="004868B8" w:rsidRDefault="00B31332" w:rsidP="00B31332">
            <w:pPr>
              <w:spacing w:before="33" w:after="14" w:line="164" w:lineRule="exact"/>
              <w:ind w:left="115"/>
              <w:textAlignment w:val="baseline"/>
              <w:rPr>
                <w:rFonts w:ascii="Calibri" w:eastAsia="Calibri" w:hAnsi="Calibri"/>
                <w:bCs/>
                <w:color w:val="000000"/>
                <w:sz w:val="17"/>
              </w:rPr>
            </w:pPr>
            <w:r w:rsidRPr="004868B8">
              <w:rPr>
                <w:rFonts w:ascii="Calibri" w:eastAsia="Calibri" w:hAnsi="Calibri"/>
                <w:bCs/>
                <w:color w:val="000000"/>
                <w:sz w:val="17"/>
              </w:rPr>
              <w:t>Version</w:t>
            </w:r>
          </w:p>
        </w:tc>
        <w:tc>
          <w:tcPr>
            <w:tcW w:w="441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CADE65" w14:textId="2B8BA79E" w:rsidR="00B31332" w:rsidRPr="00435BF6" w:rsidRDefault="005E21B3" w:rsidP="00B31332">
            <w:pPr>
              <w:spacing w:before="33" w:after="16" w:line="162" w:lineRule="exact"/>
              <w:ind w:left="110"/>
              <w:textAlignment w:val="baseline"/>
              <w:rPr>
                <w:rFonts w:ascii="Calibri" w:eastAsia="Calibri" w:hAnsi="Calibri"/>
                <w:sz w:val="17"/>
              </w:rPr>
            </w:pPr>
            <w:r>
              <w:rPr>
                <w:rFonts w:ascii="Calibri" w:eastAsia="Calibri" w:hAnsi="Calibri"/>
                <w:sz w:val="17"/>
              </w:rPr>
              <w:t>2.0</w:t>
            </w:r>
            <w:r w:rsidR="00DC2447">
              <w:rPr>
                <w:rFonts w:ascii="Calibri" w:eastAsia="Calibri" w:hAnsi="Calibri"/>
                <w:sz w:val="17"/>
              </w:rPr>
              <w:t>. This version supersedes version 1.0</w:t>
            </w:r>
          </w:p>
        </w:tc>
      </w:tr>
      <w:tr w:rsidR="005E21B3" w:rsidRPr="00435BF6" w14:paraId="461858CF" w14:textId="77777777" w:rsidTr="00DC2447">
        <w:trPr>
          <w:trHeight w:hRule="exact" w:val="425"/>
        </w:trPr>
        <w:tc>
          <w:tcPr>
            <w:tcW w:w="58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B51434" w14:textId="1912A52F" w:rsidR="005E21B3" w:rsidRPr="004868B8" w:rsidRDefault="005E21B3" w:rsidP="005E21B3">
            <w:pPr>
              <w:spacing w:after="9" w:line="164" w:lineRule="exact"/>
              <w:ind w:left="115"/>
              <w:textAlignment w:val="baseline"/>
              <w:rPr>
                <w:rFonts w:ascii="Calibri" w:eastAsia="Calibri" w:hAnsi="Calibri"/>
                <w:bCs/>
                <w:color w:val="000000"/>
                <w:sz w:val="17"/>
              </w:rPr>
            </w:pPr>
            <w:r w:rsidRPr="004868B8">
              <w:rPr>
                <w:rFonts w:ascii="Calibri" w:eastAsia="Calibri" w:hAnsi="Calibri"/>
                <w:bCs/>
                <w:color w:val="000000"/>
                <w:sz w:val="17"/>
              </w:rPr>
              <w:t>Prepared by</w:t>
            </w:r>
          </w:p>
        </w:tc>
        <w:tc>
          <w:tcPr>
            <w:tcW w:w="441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D511CA" w14:textId="31E511D2" w:rsidR="005E21B3" w:rsidRPr="004868B8" w:rsidRDefault="005E21B3" w:rsidP="005E21B3">
            <w:pPr>
              <w:spacing w:after="9" w:line="164" w:lineRule="exact"/>
              <w:ind w:left="110"/>
              <w:textAlignment w:val="baseline"/>
              <w:rPr>
                <w:b/>
                <w:bCs/>
              </w:rPr>
            </w:pPr>
            <w:r w:rsidRPr="002A2DF1">
              <w:rPr>
                <w:sz w:val="14"/>
                <w:szCs w:val="14"/>
              </w:rPr>
              <w:t>Pharmacy and Medicines Optimisation Team, Hertfordshire and West Essex (HWE) ICB with relevant HWE ICS stakeholders.</w:t>
            </w:r>
          </w:p>
        </w:tc>
      </w:tr>
      <w:tr w:rsidR="005E21B3" w:rsidRPr="00435BF6" w14:paraId="5942E2C7" w14:textId="77777777" w:rsidTr="00B31332">
        <w:trPr>
          <w:trHeight w:hRule="exact" w:val="217"/>
        </w:trPr>
        <w:tc>
          <w:tcPr>
            <w:tcW w:w="58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13E2A7" w14:textId="3AD7D2C5" w:rsidR="005E21B3" w:rsidRPr="004868B8" w:rsidRDefault="005E21B3" w:rsidP="005E21B3">
            <w:pPr>
              <w:spacing w:after="201" w:line="164" w:lineRule="exact"/>
              <w:ind w:left="115"/>
              <w:textAlignment w:val="baseline"/>
              <w:rPr>
                <w:rFonts w:ascii="Calibri" w:eastAsia="Calibri" w:hAnsi="Calibri"/>
                <w:bCs/>
                <w:color w:val="000000"/>
                <w:sz w:val="17"/>
              </w:rPr>
            </w:pPr>
            <w:r w:rsidRPr="004868B8">
              <w:rPr>
                <w:rFonts w:ascii="Calibri" w:eastAsia="Calibri" w:hAnsi="Calibri"/>
                <w:bCs/>
                <w:color w:val="000000"/>
                <w:sz w:val="17"/>
              </w:rPr>
              <w:lastRenderedPageBreak/>
              <w:t>Approved by</w:t>
            </w:r>
          </w:p>
        </w:tc>
        <w:tc>
          <w:tcPr>
            <w:tcW w:w="441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EAF843" w14:textId="61469402" w:rsidR="005E21B3" w:rsidRPr="00435BF6" w:rsidRDefault="005E21B3" w:rsidP="005E21B3">
            <w:pPr>
              <w:spacing w:after="9" w:line="192" w:lineRule="exact"/>
              <w:ind w:left="108" w:right="108"/>
              <w:textAlignment w:val="baseline"/>
              <w:rPr>
                <w:rFonts w:ascii="Calibri" w:eastAsia="Calibri" w:hAnsi="Calibri"/>
                <w:sz w:val="17"/>
              </w:rPr>
            </w:pPr>
            <w:r w:rsidRPr="00883816">
              <w:rPr>
                <w:rFonts w:ascii="Calibri" w:eastAsia="Calibri" w:hAnsi="Calibri"/>
                <w:sz w:val="17"/>
              </w:rPr>
              <w:t xml:space="preserve">Medicines Optimisation Delivery and Implementation Group </w:t>
            </w:r>
            <w:r w:rsidR="00D71E12">
              <w:rPr>
                <w:rFonts w:ascii="Calibri" w:eastAsia="Calibri" w:hAnsi="Calibri"/>
                <w:sz w:val="17"/>
              </w:rPr>
              <w:t>February 2026</w:t>
            </w:r>
            <w:r w:rsidR="00DC2447">
              <w:rPr>
                <w:rFonts w:ascii="Calibri" w:eastAsia="Calibri" w:hAnsi="Calibri"/>
                <w:sz w:val="17"/>
              </w:rPr>
              <w:t xml:space="preserve"> </w:t>
            </w:r>
          </w:p>
        </w:tc>
      </w:tr>
      <w:tr w:rsidR="005E21B3" w:rsidRPr="00435BF6" w14:paraId="0D5BE3EA" w14:textId="77777777" w:rsidTr="00321F56">
        <w:trPr>
          <w:trHeight w:hRule="exact" w:val="497"/>
        </w:trPr>
        <w:tc>
          <w:tcPr>
            <w:tcW w:w="58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02CE39" w14:textId="77777777" w:rsidR="005E21B3" w:rsidRPr="004868B8" w:rsidRDefault="005E21B3" w:rsidP="005E21B3">
            <w:pPr>
              <w:spacing w:after="18" w:line="164" w:lineRule="exact"/>
              <w:ind w:left="115"/>
              <w:textAlignment w:val="baseline"/>
              <w:rPr>
                <w:rFonts w:ascii="Calibri" w:eastAsia="Calibri" w:hAnsi="Calibri"/>
                <w:bCs/>
                <w:color w:val="000000"/>
                <w:sz w:val="17"/>
              </w:rPr>
            </w:pPr>
            <w:r w:rsidRPr="004868B8">
              <w:rPr>
                <w:rFonts w:ascii="Calibri" w:eastAsia="Calibri" w:hAnsi="Calibri"/>
                <w:bCs/>
                <w:color w:val="000000"/>
                <w:sz w:val="17"/>
              </w:rPr>
              <w:t>Review date</w:t>
            </w:r>
          </w:p>
        </w:tc>
        <w:tc>
          <w:tcPr>
            <w:tcW w:w="441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42A10F" w14:textId="4312590B" w:rsidR="00321F56" w:rsidRPr="00321F56" w:rsidRDefault="00321F56" w:rsidP="00321F56">
            <w:pPr>
              <w:spacing w:after="18" w:line="164" w:lineRule="exact"/>
              <w:ind w:left="110"/>
              <w:textAlignment w:val="baseline"/>
              <w:rPr>
                <w:rFonts w:ascii="Calibri" w:eastAsia="Calibri" w:hAnsi="Calibri"/>
                <w:sz w:val="17"/>
              </w:rPr>
            </w:pPr>
            <w:r w:rsidRPr="00321F56">
              <w:rPr>
                <w:rFonts w:ascii="Calibri" w:eastAsia="Calibri" w:hAnsi="Calibri"/>
                <w:sz w:val="17"/>
              </w:rPr>
              <w:t>This information is accurate at the time it was produced. It will not be updated and should be applied with appropriate clinical judgement.</w:t>
            </w:r>
            <w:r>
              <w:rPr>
                <w:rFonts w:ascii="Calibri" w:eastAsia="Calibri" w:hAnsi="Calibri"/>
                <w:sz w:val="17"/>
              </w:rPr>
              <w:t xml:space="preserve"> </w:t>
            </w:r>
          </w:p>
          <w:p w14:paraId="64AE4A0E" w14:textId="3A066AF9" w:rsidR="005E21B3" w:rsidRPr="00435BF6" w:rsidRDefault="005E21B3" w:rsidP="005E21B3">
            <w:pPr>
              <w:spacing w:after="18" w:line="164" w:lineRule="exact"/>
              <w:ind w:left="110"/>
              <w:textAlignment w:val="baseline"/>
              <w:rPr>
                <w:rFonts w:ascii="Calibri" w:eastAsia="Calibri" w:hAnsi="Calibri"/>
                <w:sz w:val="17"/>
              </w:rPr>
            </w:pPr>
          </w:p>
        </w:tc>
      </w:tr>
    </w:tbl>
    <w:p w14:paraId="29B30DD5" w14:textId="795B668B" w:rsidR="00B31332" w:rsidRPr="00B31332" w:rsidRDefault="00B31332" w:rsidP="00B31332">
      <w:pPr>
        <w:tabs>
          <w:tab w:val="left" w:pos="1690"/>
        </w:tabs>
      </w:pPr>
    </w:p>
    <w:sectPr w:rsidR="00B31332" w:rsidRPr="00B31332" w:rsidSect="00EF4902">
      <w:headerReference w:type="default" r:id="rId13"/>
      <w:pgSz w:w="11906" w:h="16838"/>
      <w:pgMar w:top="1440" w:right="1080" w:bottom="1440" w:left="1080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F7FC2" w14:textId="77777777" w:rsidR="0064282F" w:rsidRDefault="0064282F" w:rsidP="00392F15">
      <w:pPr>
        <w:spacing w:after="0" w:line="240" w:lineRule="auto"/>
      </w:pPr>
      <w:r>
        <w:separator/>
      </w:r>
    </w:p>
  </w:endnote>
  <w:endnote w:type="continuationSeparator" w:id="0">
    <w:p w14:paraId="5F743109" w14:textId="77777777" w:rsidR="0064282F" w:rsidRDefault="0064282F" w:rsidP="00392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3A0CF" w14:textId="77777777" w:rsidR="0064282F" w:rsidRDefault="0064282F" w:rsidP="00392F15">
      <w:pPr>
        <w:spacing w:after="0" w:line="240" w:lineRule="auto"/>
      </w:pPr>
      <w:r>
        <w:separator/>
      </w:r>
    </w:p>
  </w:footnote>
  <w:footnote w:type="continuationSeparator" w:id="0">
    <w:p w14:paraId="2D2C22EC" w14:textId="77777777" w:rsidR="0064282F" w:rsidRDefault="0064282F" w:rsidP="00392F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512D4" w14:textId="01D807F1" w:rsidR="00EF4902" w:rsidRPr="00EF4902" w:rsidRDefault="00B31332">
    <w:pPr>
      <w:pStyle w:val="Header"/>
      <w:rPr>
        <w:rFonts w:ascii="Arial" w:hAnsi="Arial" w:cs="Arial"/>
        <w:sz w:val="24"/>
        <w:szCs w:val="24"/>
      </w:rPr>
    </w:pPr>
    <w:r>
      <w:rPr>
        <w:rFonts w:ascii="Arial" w:hAnsi="Arial" w:cs="Arial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7C9BF5EA" wp14:editId="0A7D7F6F">
          <wp:simplePos x="0" y="0"/>
          <wp:positionH relativeFrom="margin">
            <wp:posOffset>5056505</wp:posOffset>
          </wp:positionH>
          <wp:positionV relativeFrom="paragraph">
            <wp:posOffset>-209550</wp:posOffset>
          </wp:positionV>
          <wp:extent cx="1132205" cy="631825"/>
          <wp:effectExtent l="0" t="0" r="0" b="0"/>
          <wp:wrapSquare wrapText="bothSides"/>
          <wp:docPr id="3" name="Picture 3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2205" cy="631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0BC10FE0" wp14:editId="058B615D">
          <wp:simplePos x="0" y="0"/>
          <wp:positionH relativeFrom="margin">
            <wp:posOffset>0</wp:posOffset>
          </wp:positionH>
          <wp:positionV relativeFrom="paragraph">
            <wp:posOffset>-207216</wp:posOffset>
          </wp:positionV>
          <wp:extent cx="1843405" cy="629920"/>
          <wp:effectExtent l="0" t="0" r="4445" b="0"/>
          <wp:wrapSquare wrapText="bothSides"/>
          <wp:docPr id="2" name="Picture 2" descr="A green and black 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green and black logo&#10;&#10;Description automatically generated with medium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3405" cy="62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1CC18B6"/>
    <w:multiLevelType w:val="hybridMultilevel"/>
    <w:tmpl w:val="58AC204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7169AA"/>
    <w:multiLevelType w:val="hybridMultilevel"/>
    <w:tmpl w:val="068EB3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2205F3"/>
    <w:multiLevelType w:val="multilevel"/>
    <w:tmpl w:val="C4962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EC64BB"/>
    <w:multiLevelType w:val="hybridMultilevel"/>
    <w:tmpl w:val="47C27056"/>
    <w:lvl w:ilvl="0" w:tplc="F70288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DD72A9"/>
    <w:multiLevelType w:val="hybridMultilevel"/>
    <w:tmpl w:val="A1CEE8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B01C2"/>
    <w:multiLevelType w:val="hybridMultilevel"/>
    <w:tmpl w:val="2F66CE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EE6320"/>
    <w:multiLevelType w:val="hybridMultilevel"/>
    <w:tmpl w:val="087253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8D7748"/>
    <w:multiLevelType w:val="hybridMultilevel"/>
    <w:tmpl w:val="ADD412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F74BFE"/>
    <w:multiLevelType w:val="hybridMultilevel"/>
    <w:tmpl w:val="3CC22E40"/>
    <w:lvl w:ilvl="0" w:tplc="4E6E441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u w:color="000000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E3186F"/>
    <w:multiLevelType w:val="hybridMultilevel"/>
    <w:tmpl w:val="9112E1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6A2097A"/>
    <w:multiLevelType w:val="hybridMultilevel"/>
    <w:tmpl w:val="4BC8BB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95271C9"/>
    <w:multiLevelType w:val="hybridMultilevel"/>
    <w:tmpl w:val="DA50E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E83E0C"/>
    <w:multiLevelType w:val="hybridMultilevel"/>
    <w:tmpl w:val="37369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F6FCE"/>
    <w:multiLevelType w:val="hybridMultilevel"/>
    <w:tmpl w:val="0B923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3F5175"/>
    <w:multiLevelType w:val="hybridMultilevel"/>
    <w:tmpl w:val="56A8E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5B7C93"/>
    <w:multiLevelType w:val="hybridMultilevel"/>
    <w:tmpl w:val="C6F2EA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9E64F28"/>
    <w:multiLevelType w:val="hybridMultilevel"/>
    <w:tmpl w:val="FE1AF0FC"/>
    <w:lvl w:ilvl="0" w:tplc="B57A8AD8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344928"/>
    <w:multiLevelType w:val="hybridMultilevel"/>
    <w:tmpl w:val="7A2C45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39971554">
    <w:abstractNumId w:val="12"/>
  </w:num>
  <w:num w:numId="2" w16cid:durableId="1306932675">
    <w:abstractNumId w:val="11"/>
  </w:num>
  <w:num w:numId="3" w16cid:durableId="79183308">
    <w:abstractNumId w:val="4"/>
  </w:num>
  <w:num w:numId="4" w16cid:durableId="782920321">
    <w:abstractNumId w:val="9"/>
  </w:num>
  <w:num w:numId="5" w16cid:durableId="489058899">
    <w:abstractNumId w:val="0"/>
  </w:num>
  <w:num w:numId="6" w16cid:durableId="292298750">
    <w:abstractNumId w:val="15"/>
  </w:num>
  <w:num w:numId="7" w16cid:durableId="1097796249">
    <w:abstractNumId w:val="7"/>
  </w:num>
  <w:num w:numId="8" w16cid:durableId="1931236510">
    <w:abstractNumId w:val="8"/>
  </w:num>
  <w:num w:numId="9" w16cid:durableId="598374524">
    <w:abstractNumId w:val="17"/>
  </w:num>
  <w:num w:numId="10" w16cid:durableId="1189294304">
    <w:abstractNumId w:val="16"/>
  </w:num>
  <w:num w:numId="11" w16cid:durableId="1190219874">
    <w:abstractNumId w:val="5"/>
  </w:num>
  <w:num w:numId="12" w16cid:durableId="1261525415">
    <w:abstractNumId w:val="2"/>
  </w:num>
  <w:num w:numId="13" w16cid:durableId="1516572646">
    <w:abstractNumId w:val="13"/>
  </w:num>
  <w:num w:numId="14" w16cid:durableId="914702083">
    <w:abstractNumId w:val="6"/>
  </w:num>
  <w:num w:numId="15" w16cid:durableId="218786495">
    <w:abstractNumId w:val="14"/>
  </w:num>
  <w:num w:numId="16" w16cid:durableId="1176069927">
    <w:abstractNumId w:val="1"/>
  </w:num>
  <w:num w:numId="17" w16cid:durableId="1214342217">
    <w:abstractNumId w:val="3"/>
  </w:num>
  <w:num w:numId="18" w16cid:durableId="2884374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F15"/>
    <w:rsid w:val="00013D65"/>
    <w:rsid w:val="000306A3"/>
    <w:rsid w:val="00032078"/>
    <w:rsid w:val="00046A4C"/>
    <w:rsid w:val="00047ABA"/>
    <w:rsid w:val="00051938"/>
    <w:rsid w:val="000603E4"/>
    <w:rsid w:val="000612A5"/>
    <w:rsid w:val="0007766D"/>
    <w:rsid w:val="000972E5"/>
    <w:rsid w:val="000C5E40"/>
    <w:rsid w:val="000D0A3D"/>
    <w:rsid w:val="00136911"/>
    <w:rsid w:val="0015660D"/>
    <w:rsid w:val="001610FB"/>
    <w:rsid w:val="00163E27"/>
    <w:rsid w:val="00176F30"/>
    <w:rsid w:val="002412B6"/>
    <w:rsid w:val="00246221"/>
    <w:rsid w:val="0026418A"/>
    <w:rsid w:val="002672EB"/>
    <w:rsid w:val="0028247D"/>
    <w:rsid w:val="002B12FC"/>
    <w:rsid w:val="002D32C3"/>
    <w:rsid w:val="002E2711"/>
    <w:rsid w:val="00321F56"/>
    <w:rsid w:val="00334D49"/>
    <w:rsid w:val="003574E3"/>
    <w:rsid w:val="0036440C"/>
    <w:rsid w:val="0036589F"/>
    <w:rsid w:val="003713D3"/>
    <w:rsid w:val="003726D7"/>
    <w:rsid w:val="00384AC1"/>
    <w:rsid w:val="00392F15"/>
    <w:rsid w:val="003A0D11"/>
    <w:rsid w:val="003A3537"/>
    <w:rsid w:val="003B1A6E"/>
    <w:rsid w:val="003B5FC0"/>
    <w:rsid w:val="003C35AE"/>
    <w:rsid w:val="003E1E20"/>
    <w:rsid w:val="003F7C66"/>
    <w:rsid w:val="00400D6F"/>
    <w:rsid w:val="00457326"/>
    <w:rsid w:val="004654A2"/>
    <w:rsid w:val="00484BEB"/>
    <w:rsid w:val="004868B8"/>
    <w:rsid w:val="004A2752"/>
    <w:rsid w:val="004C3EB6"/>
    <w:rsid w:val="004D272B"/>
    <w:rsid w:val="004E31C3"/>
    <w:rsid w:val="004F476B"/>
    <w:rsid w:val="00502FE3"/>
    <w:rsid w:val="005459D6"/>
    <w:rsid w:val="00551834"/>
    <w:rsid w:val="0055742B"/>
    <w:rsid w:val="005775CC"/>
    <w:rsid w:val="00580A2E"/>
    <w:rsid w:val="005E21B3"/>
    <w:rsid w:val="005F40EB"/>
    <w:rsid w:val="005F579A"/>
    <w:rsid w:val="006275C3"/>
    <w:rsid w:val="0064282F"/>
    <w:rsid w:val="00651150"/>
    <w:rsid w:val="00655213"/>
    <w:rsid w:val="006A316D"/>
    <w:rsid w:val="006A7EA1"/>
    <w:rsid w:val="006D050E"/>
    <w:rsid w:val="006E3EF9"/>
    <w:rsid w:val="006F3D9F"/>
    <w:rsid w:val="006F4DCD"/>
    <w:rsid w:val="007075E9"/>
    <w:rsid w:val="00717298"/>
    <w:rsid w:val="00743661"/>
    <w:rsid w:val="00744403"/>
    <w:rsid w:val="00750113"/>
    <w:rsid w:val="00764A7A"/>
    <w:rsid w:val="00795CDC"/>
    <w:rsid w:val="007A1A2D"/>
    <w:rsid w:val="007A531E"/>
    <w:rsid w:val="007E41A7"/>
    <w:rsid w:val="007E726E"/>
    <w:rsid w:val="00813563"/>
    <w:rsid w:val="00823E44"/>
    <w:rsid w:val="00831BAB"/>
    <w:rsid w:val="008342EA"/>
    <w:rsid w:val="008405FB"/>
    <w:rsid w:val="00852687"/>
    <w:rsid w:val="00852F58"/>
    <w:rsid w:val="00870E47"/>
    <w:rsid w:val="00883816"/>
    <w:rsid w:val="008A0AC2"/>
    <w:rsid w:val="008B1337"/>
    <w:rsid w:val="008E05E2"/>
    <w:rsid w:val="008F6297"/>
    <w:rsid w:val="00905CB4"/>
    <w:rsid w:val="009247C4"/>
    <w:rsid w:val="0095714D"/>
    <w:rsid w:val="00963F50"/>
    <w:rsid w:val="00976C5A"/>
    <w:rsid w:val="00992302"/>
    <w:rsid w:val="009926C9"/>
    <w:rsid w:val="009B1345"/>
    <w:rsid w:val="009B431F"/>
    <w:rsid w:val="009B522B"/>
    <w:rsid w:val="009C3B71"/>
    <w:rsid w:val="009D666A"/>
    <w:rsid w:val="009E3F09"/>
    <w:rsid w:val="00A1259D"/>
    <w:rsid w:val="00A1522B"/>
    <w:rsid w:val="00A15B89"/>
    <w:rsid w:val="00A17B19"/>
    <w:rsid w:val="00A41D1B"/>
    <w:rsid w:val="00A51C14"/>
    <w:rsid w:val="00A70288"/>
    <w:rsid w:val="00A91F3C"/>
    <w:rsid w:val="00AB1E3E"/>
    <w:rsid w:val="00AC2F12"/>
    <w:rsid w:val="00AC53C6"/>
    <w:rsid w:val="00AD748A"/>
    <w:rsid w:val="00B07386"/>
    <w:rsid w:val="00B27138"/>
    <w:rsid w:val="00B31332"/>
    <w:rsid w:val="00B40242"/>
    <w:rsid w:val="00B85861"/>
    <w:rsid w:val="00B957ED"/>
    <w:rsid w:val="00BA0261"/>
    <w:rsid w:val="00BA3369"/>
    <w:rsid w:val="00BA4BC7"/>
    <w:rsid w:val="00BB72AA"/>
    <w:rsid w:val="00BC0437"/>
    <w:rsid w:val="00BE698E"/>
    <w:rsid w:val="00BF2FD1"/>
    <w:rsid w:val="00BF53A1"/>
    <w:rsid w:val="00C01040"/>
    <w:rsid w:val="00C01B13"/>
    <w:rsid w:val="00C13990"/>
    <w:rsid w:val="00C16A59"/>
    <w:rsid w:val="00C2346D"/>
    <w:rsid w:val="00C337E3"/>
    <w:rsid w:val="00C3491C"/>
    <w:rsid w:val="00C4313D"/>
    <w:rsid w:val="00C67238"/>
    <w:rsid w:val="00C71B9C"/>
    <w:rsid w:val="00C73F73"/>
    <w:rsid w:val="00C86B66"/>
    <w:rsid w:val="00CC68DE"/>
    <w:rsid w:val="00CC6D31"/>
    <w:rsid w:val="00CD5C6B"/>
    <w:rsid w:val="00CE220B"/>
    <w:rsid w:val="00CE4555"/>
    <w:rsid w:val="00CE6B8E"/>
    <w:rsid w:val="00CE7791"/>
    <w:rsid w:val="00D326EA"/>
    <w:rsid w:val="00D32F04"/>
    <w:rsid w:val="00D364AB"/>
    <w:rsid w:val="00D36FFD"/>
    <w:rsid w:val="00D41546"/>
    <w:rsid w:val="00D46BCF"/>
    <w:rsid w:val="00D70CC3"/>
    <w:rsid w:val="00D71E12"/>
    <w:rsid w:val="00D75B6C"/>
    <w:rsid w:val="00D85870"/>
    <w:rsid w:val="00D87F9B"/>
    <w:rsid w:val="00DC2447"/>
    <w:rsid w:val="00DD44DC"/>
    <w:rsid w:val="00E22E62"/>
    <w:rsid w:val="00E468C2"/>
    <w:rsid w:val="00E47723"/>
    <w:rsid w:val="00E60D70"/>
    <w:rsid w:val="00E81518"/>
    <w:rsid w:val="00E9276A"/>
    <w:rsid w:val="00E92D2A"/>
    <w:rsid w:val="00E93EFE"/>
    <w:rsid w:val="00ED085B"/>
    <w:rsid w:val="00ED08CF"/>
    <w:rsid w:val="00EE3D37"/>
    <w:rsid w:val="00EF4902"/>
    <w:rsid w:val="00EF5E01"/>
    <w:rsid w:val="00F33875"/>
    <w:rsid w:val="00F57DFA"/>
    <w:rsid w:val="00F779C1"/>
    <w:rsid w:val="00F8113E"/>
    <w:rsid w:val="00F92A92"/>
    <w:rsid w:val="00F93347"/>
    <w:rsid w:val="00FD0C9A"/>
    <w:rsid w:val="00FE3C4E"/>
    <w:rsid w:val="00FF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."/>
  <w:listSeparator w:val=","/>
  <w14:docId w14:val="53D2AD7D"/>
  <w15:docId w15:val="{412A6A05-F8FB-4610-9032-69C48B51F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5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92F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92F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F15"/>
  </w:style>
  <w:style w:type="paragraph" w:styleId="Footer">
    <w:name w:val="footer"/>
    <w:basedOn w:val="Normal"/>
    <w:link w:val="FooterChar"/>
    <w:uiPriority w:val="99"/>
    <w:unhideWhenUsed/>
    <w:rsid w:val="00392F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F15"/>
  </w:style>
  <w:style w:type="paragraph" w:styleId="BalloonText">
    <w:name w:val="Balloon Text"/>
    <w:basedOn w:val="Normal"/>
    <w:link w:val="BalloonTextChar"/>
    <w:uiPriority w:val="99"/>
    <w:semiHidden/>
    <w:unhideWhenUsed/>
    <w:rsid w:val="00392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F1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22E62"/>
    <w:pPr>
      <w:ind w:left="720"/>
      <w:contextualSpacing/>
    </w:pPr>
  </w:style>
  <w:style w:type="table" w:styleId="TableGrid">
    <w:name w:val="Table Grid"/>
    <w:basedOn w:val="TableNormal"/>
    <w:uiPriority w:val="59"/>
    <w:rsid w:val="000C5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1522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1522B"/>
    <w:rPr>
      <w:color w:val="800080" w:themeColor="followedHyperlink"/>
      <w:u w:val="single"/>
    </w:rPr>
  </w:style>
  <w:style w:type="character" w:customStyle="1" w:styleId="A11">
    <w:name w:val="A11"/>
    <w:uiPriority w:val="99"/>
    <w:rsid w:val="00750113"/>
    <w:rPr>
      <w:color w:val="000000"/>
      <w:sz w:val="20"/>
      <w:szCs w:val="2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79C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05CB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C3E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E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E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E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E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85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1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2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09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70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09633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577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84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3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weclinicalguidance.nhs.uk/all-clinical-areas-documents/download?cid=163&amp;checksum=0777d5c17d4066b82ab86dff8a46af6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edicines.org.uk/emc/search?q=sitaglipti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nf.nice.org.uk/drugs/sitagliptin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medicines.org.uk/emc/search?q=sitaglipt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weclinicalguidance.nhs.uk/all-clinical-areas-documents/search-results/sitagliptin-d3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AA125-36D1-433C-A4C0-5B542C93E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Hertfordshire ICT</Company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 Prisha (06N) NHS Herts Valleys CCG</dc:creator>
  <cp:lastModifiedBy>PANKHANIA, Bijal (NHS HERTFORDSHIRE AND WEST ESSEX ICB - 06N)</cp:lastModifiedBy>
  <cp:revision>6</cp:revision>
  <cp:lastPrinted>2023-10-27T13:24:00Z</cp:lastPrinted>
  <dcterms:created xsi:type="dcterms:W3CDTF">2026-02-12T15:11:00Z</dcterms:created>
  <dcterms:modified xsi:type="dcterms:W3CDTF">2026-02-12T15:26:00Z</dcterms:modified>
</cp:coreProperties>
</file>