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9B04B" w14:textId="326D32E7" w:rsidR="002D252A" w:rsidRDefault="0014489A" w:rsidP="0014489A">
      <w:pPr>
        <w:jc w:val="center"/>
        <w:rPr>
          <w:b/>
          <w:bCs/>
        </w:rPr>
      </w:pPr>
      <w:r w:rsidRPr="0014489A">
        <w:rPr>
          <w:b/>
          <w:bCs/>
        </w:rPr>
        <w:t xml:space="preserve">Pancreatic </w:t>
      </w:r>
      <w:r w:rsidR="00F942B3">
        <w:rPr>
          <w:b/>
          <w:bCs/>
        </w:rPr>
        <w:t>E</w:t>
      </w:r>
      <w:r w:rsidRPr="0014489A">
        <w:rPr>
          <w:b/>
          <w:bCs/>
        </w:rPr>
        <w:t xml:space="preserve">nzyme </w:t>
      </w:r>
      <w:r w:rsidR="00F942B3">
        <w:rPr>
          <w:b/>
          <w:bCs/>
        </w:rPr>
        <w:t>R</w:t>
      </w:r>
      <w:r w:rsidRPr="0014489A">
        <w:rPr>
          <w:b/>
          <w:bCs/>
        </w:rPr>
        <w:t xml:space="preserve">eplacement </w:t>
      </w:r>
      <w:r w:rsidR="00F942B3">
        <w:rPr>
          <w:b/>
          <w:bCs/>
        </w:rPr>
        <w:t>T</w:t>
      </w:r>
      <w:r w:rsidRPr="0014489A">
        <w:rPr>
          <w:b/>
          <w:bCs/>
        </w:rPr>
        <w:t>herapy (PERT)</w:t>
      </w:r>
      <w:r w:rsidR="00603417">
        <w:rPr>
          <w:b/>
          <w:bCs/>
        </w:rPr>
        <w:t xml:space="preserve"> – For </w:t>
      </w:r>
      <w:r w:rsidR="0017274D">
        <w:rPr>
          <w:b/>
          <w:bCs/>
        </w:rPr>
        <w:t>Community Pharmacy</w:t>
      </w:r>
    </w:p>
    <w:p w14:paraId="7D1A7EAE" w14:textId="4489893F" w:rsidR="000443D6" w:rsidRDefault="000443D6" w:rsidP="0014489A">
      <w:pPr>
        <w:jc w:val="center"/>
      </w:pPr>
      <w:r>
        <w:rPr>
          <w:b/>
          <w:bCs/>
        </w:rPr>
        <w:t>Shortage information and useful actions</w:t>
      </w:r>
    </w:p>
    <w:tbl>
      <w:tblPr>
        <w:tblStyle w:val="TableGrid"/>
        <w:tblpPr w:leftFromText="180" w:rightFromText="180" w:vertAnchor="text" w:horzAnchor="margin" w:tblpXSpec="center" w:tblpY="1216"/>
        <w:tblW w:w="10336" w:type="dxa"/>
        <w:tblLook w:val="04A0" w:firstRow="1" w:lastRow="0" w:firstColumn="1" w:lastColumn="0" w:noHBand="0" w:noVBand="1"/>
      </w:tblPr>
      <w:tblGrid>
        <w:gridCol w:w="10336"/>
      </w:tblGrid>
      <w:tr w:rsidR="00B61513" w14:paraId="1FD088A4" w14:textId="77777777" w:rsidTr="00AF4148">
        <w:trPr>
          <w:trHeight w:val="4649"/>
        </w:trPr>
        <w:tc>
          <w:tcPr>
            <w:tcW w:w="10336" w:type="dxa"/>
            <w:vMerge w:val="restart"/>
          </w:tcPr>
          <w:p w14:paraId="1C8A0657" w14:textId="77777777" w:rsidR="00B61513" w:rsidRDefault="00B61513" w:rsidP="00B61513">
            <w:r w:rsidRPr="00745131">
              <w:rPr>
                <w:b/>
                <w:bCs/>
              </w:rPr>
              <w:t>Actions for clinicians and prescribers of PERT to be completed by 31/01/2025</w:t>
            </w:r>
            <w:r>
              <w:t xml:space="preserve"> </w:t>
            </w:r>
            <w:r w:rsidRPr="00D85F62">
              <w:rPr>
                <w:b/>
                <w:bCs/>
              </w:rPr>
              <w:t>and to remain in place only until the supply issues have resolved</w:t>
            </w:r>
            <w:r>
              <w:t xml:space="preserve"> (see Specialist Pharmacy Service (</w:t>
            </w:r>
            <w:hyperlink r:id="rId11" w:history="1">
              <w:r w:rsidRPr="002D252A">
                <w:rPr>
                  <w:rStyle w:val="Hyperlink"/>
                </w:rPr>
                <w:t>SPS</w:t>
              </w:r>
            </w:hyperlink>
            <w:r>
              <w:rPr>
                <w:rStyle w:val="Hyperlink"/>
              </w:rPr>
              <w:t>)</w:t>
            </w:r>
            <w:r w:rsidRPr="002D252A">
              <w:t xml:space="preserve"> </w:t>
            </w:r>
            <w:r>
              <w:t xml:space="preserve">Medicine Supply Tool for approximate resolution dates): </w:t>
            </w:r>
          </w:p>
          <w:p w14:paraId="762208FA" w14:textId="77777777" w:rsidR="00B61513" w:rsidRDefault="00B61513" w:rsidP="00B61513"/>
          <w:p w14:paraId="12BF42B4" w14:textId="77777777" w:rsidR="00B61513" w:rsidRDefault="00B61513" w:rsidP="00B61513">
            <w:r>
              <w:t xml:space="preserve">1. Clinicians should continue to follow the actions set out in the National Patient Safety Alert issued in </w:t>
            </w:r>
            <w:hyperlink r:id="rId12">
              <w:r w:rsidRPr="008C5DB1">
                <w:rPr>
                  <w:rStyle w:val="Hyperlink"/>
                </w:rPr>
                <w:t>May</w:t>
              </w:r>
            </w:hyperlink>
            <w:r>
              <w:t xml:space="preserve"> and </w:t>
            </w:r>
            <w:hyperlink r:id="rId13">
              <w:r w:rsidRPr="008C5DB1">
                <w:rPr>
                  <w:rStyle w:val="Hyperlink"/>
                </w:rPr>
                <w:t>December</w:t>
              </w:r>
            </w:hyperlink>
            <w:r>
              <w:t xml:space="preserve"> 2024. </w:t>
            </w:r>
          </w:p>
          <w:p w14:paraId="4E6EABD0" w14:textId="77777777" w:rsidR="00B61513" w:rsidRDefault="00B61513" w:rsidP="00B61513"/>
          <w:p w14:paraId="06C21BCA" w14:textId="77777777" w:rsidR="00B61513" w:rsidRDefault="00B61513" w:rsidP="00B61513">
            <w:pPr>
              <w:rPr>
                <w:vertAlign w:val="superscript"/>
              </w:rPr>
            </w:pPr>
            <w:r>
              <w:t xml:space="preserve">2. NHS provider trust pharmacy procurement teams should ensure that where quantities greater than current demand are required, unlicensed imports should be considered. </w:t>
            </w:r>
            <w:r w:rsidRPr="00D5447B">
              <w:rPr>
                <w:vertAlign w:val="superscript"/>
              </w:rPr>
              <w:t>1</w:t>
            </w:r>
          </w:p>
          <w:p w14:paraId="5FB0C3F6" w14:textId="77777777" w:rsidR="00B61513" w:rsidRDefault="00B61513" w:rsidP="00B61513"/>
          <w:p w14:paraId="1B5A9B52" w14:textId="77777777" w:rsidR="00B61513" w:rsidRDefault="00B61513" w:rsidP="00B61513">
            <w:r>
              <w:t xml:space="preserve">3. To ensure that patients are not left without PERT, Integrated Care Boards (ICBs) should: </w:t>
            </w:r>
          </w:p>
          <w:p w14:paraId="7E05624A" w14:textId="77777777" w:rsidR="00B61513" w:rsidRDefault="00B61513" w:rsidP="00B61513"/>
          <w:p w14:paraId="2F98B85B" w14:textId="77777777" w:rsidR="00B61513" w:rsidRDefault="00B61513" w:rsidP="00B61513">
            <w:r>
              <w:t xml:space="preserve">a. put in place a local mitigation plan for instances when patients are unable to obtain stock from their community pharmacy or dispensing GP. </w:t>
            </w:r>
          </w:p>
          <w:p w14:paraId="10E53E1F" w14:textId="77777777" w:rsidR="00B61513" w:rsidRDefault="00B61513" w:rsidP="00B61513"/>
          <w:p w14:paraId="458CF48B" w14:textId="77777777" w:rsidR="00B61513" w:rsidRDefault="00B61513" w:rsidP="00B61513">
            <w:r>
              <w:t>b. cascade any local management plan to all community pharmacies and GP practices within the region, as well as local trust pharmacy teams.</w:t>
            </w:r>
          </w:p>
        </w:tc>
      </w:tr>
      <w:tr w:rsidR="00B61513" w14:paraId="281E9706" w14:textId="77777777" w:rsidTr="00AF4148">
        <w:trPr>
          <w:trHeight w:val="269"/>
        </w:trPr>
        <w:tc>
          <w:tcPr>
            <w:tcW w:w="10336" w:type="dxa"/>
            <w:vMerge/>
          </w:tcPr>
          <w:p w14:paraId="1E16C6BC" w14:textId="77777777" w:rsidR="00B61513" w:rsidRDefault="00B61513" w:rsidP="00B61513"/>
        </w:tc>
      </w:tr>
    </w:tbl>
    <w:p w14:paraId="7095981C" w14:textId="3894939A" w:rsidR="002D252A" w:rsidRPr="00183218" w:rsidRDefault="00B61513">
      <w:r>
        <w:t xml:space="preserve"> </w:t>
      </w:r>
      <w:hyperlink r:id="rId14">
        <w:r w:rsidR="38ADD4CC" w:rsidRPr="75AB105F">
          <w:rPr>
            <w:rStyle w:val="Hyperlink"/>
            <w:color w:val="FF0000"/>
          </w:rPr>
          <w:t>CAS-ViewAlert</w:t>
        </w:r>
      </w:hyperlink>
      <w:r w:rsidR="38ADD4CC" w:rsidRPr="75AB105F">
        <w:rPr>
          <w:color w:val="FF0000"/>
        </w:rPr>
        <w:t xml:space="preserve">: </w:t>
      </w:r>
      <w:r w:rsidR="35D9D34A" w:rsidRPr="75AB105F">
        <w:rPr>
          <w:color w:val="FF0000"/>
        </w:rPr>
        <w:t xml:space="preserve">The alerts received in </w:t>
      </w:r>
      <w:hyperlink r:id="rId15">
        <w:r w:rsidR="35D9D34A" w:rsidRPr="75AB105F">
          <w:rPr>
            <w:rStyle w:val="Hyperlink"/>
          </w:rPr>
          <w:t>May</w:t>
        </w:r>
      </w:hyperlink>
      <w:r w:rsidR="35D9D34A" w:rsidRPr="75AB105F">
        <w:rPr>
          <w:color w:val="FF0000"/>
        </w:rPr>
        <w:t xml:space="preserve"> and </w:t>
      </w:r>
      <w:hyperlink r:id="rId16">
        <w:r w:rsidR="35D9D34A" w:rsidRPr="75AB105F">
          <w:rPr>
            <w:rStyle w:val="Hyperlink"/>
          </w:rPr>
          <w:t>December</w:t>
        </w:r>
      </w:hyperlink>
      <w:r w:rsidR="35D9D34A" w:rsidRPr="75AB105F">
        <w:rPr>
          <w:color w:val="FF0000"/>
        </w:rPr>
        <w:t xml:space="preserve"> 2024 are </w:t>
      </w:r>
      <w:r w:rsidR="38ADD4CC" w:rsidRPr="75AB105F">
        <w:rPr>
          <w:color w:val="FF0000"/>
        </w:rPr>
        <w:t>safety critical and complex National Patient Safety Alert</w:t>
      </w:r>
      <w:r w:rsidR="35D9D34A" w:rsidRPr="75AB105F">
        <w:rPr>
          <w:color w:val="FF0000"/>
        </w:rPr>
        <w:t>s</w:t>
      </w:r>
      <w:r w:rsidR="38ADD4CC" w:rsidRPr="75AB105F">
        <w:rPr>
          <w:color w:val="FF0000"/>
        </w:rPr>
        <w:t xml:space="preserve">. </w:t>
      </w:r>
      <w:r w:rsidR="38ADD4CC" w:rsidRPr="00183218">
        <w:t>Implementation should be co-ordinated by an executive lead and supported by clinical leaders in pharmacy, community pharmacy, GP practices, and clinical leaders in respiratory, pancreatology, pancreatic surgery, dietetics and cancer.</w:t>
      </w:r>
    </w:p>
    <w:p w14:paraId="7A152004" w14:textId="77777777" w:rsidR="00B61513" w:rsidRDefault="00B61513" w:rsidP="00E050B0"/>
    <w:p w14:paraId="417A4E1D" w14:textId="60956668" w:rsidR="00E050B0" w:rsidRDefault="00E050B0" w:rsidP="00E050B0">
      <w:r>
        <w:t>There are limited supplies of pancreatic enzyme replacement therapies (PERT):</w:t>
      </w:r>
    </w:p>
    <w:p w14:paraId="110A9A89" w14:textId="00EEF7F0" w:rsidR="006820CF" w:rsidRDefault="00E050B0" w:rsidP="006820CF">
      <w:pPr>
        <w:spacing w:after="0"/>
        <w:ind w:left="720"/>
      </w:pPr>
      <w:r>
        <w:t>• Creon® 10,000</w:t>
      </w:r>
      <w:r w:rsidR="00E25FC3">
        <w:t xml:space="preserve"> </w:t>
      </w:r>
      <w:r w:rsidR="00E25FC3" w:rsidRPr="00E25FC3">
        <w:t>gastro-resistant capsules (Viatris UK Healthcare Ltd)</w:t>
      </w:r>
      <w:r w:rsidR="00E25FC3">
        <w:t xml:space="preserve"> </w:t>
      </w:r>
      <w:r w:rsidR="0099698A">
        <w:t>,</w:t>
      </w:r>
      <w:r w:rsidR="00A43612">
        <w:t xml:space="preserve"> </w:t>
      </w:r>
      <w:r w:rsidR="00E25FC3">
        <w:t xml:space="preserve">Creon® </w:t>
      </w:r>
      <w:r>
        <w:t>25,000</w:t>
      </w:r>
      <w:r w:rsidR="00E25FC3">
        <w:t xml:space="preserve"> </w:t>
      </w:r>
      <w:r w:rsidR="00E25FC3" w:rsidRPr="00E25FC3">
        <w:t>gastro-resistant capsules (Viatris UK Healthcare Ltd)</w:t>
      </w:r>
      <w:r w:rsidR="0099698A">
        <w:t xml:space="preserve"> and </w:t>
      </w:r>
      <w:r w:rsidR="0099698A" w:rsidRPr="0099698A">
        <w:t>Creon Micro Pancreatin 60.12mg gastro-resistant granules</w:t>
      </w:r>
      <w:r w:rsidR="00944CB1">
        <w:t xml:space="preserve"> </w:t>
      </w:r>
      <w:r>
        <w:t>remain in limited supply until 2026.</w:t>
      </w:r>
      <w:r w:rsidR="00E25FC3">
        <w:t xml:space="preserve"> Pancrex V® </w:t>
      </w:r>
      <w:r w:rsidR="00493A98">
        <w:t xml:space="preserve">125mg </w:t>
      </w:r>
      <w:r w:rsidR="00E25FC3">
        <w:t xml:space="preserve">capsules </w:t>
      </w:r>
      <w:r w:rsidR="006820CF">
        <w:t>are currently out of stock</w:t>
      </w:r>
      <w:r w:rsidR="00493A98">
        <w:t xml:space="preserve"> </w:t>
      </w:r>
      <w:r w:rsidR="006820CF">
        <w:t xml:space="preserve">without a supply date and </w:t>
      </w:r>
      <w:r w:rsidR="00880EC0">
        <w:t xml:space="preserve">the </w:t>
      </w:r>
      <w:r w:rsidR="006820CF">
        <w:t xml:space="preserve">340mg </w:t>
      </w:r>
      <w:r w:rsidR="00493A98">
        <w:t xml:space="preserve">capsules and oral powder is available however </w:t>
      </w:r>
      <w:r w:rsidR="00990568">
        <w:t>unable to</w:t>
      </w:r>
      <w:r w:rsidR="00493A98">
        <w:t xml:space="preserve"> </w:t>
      </w:r>
      <w:r w:rsidR="00990568">
        <w:t xml:space="preserve">fully </w:t>
      </w:r>
      <w:r w:rsidR="00493A98">
        <w:t>support an uplift in demand.</w:t>
      </w:r>
    </w:p>
    <w:p w14:paraId="6A1100A9" w14:textId="4B1E8A76" w:rsidR="006820CF" w:rsidRDefault="7F8658AB" w:rsidP="006820CF">
      <w:pPr>
        <w:ind w:left="720"/>
      </w:pPr>
      <w:r>
        <w:t xml:space="preserve">• Nutrizym® 22 capsules and are intermittently available but are unable to </w:t>
      </w:r>
      <w:r w:rsidR="001E1D5B">
        <w:t>supply a significant increase in demand</w:t>
      </w:r>
      <w:r>
        <w:t>.</w:t>
      </w:r>
    </w:p>
    <w:p w14:paraId="7E31245F" w14:textId="34F4EBD0" w:rsidR="001E1D5B" w:rsidRPr="00E008D2" w:rsidRDefault="001E1D5B" w:rsidP="001E1D5B">
      <w:r>
        <w:rPr>
          <w:b/>
          <w:bCs/>
        </w:rPr>
        <w:t xml:space="preserve">Please note: </w:t>
      </w:r>
      <w:r w:rsidRPr="009E4D48">
        <w:rPr>
          <w:b/>
          <w:bCs/>
        </w:rPr>
        <w:t>Patients must not be left without any PERT.</w:t>
      </w:r>
      <w:r w:rsidRPr="00E008D2">
        <w:t xml:space="preserve"> This can lead to hypoglycaemia, severe bowel symptoms, poor absorption of other medications and weight loss.</w:t>
      </w:r>
    </w:p>
    <w:p w14:paraId="0C0A662F" w14:textId="62D62241" w:rsidR="006820CF" w:rsidRDefault="006820CF" w:rsidP="00E050B0">
      <w:r>
        <w:t xml:space="preserve">The supply disruption of Creon® capsules is due to limited availability of raw ingredients and manufacturing capacity constraints to produce volumes needed to meet demand. There are currently intermittent deliveries to </w:t>
      </w:r>
      <w:r w:rsidR="00F52E3E">
        <w:t>wholesalers, however</w:t>
      </w:r>
      <w:r>
        <w:t xml:space="preserve">, the volumes are insufficient to meet full demand. Therefore, out of stock periods continue between each delivery. A </w:t>
      </w:r>
      <w:r w:rsidRPr="00C15A9D">
        <w:t xml:space="preserve">dedicated Creon team helpline is available on </w:t>
      </w:r>
      <w:bookmarkStart w:id="0" w:name="_Hlk203482380"/>
      <w:r w:rsidRPr="00C15A9D">
        <w:t>0800 808 6410</w:t>
      </w:r>
      <w:r>
        <w:t xml:space="preserve"> </w:t>
      </w:r>
      <w:bookmarkEnd w:id="0"/>
      <w:r>
        <w:t>to provide locations where stock is likely to be available</w:t>
      </w:r>
      <w:r w:rsidRPr="00C15A9D">
        <w:t xml:space="preserve">. From March 2025 Alliance Healthcare became the sole distributor of Creon. </w:t>
      </w:r>
    </w:p>
    <w:p w14:paraId="53591ACF" w14:textId="458F7963" w:rsidR="1F0FE116" w:rsidRDefault="1F0FE116">
      <w:r>
        <w:t xml:space="preserve">Unlicensed imports of Creon® capsules and alternative brands of PERT can be sourced, lead times vary </w:t>
      </w:r>
      <w:r w:rsidR="00BA48E2">
        <w:rPr>
          <w:rStyle w:val="FootnoteReference"/>
        </w:rPr>
        <w:footnoteReference w:id="2"/>
      </w:r>
      <w:r w:rsidR="00204B78">
        <w:t>. Impor</w:t>
      </w:r>
      <w:r w:rsidR="00204B78" w:rsidRPr="002C3BEF">
        <w:rPr>
          <w:bCs/>
        </w:rPr>
        <w:t xml:space="preserve">ted Pangrol® </w:t>
      </w:r>
      <w:r w:rsidR="00D85F62">
        <w:rPr>
          <w:bCs/>
        </w:rPr>
        <w:t xml:space="preserve">is available </w:t>
      </w:r>
      <w:r w:rsidR="00204B78" w:rsidRPr="002C3BEF">
        <w:rPr>
          <w:bCs/>
        </w:rPr>
        <w:t>via Oxford Pharmacy Store (OPS)</w:t>
      </w:r>
      <w:r w:rsidR="008E46FE">
        <w:rPr>
          <w:bCs/>
        </w:rPr>
        <w:t xml:space="preserve">, which specialist teams in HWE ICS have confirmed </w:t>
      </w:r>
      <w:r w:rsidR="00204B78" w:rsidRPr="002C3BEF">
        <w:rPr>
          <w:bCs/>
        </w:rPr>
        <w:t xml:space="preserve">is a </w:t>
      </w:r>
      <w:r w:rsidR="001E1D5B">
        <w:rPr>
          <w:bCs/>
        </w:rPr>
        <w:t>clinically equivalent</w:t>
      </w:r>
      <w:r w:rsidR="00DF1736">
        <w:rPr>
          <w:bCs/>
        </w:rPr>
        <w:t xml:space="preserve"> </w:t>
      </w:r>
      <w:r w:rsidR="00204B78" w:rsidRPr="002C3BEF">
        <w:rPr>
          <w:bCs/>
        </w:rPr>
        <w:t>brand to Creon®</w:t>
      </w:r>
      <w:r w:rsidR="00C94A68">
        <w:rPr>
          <w:bCs/>
        </w:rPr>
        <w:t>.</w:t>
      </w:r>
    </w:p>
    <w:p w14:paraId="7FA4933E" w14:textId="77777777" w:rsidR="009D1065" w:rsidRDefault="009D1065" w:rsidP="00226863">
      <w:pPr>
        <w:rPr>
          <w:b/>
          <w:bCs/>
        </w:rPr>
      </w:pPr>
    </w:p>
    <w:p w14:paraId="70BC642F" w14:textId="481B3D59" w:rsidR="008A44E7" w:rsidRPr="00C17DB0" w:rsidRDefault="00E34AA2" w:rsidP="00D01D9A">
      <w:pPr>
        <w:pStyle w:val="ListParagraph"/>
        <w:tabs>
          <w:tab w:val="left" w:pos="9600"/>
        </w:tabs>
        <w:rPr>
          <w:b/>
        </w:rPr>
      </w:pPr>
      <w:r>
        <w:rPr>
          <w:noProof/>
        </w:rPr>
        <mc:AlternateContent>
          <mc:Choice Requires="wps">
            <w:drawing>
              <wp:anchor distT="0" distB="0" distL="114300" distR="114300" simplePos="0" relativeHeight="251669505" behindDoc="0" locked="0" layoutInCell="1" allowOverlap="1" wp14:anchorId="4E6D3DC8" wp14:editId="580D677B">
                <wp:simplePos x="0" y="0"/>
                <wp:positionH relativeFrom="margin">
                  <wp:align>center</wp:align>
                </wp:positionH>
                <wp:positionV relativeFrom="paragraph">
                  <wp:posOffset>75565</wp:posOffset>
                </wp:positionV>
                <wp:extent cx="2486025" cy="19050"/>
                <wp:effectExtent l="0" t="0" r="28575" b="19050"/>
                <wp:wrapNone/>
                <wp:docPr id="1096909232" name="Straight Connector 2"/>
                <wp:cNvGraphicFramePr/>
                <a:graphic xmlns:a="http://schemas.openxmlformats.org/drawingml/2006/main">
                  <a:graphicData uri="http://schemas.microsoft.com/office/word/2010/wordprocessingShape">
                    <wps:wsp>
                      <wps:cNvCnPr/>
                      <wps:spPr>
                        <a:xfrm>
                          <a:off x="0" y="0"/>
                          <a:ext cx="248602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FA387B" id="Straight Connector 2" o:spid="_x0000_s1026" style="position:absolute;z-index:251669505;visibility:visible;mso-wrap-style:square;mso-wrap-distance-left:9pt;mso-wrap-distance-top:0;mso-wrap-distance-right:9pt;mso-wrap-distance-bottom:0;mso-position-horizontal:center;mso-position-horizontal-relative:margin;mso-position-vertical:absolute;mso-position-vertical-relative:text" from="0,5.95pt" to="195.7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" strokecolor="black [3200]" strokeweight=".5pt">
                <v:stroke joinstyle="miter"/>
                <w10:wrap anchorx="margin"/>
              </v:line>
            </w:pict>
          </mc:Fallback>
        </mc:AlternateContent>
      </w:r>
      <w:r w:rsidR="00D01D9A">
        <w:rPr>
          <w:b/>
        </w:rPr>
        <w:tab/>
      </w:r>
    </w:p>
    <w:p w14:paraId="21E222B5" w14:textId="600A11B3" w:rsidR="00D61597" w:rsidRPr="00183218" w:rsidRDefault="00FF5B64">
      <w:pPr>
        <w:rPr>
          <w:b/>
          <w:bCs/>
        </w:rPr>
      </w:pPr>
      <w:r>
        <w:rPr>
          <w:b/>
          <w:bCs/>
        </w:rPr>
        <w:t xml:space="preserve">Recommendations </w:t>
      </w:r>
      <w:r w:rsidR="005A06B9" w:rsidRPr="00183218">
        <w:rPr>
          <w:b/>
          <w:bCs/>
        </w:rPr>
        <w:t>for</w:t>
      </w:r>
      <w:r w:rsidR="00D61597" w:rsidRPr="00183218">
        <w:rPr>
          <w:b/>
          <w:bCs/>
        </w:rPr>
        <w:t xml:space="preserve"> community pharmacy:</w:t>
      </w:r>
    </w:p>
    <w:p w14:paraId="0B58A52D" w14:textId="220EB792" w:rsidR="00D71F09" w:rsidRDefault="104F7E2A" w:rsidP="00D71F09">
      <w:pPr>
        <w:pStyle w:val="ListParagraph"/>
        <w:numPr>
          <w:ilvl w:val="0"/>
          <w:numId w:val="11"/>
        </w:numPr>
      </w:pPr>
      <w:r>
        <w:t xml:space="preserve">Advise patients to order </w:t>
      </w:r>
      <w:r w:rsidRPr="007F506B">
        <w:t>prescriptions 2 weeks</w:t>
      </w:r>
      <w:r>
        <w:t xml:space="preserve"> ahead of need.</w:t>
      </w:r>
    </w:p>
    <w:p w14:paraId="1EA25932" w14:textId="5081AAAE" w:rsidR="00D71F09" w:rsidRDefault="64FE1612" w:rsidP="00D71F09">
      <w:pPr>
        <w:pStyle w:val="ListParagraph"/>
        <w:numPr>
          <w:ilvl w:val="0"/>
          <w:numId w:val="11"/>
        </w:numPr>
      </w:pPr>
      <w:r>
        <w:t xml:space="preserve">Pharmacists presented with </w:t>
      </w:r>
      <w:r w:rsidR="1662308A">
        <w:t xml:space="preserve">a </w:t>
      </w:r>
      <w:r>
        <w:t xml:space="preserve">repeat prescription for PERT should only supply the equivalent to </w:t>
      </w:r>
      <w:r w:rsidRPr="75AB105F">
        <w:rPr>
          <w:b/>
          <w:bCs/>
        </w:rPr>
        <w:t>one month’s supply</w:t>
      </w:r>
      <w:r>
        <w:t xml:space="preserve"> in accordance with</w:t>
      </w:r>
      <w:r w:rsidR="25A2AC4C">
        <w:t xml:space="preserve"> the Serious Shortage Protocols </w:t>
      </w:r>
      <w:hyperlink r:id="rId17">
        <w:r w:rsidRPr="75AB105F">
          <w:rPr>
            <w:rStyle w:val="Hyperlink"/>
          </w:rPr>
          <w:t>SSP060 and SSP061</w:t>
        </w:r>
      </w:hyperlink>
      <w:r>
        <w:t>.</w:t>
      </w:r>
    </w:p>
    <w:p w14:paraId="7BD686D5" w14:textId="6FF7FE60" w:rsidR="75AB105F" w:rsidRDefault="75AB105F" w:rsidP="75AB105F">
      <w:pPr>
        <w:pStyle w:val="ListParagraph"/>
      </w:pPr>
    </w:p>
    <w:p w14:paraId="47B51E4B" w14:textId="6B5CA584" w:rsidR="00F942B3" w:rsidRPr="007F506B" w:rsidRDefault="06DA2591" w:rsidP="75AB105F">
      <w:pPr>
        <w:pStyle w:val="ListParagraph"/>
        <w:numPr>
          <w:ilvl w:val="0"/>
          <w:numId w:val="3"/>
        </w:numPr>
      </w:pPr>
      <w:r w:rsidRPr="007F506B">
        <w:t xml:space="preserve">Check if it is possible to order licensed products </w:t>
      </w:r>
      <w:r w:rsidR="2981CEE4" w:rsidRPr="007F506B">
        <w:t>(</w:t>
      </w:r>
      <w:r w:rsidR="005A06B9">
        <w:t xml:space="preserve">by contacting </w:t>
      </w:r>
      <w:r w:rsidR="005A06B9" w:rsidRPr="007F506B">
        <w:t xml:space="preserve">AAH, Alliance and Phoenix </w:t>
      </w:r>
      <w:r w:rsidR="005A06B9">
        <w:t xml:space="preserve">wholesalers as </w:t>
      </w:r>
      <w:r w:rsidRPr="007F506B">
        <w:t xml:space="preserve">availability </w:t>
      </w:r>
      <w:r w:rsidR="0BF50368" w:rsidRPr="007F506B">
        <w:t xml:space="preserve">may </w:t>
      </w:r>
      <w:r w:rsidRPr="007F506B">
        <w:t>fluctuate</w:t>
      </w:r>
      <w:r w:rsidR="18F1F90C" w:rsidRPr="007F506B">
        <w:t>)</w:t>
      </w:r>
      <w:r w:rsidR="4F9DF4A2" w:rsidRPr="007F506B">
        <w:t>.</w:t>
      </w:r>
    </w:p>
    <w:p w14:paraId="4DE89ECD" w14:textId="4BB0E066" w:rsidR="6F219285" w:rsidRPr="007F506B" w:rsidRDefault="6F219285" w:rsidP="47752A79">
      <w:pPr>
        <w:pStyle w:val="ListParagraph"/>
        <w:numPr>
          <w:ilvl w:val="0"/>
          <w:numId w:val="3"/>
        </w:numPr>
      </w:pPr>
      <w:bookmarkStart w:id="1" w:name="_Hlk189042374"/>
      <w:r w:rsidRPr="007F506B">
        <w:rPr>
          <w:rFonts w:ascii="Calibri" w:eastAsia="Calibri" w:hAnsi="Calibri" w:cs="Calibri"/>
        </w:rPr>
        <w:t>Patients are generally advised to check stock in other pharmacies, and the PCN WhatsApp group can also be used for this purpose. However, with specialist medicines like Creon</w:t>
      </w:r>
      <w:r w:rsidR="002F5B02">
        <w:t>®</w:t>
      </w:r>
      <w:r w:rsidRPr="007F506B">
        <w:rPr>
          <w:rFonts w:ascii="Calibri" w:eastAsia="Calibri" w:hAnsi="Calibri" w:cs="Calibri"/>
        </w:rPr>
        <w:t>, this may be more difficult.</w:t>
      </w:r>
      <w:r w:rsidRPr="007F506B">
        <w:t xml:space="preserve"> </w:t>
      </w:r>
    </w:p>
    <w:bookmarkEnd w:id="1"/>
    <w:p w14:paraId="50DB7110" w14:textId="7303ED63" w:rsidR="00F942B3" w:rsidRPr="007F506B" w:rsidRDefault="0CDF140F" w:rsidP="75AB105F">
      <w:pPr>
        <w:pStyle w:val="ListParagraph"/>
        <w:numPr>
          <w:ilvl w:val="0"/>
          <w:numId w:val="3"/>
        </w:numPr>
      </w:pPr>
      <w:r w:rsidRPr="007F506B">
        <w:t>If the patients’ PERT preparation is showing as out of stock</w:t>
      </w:r>
      <w:r w:rsidR="76425DA2" w:rsidRPr="007F506B">
        <w:t xml:space="preserve">, </w:t>
      </w:r>
      <w:r w:rsidR="00121196">
        <w:t>it is recommended that it is</w:t>
      </w:r>
      <w:r w:rsidR="0A691BA3" w:rsidRPr="007F506B">
        <w:t xml:space="preserve"> </w:t>
      </w:r>
      <w:r w:rsidRPr="007F506B">
        <w:t>add</w:t>
      </w:r>
      <w:r w:rsidR="00121196">
        <w:t>ed</w:t>
      </w:r>
      <w:r w:rsidRPr="007F506B">
        <w:t xml:space="preserve"> onto the back-order list. </w:t>
      </w:r>
    </w:p>
    <w:p w14:paraId="1BB3B497" w14:textId="2D988457" w:rsidR="6E83B1A6" w:rsidRPr="007F506B" w:rsidRDefault="6E83B1A6" w:rsidP="742F9208">
      <w:pPr>
        <w:pStyle w:val="ListParagraph"/>
        <w:numPr>
          <w:ilvl w:val="0"/>
          <w:numId w:val="3"/>
        </w:numPr>
      </w:pPr>
      <w:bookmarkStart w:id="2" w:name="_Hlk189042495"/>
      <w:bookmarkStart w:id="3" w:name="_Hlk188979584"/>
      <w:r w:rsidRPr="007F506B">
        <w:t xml:space="preserve">If </w:t>
      </w:r>
      <w:r w:rsidR="0DA59ECB" w:rsidRPr="007F506B">
        <w:t xml:space="preserve">you </w:t>
      </w:r>
      <w:r w:rsidRPr="007F506B">
        <w:t xml:space="preserve">cannot get </w:t>
      </w:r>
      <w:r w:rsidR="2737E977" w:rsidRPr="007F506B">
        <w:t xml:space="preserve">the </w:t>
      </w:r>
      <w:r w:rsidRPr="007F506B">
        <w:t>licensed product</w:t>
      </w:r>
      <w:r w:rsidR="586A576F" w:rsidRPr="007F506B">
        <w:t xml:space="preserve"> required, let the prescriber know if you can obtain alternative licensed products </w:t>
      </w:r>
      <w:r w:rsidR="007F506B" w:rsidRPr="001C16C3">
        <w:t>(Nutrizym</w:t>
      </w:r>
      <w:bookmarkStart w:id="4" w:name="_Hlk204353877"/>
      <w:r w:rsidR="007F506B">
        <w:t>®</w:t>
      </w:r>
      <w:bookmarkEnd w:id="4"/>
      <w:r w:rsidR="007F506B" w:rsidRPr="001C16C3">
        <w:t xml:space="preserve"> </w:t>
      </w:r>
      <w:r w:rsidR="0048082B">
        <w:t xml:space="preserve">22 </w:t>
      </w:r>
      <w:r w:rsidR="007F506B" w:rsidRPr="001C16C3">
        <w:t>and Pancrex V</w:t>
      </w:r>
      <w:r w:rsidR="007F506B">
        <w:t>®</w:t>
      </w:r>
      <w:r w:rsidR="003A683E">
        <w:t>, if available</w:t>
      </w:r>
      <w:r w:rsidR="007F506B" w:rsidRPr="001C16C3">
        <w:t xml:space="preserve">) </w:t>
      </w:r>
      <w:r w:rsidR="00E716F2">
        <w:t>as options for the prescriber to make the appropriate clinical decision for</w:t>
      </w:r>
      <w:r w:rsidR="586A576F" w:rsidRPr="007F506B">
        <w:t xml:space="preserve"> a new prescription</w:t>
      </w:r>
      <w:r w:rsidR="004C66A4">
        <w:t xml:space="preserve"> with n</w:t>
      </w:r>
      <w:r w:rsidR="007F506B">
        <w:t xml:space="preserve">ew </w:t>
      </w:r>
      <w:r w:rsidR="538F6ACE" w:rsidRPr="007F506B">
        <w:t>dosage advice</w:t>
      </w:r>
      <w:r w:rsidR="00226863" w:rsidRPr="007F506B">
        <w:t xml:space="preserve"> (see </w:t>
      </w:r>
      <w:r w:rsidR="007F506B">
        <w:t xml:space="preserve">table </w:t>
      </w:r>
      <w:r w:rsidR="009D1065">
        <w:t xml:space="preserve">on page 3 </w:t>
      </w:r>
      <w:r w:rsidR="007F506B">
        <w:t xml:space="preserve">below and </w:t>
      </w:r>
      <w:hyperlink r:id="rId18" w:history="1">
        <w:r w:rsidR="007F506B" w:rsidRPr="007F506B">
          <w:rPr>
            <w:rStyle w:val="Hyperlink"/>
          </w:rPr>
          <w:t>SPS</w:t>
        </w:r>
      </w:hyperlink>
      <w:r w:rsidR="003A683E">
        <w:rPr>
          <w:rStyle w:val="Hyperlink"/>
        </w:rPr>
        <w:t xml:space="preserve"> and the </w:t>
      </w:r>
      <w:hyperlink r:id="rId19" w:history="1">
        <w:r w:rsidR="003A683E" w:rsidRPr="003A683E">
          <w:rPr>
            <w:rStyle w:val="Hyperlink"/>
          </w:rPr>
          <w:t>SPS Med</w:t>
        </w:r>
        <w:r w:rsidR="00FF5B64">
          <w:rPr>
            <w:rStyle w:val="Hyperlink"/>
          </w:rPr>
          <w:t>i</w:t>
        </w:r>
        <w:r w:rsidR="003A683E" w:rsidRPr="003A683E">
          <w:rPr>
            <w:rStyle w:val="Hyperlink"/>
          </w:rPr>
          <w:t>cines Supply Tool</w:t>
        </w:r>
      </w:hyperlink>
      <w:r w:rsidR="00226863" w:rsidRPr="007F506B">
        <w:t>)</w:t>
      </w:r>
      <w:r w:rsidR="008F686C" w:rsidRPr="007F506B">
        <w:t>.</w:t>
      </w:r>
    </w:p>
    <w:p w14:paraId="78F6AB8A" w14:textId="2C2E3B9F" w:rsidR="00E279AC" w:rsidRPr="00E279AC" w:rsidRDefault="586A576F" w:rsidP="00E279AC">
      <w:pPr>
        <w:pStyle w:val="ListParagraph"/>
        <w:numPr>
          <w:ilvl w:val="0"/>
          <w:numId w:val="3"/>
        </w:numPr>
        <w:rPr>
          <w:bCs/>
        </w:rPr>
      </w:pPr>
      <w:bookmarkStart w:id="5" w:name="_Hlk189042440"/>
      <w:bookmarkEnd w:id="2"/>
      <w:r>
        <w:t>If no licensed alternatives are available, contact</w:t>
      </w:r>
      <w:r w:rsidR="00E279AC">
        <w:t xml:space="preserve"> the GP for the unlicensed alternative Pangrol</w:t>
      </w:r>
      <w:r w:rsidR="00991E1D">
        <w:t>®</w:t>
      </w:r>
      <w:r w:rsidR="00E716F2">
        <w:t xml:space="preserve"> which is available from</w:t>
      </w:r>
      <w:r w:rsidR="002C3BEF">
        <w:rPr>
          <w:rFonts w:eastAsia="Aptos" w:cstheme="minorHAnsi"/>
          <w:b/>
        </w:rPr>
        <w:t xml:space="preserve"> </w:t>
      </w:r>
      <w:hyperlink r:id="rId20" w:history="1">
        <w:r w:rsidR="002C3BEF" w:rsidRPr="00AF4148">
          <w:rPr>
            <w:rStyle w:val="Hyperlink"/>
            <w:rFonts w:eastAsia="Aptos" w:cstheme="minorHAnsi"/>
          </w:rPr>
          <w:t>Oxford Pharmacy Store</w:t>
        </w:r>
      </w:hyperlink>
      <w:r w:rsidR="00E716F2">
        <w:t xml:space="preserve">. </w:t>
      </w:r>
      <w:bookmarkStart w:id="6" w:name="_Hlk189066088"/>
      <w:r w:rsidR="00E279AC" w:rsidRPr="00E279AC">
        <w:rPr>
          <w:rFonts w:eastAsia="Aptos" w:cstheme="minorHAnsi"/>
          <w:bCs/>
        </w:rPr>
        <w:t xml:space="preserve">If </w:t>
      </w:r>
      <w:r w:rsidR="00DF1736">
        <w:rPr>
          <w:rFonts w:eastAsia="Aptos" w:cstheme="minorHAnsi"/>
          <w:bCs/>
        </w:rPr>
        <w:t xml:space="preserve">stock is </w:t>
      </w:r>
      <w:r w:rsidR="00E279AC" w:rsidRPr="00E279AC">
        <w:rPr>
          <w:rFonts w:eastAsia="Aptos" w:cstheme="minorHAnsi"/>
          <w:bCs/>
        </w:rPr>
        <w:t xml:space="preserve">not available ask the patient or GP to contact </w:t>
      </w:r>
      <w:r w:rsidR="00E279AC" w:rsidRPr="00E279AC">
        <w:rPr>
          <w:bCs/>
        </w:rPr>
        <w:t>their specialist team</w:t>
      </w:r>
      <w:r w:rsidR="00E279AC">
        <w:rPr>
          <w:rFonts w:cstheme="minorHAnsi"/>
          <w:bCs/>
        </w:rPr>
        <w:t>.</w:t>
      </w:r>
    </w:p>
    <w:p w14:paraId="147F6099" w14:textId="77777777" w:rsidR="00524E98" w:rsidRPr="00013D39" w:rsidRDefault="00524E98" w:rsidP="00524E98">
      <w:pPr>
        <w:pStyle w:val="ListParagraph"/>
        <w:numPr>
          <w:ilvl w:val="0"/>
          <w:numId w:val="3"/>
        </w:numPr>
      </w:pPr>
      <w:r w:rsidRPr="00013D39">
        <w:rPr>
          <w:b/>
          <w:bCs/>
        </w:rPr>
        <w:t xml:space="preserve">Endorsing the Prescription </w:t>
      </w:r>
      <w:r w:rsidRPr="00013D39">
        <w:t xml:space="preserve">(as a non-Part VIIIB special) </w:t>
      </w:r>
    </w:p>
    <w:p w14:paraId="40CAB405" w14:textId="77777777" w:rsidR="00013D39" w:rsidRPr="00013D39" w:rsidRDefault="00013D39" w:rsidP="00524E98">
      <w:pPr>
        <w:pStyle w:val="ListParagraph"/>
      </w:pPr>
      <w:r w:rsidRPr="00013D39">
        <w:t xml:space="preserve">Make sure any Pangrol® scripts are endorsed with the following information: </w:t>
      </w:r>
    </w:p>
    <w:p w14:paraId="3B68F052" w14:textId="77777777" w:rsidR="00013D39" w:rsidRPr="00013D39" w:rsidRDefault="00013D39" w:rsidP="003C0CD9">
      <w:pPr>
        <w:pStyle w:val="ListParagraph"/>
        <w:numPr>
          <w:ilvl w:val="0"/>
          <w:numId w:val="26"/>
        </w:numPr>
      </w:pPr>
      <w:r w:rsidRPr="00013D39">
        <w:t xml:space="preserve">Amount dispensed over pack size (200) </w:t>
      </w:r>
      <w:proofErr w:type="gramStart"/>
      <w:r w:rsidRPr="00013D39">
        <w:t>used;</w:t>
      </w:r>
      <w:proofErr w:type="gramEnd"/>
      <w:r w:rsidRPr="00013D39">
        <w:t xml:space="preserve"> </w:t>
      </w:r>
    </w:p>
    <w:p w14:paraId="43D83EB9" w14:textId="20C1F79C" w:rsidR="00013D39" w:rsidRPr="00013D39" w:rsidRDefault="00013D39" w:rsidP="003C0CD9">
      <w:pPr>
        <w:pStyle w:val="ListParagraph"/>
        <w:numPr>
          <w:ilvl w:val="0"/>
          <w:numId w:val="26"/>
        </w:numPr>
      </w:pPr>
      <w:r w:rsidRPr="00013D39">
        <w:t xml:space="preserve">Invoice price per pack size from which the order was supplied less any discount  </w:t>
      </w:r>
    </w:p>
    <w:p w14:paraId="59EB1D3E" w14:textId="77777777" w:rsidR="00013D39" w:rsidRPr="00013D39" w:rsidRDefault="00013D39" w:rsidP="003C0CD9">
      <w:pPr>
        <w:pStyle w:val="ListParagraph"/>
        <w:numPr>
          <w:ilvl w:val="0"/>
          <w:numId w:val="26"/>
        </w:numPr>
      </w:pPr>
      <w:r w:rsidRPr="00013D39">
        <w:t xml:space="preserve">Make sure to include delivery cost </w:t>
      </w:r>
    </w:p>
    <w:p w14:paraId="30EBA431" w14:textId="19A7ED83" w:rsidR="00013D39" w:rsidRPr="00013D39" w:rsidRDefault="00013D39" w:rsidP="003C0CD9">
      <w:pPr>
        <w:pStyle w:val="ListParagraph"/>
        <w:numPr>
          <w:ilvl w:val="0"/>
          <w:numId w:val="26"/>
        </w:numPr>
      </w:pPr>
      <w:r w:rsidRPr="00013D39">
        <w:t xml:space="preserve">Manufacturers’/importers’ (Target Healthcare) MHRA licence number which </w:t>
      </w:r>
      <w:proofErr w:type="gramStart"/>
      <w:r w:rsidRPr="00013D39">
        <w:t>is;</w:t>
      </w:r>
      <w:proofErr w:type="gramEnd"/>
      <w:r w:rsidRPr="00013D39">
        <w:t xml:space="preserve"> MS43086/ WDA(H)43086 </w:t>
      </w:r>
    </w:p>
    <w:p w14:paraId="1D86D520" w14:textId="5563295F" w:rsidR="00524E98" w:rsidRDefault="00013D39" w:rsidP="003C0CD9">
      <w:pPr>
        <w:pStyle w:val="ListParagraph"/>
        <w:numPr>
          <w:ilvl w:val="0"/>
          <w:numId w:val="26"/>
        </w:numPr>
      </w:pPr>
      <w:r w:rsidRPr="00013D39">
        <w:t>Batch number of the product supplied</w:t>
      </w:r>
      <w:r w:rsidR="00524E98">
        <w:t xml:space="preserve"> and “SP”.</w:t>
      </w:r>
    </w:p>
    <w:p w14:paraId="4F0B033E" w14:textId="12787B64" w:rsidR="00524E98" w:rsidRPr="00013D39" w:rsidRDefault="00524E98" w:rsidP="00524E98">
      <w:pPr>
        <w:pStyle w:val="ListParagraph"/>
        <w:numPr>
          <w:ilvl w:val="0"/>
          <w:numId w:val="3"/>
        </w:numPr>
      </w:pPr>
      <w:r w:rsidRPr="00524E98">
        <w:t xml:space="preserve">Advise patient to contact prescriber or specialist if experiencing any problems taking Pangrol® </w:t>
      </w:r>
    </w:p>
    <w:p w14:paraId="77E84310" w14:textId="77777777" w:rsidR="00013D39" w:rsidRPr="00013D39" w:rsidRDefault="00013D39" w:rsidP="00013D39">
      <w:pPr>
        <w:pStyle w:val="ListParagraph"/>
      </w:pPr>
    </w:p>
    <w:p w14:paraId="75D903F7" w14:textId="3591CDA2" w:rsidR="00013D39" w:rsidRDefault="00013D39" w:rsidP="00013D39">
      <w:pPr>
        <w:pStyle w:val="ListParagraph"/>
      </w:pPr>
      <w:r w:rsidRPr="00013D39">
        <w:t xml:space="preserve">Please refer to NHS BSA guidance: </w:t>
      </w:r>
      <w:hyperlink r:id="rId21" w:history="1">
        <w:r w:rsidRPr="00A0355B">
          <w:rPr>
            <w:rStyle w:val="Hyperlink"/>
          </w:rPr>
          <w:t>https://faq.nhsbsa.nhs.uk/knowledgebase/article/KA-03292/en-us</w:t>
        </w:r>
      </w:hyperlink>
    </w:p>
    <w:p w14:paraId="688CCC76" w14:textId="77777777" w:rsidR="00013D39" w:rsidRPr="00204B78" w:rsidRDefault="00013D39" w:rsidP="00013D39">
      <w:pPr>
        <w:pStyle w:val="ListParagraph"/>
      </w:pPr>
    </w:p>
    <w:p w14:paraId="1789E37F" w14:textId="77777777" w:rsidR="00204B78" w:rsidRDefault="00204B78" w:rsidP="00204B78">
      <w:pPr>
        <w:pStyle w:val="ListParagraph"/>
        <w:rPr>
          <w:rFonts w:eastAsia="Aptos" w:cstheme="minorHAnsi"/>
          <w:b/>
        </w:rPr>
      </w:pPr>
    </w:p>
    <w:p w14:paraId="626963AA" w14:textId="2AEF5B6A" w:rsidR="00204B78" w:rsidRDefault="00204B78" w:rsidP="00204B78">
      <w:pPr>
        <w:pStyle w:val="ListParagraph"/>
        <w:rPr>
          <w:rFonts w:eastAsia="Aptos" w:cstheme="minorHAnsi"/>
          <w:b/>
        </w:rPr>
      </w:pPr>
      <w:r>
        <w:rPr>
          <w:rFonts w:eastAsia="Aptos" w:cstheme="minorHAnsi"/>
          <w:b/>
        </w:rPr>
        <w:t>How to set up an account with Oxford Pharmacy Store:</w:t>
      </w:r>
    </w:p>
    <w:p w14:paraId="7715F604" w14:textId="77777777" w:rsidR="00204B78" w:rsidRDefault="00204B78" w:rsidP="00204B78">
      <w:pPr>
        <w:pStyle w:val="ListParagraph"/>
      </w:pPr>
    </w:p>
    <w:p w14:paraId="4E2AD2C6" w14:textId="51C1946F" w:rsidR="00204B78" w:rsidRDefault="00204B78" w:rsidP="00204B78">
      <w:pPr>
        <w:pStyle w:val="ListParagraph"/>
      </w:pPr>
      <w:r>
        <w:t>Fill in the registration form on the following link and follow the instructions on the webpage:</w:t>
      </w:r>
    </w:p>
    <w:p w14:paraId="1A058847" w14:textId="77777777" w:rsidR="00B4256E" w:rsidRDefault="00204B78" w:rsidP="00204B78">
      <w:pPr>
        <w:pStyle w:val="ListParagraph"/>
      </w:pPr>
      <w:hyperlink r:id="rId22" w:history="1">
        <w:r w:rsidRPr="00204B78">
          <w:rPr>
            <w:rStyle w:val="Hyperlink"/>
          </w:rPr>
          <w:t>Oxford Pharmacy Store Register for a New Account : Oxford Pharmacy Store</w:t>
        </w:r>
      </w:hyperlink>
      <w:r w:rsidR="00C95950">
        <w:t xml:space="preserve">. </w:t>
      </w:r>
    </w:p>
    <w:p w14:paraId="056576FD" w14:textId="3D37F6EA" w:rsidR="00204B78" w:rsidRDefault="00013D39" w:rsidP="00204B78">
      <w:pPr>
        <w:pStyle w:val="ListParagraph"/>
      </w:pPr>
      <w:r>
        <w:t>For any queries their</w:t>
      </w:r>
      <w:r w:rsidR="00C95950">
        <w:t xml:space="preserve"> contact number is: </w:t>
      </w:r>
      <w:r w:rsidR="00C95950" w:rsidRPr="00C95950">
        <w:t>01865 904 141</w:t>
      </w:r>
      <w:r w:rsidR="00B4256E">
        <w:t xml:space="preserve"> or email </w:t>
      </w:r>
      <w:r w:rsidR="00B4256E" w:rsidRPr="00B4256E">
        <w:rPr>
          <w:b/>
          <w:bCs/>
        </w:rPr>
        <w:t> </w:t>
      </w:r>
      <w:hyperlink r:id="rId23" w:history="1">
        <w:r w:rsidR="00B4256E" w:rsidRPr="00B4256E">
          <w:rPr>
            <w:rStyle w:val="Hyperlink"/>
            <w:b/>
            <w:bCs/>
          </w:rPr>
          <w:t>ops.orders@oxfordhealth.nhs.uk</w:t>
        </w:r>
      </w:hyperlink>
    </w:p>
    <w:p w14:paraId="4AE2919F" w14:textId="77777777" w:rsidR="00204B78" w:rsidRDefault="00204B78" w:rsidP="00204B78">
      <w:pPr>
        <w:pStyle w:val="ListParagraph"/>
      </w:pPr>
    </w:p>
    <w:bookmarkEnd w:id="3"/>
    <w:bookmarkEnd w:id="5"/>
    <w:bookmarkEnd w:id="6"/>
    <w:p w14:paraId="5DABFC94" w14:textId="5A32178A" w:rsidR="00F942B3" w:rsidRDefault="653D88FD" w:rsidP="47752A79">
      <w:pPr>
        <w:rPr>
          <w:i/>
          <w:iCs/>
        </w:rPr>
      </w:pPr>
      <w:r w:rsidRPr="47752A79">
        <w:rPr>
          <w:i/>
          <w:iCs/>
        </w:rPr>
        <w:t xml:space="preserve">For guidance on ordering and prescribing unlicensed imports see </w:t>
      </w:r>
      <w:hyperlink r:id="rId24" w:anchor=":~:text=specific%20product%20information.-,Guidance%20on%20ordering%20and%20prescribing%20unlicensed%20imports,-Any%20decision%20to" w:history="1">
        <w:r w:rsidRPr="001017E7">
          <w:rPr>
            <w:rStyle w:val="Hyperlink"/>
            <w:i/>
            <w:iCs/>
          </w:rPr>
          <w:t>here</w:t>
        </w:r>
      </w:hyperlink>
      <w:r w:rsidRPr="47752A79">
        <w:rPr>
          <w:i/>
          <w:iCs/>
        </w:rPr>
        <w:t>.</w:t>
      </w:r>
    </w:p>
    <w:p w14:paraId="5B4B80E2" w14:textId="1331D6D7" w:rsidR="00783244" w:rsidRDefault="001715BA" w:rsidP="00944CB1">
      <w:pPr>
        <w:rPr>
          <w:i/>
          <w:iCs/>
        </w:rPr>
      </w:pPr>
      <w:hyperlink r:id="rId25" w:history="1">
        <w:r w:rsidRPr="001715BA">
          <w:rPr>
            <w:rStyle w:val="Hyperlink"/>
            <w:i/>
            <w:iCs/>
          </w:rPr>
          <w:t>Community Pharmacy England</w:t>
        </w:r>
      </w:hyperlink>
      <w:r>
        <w:rPr>
          <w:i/>
          <w:iCs/>
        </w:rPr>
        <w:t xml:space="preserve"> provide practical advice on the supply of unlicensed PERT preparations.</w:t>
      </w:r>
    </w:p>
    <w:p w14:paraId="2F6988CA" w14:textId="77777777" w:rsidR="00783244" w:rsidRDefault="00783244" w:rsidP="00944CB1">
      <w:pPr>
        <w:rPr>
          <w:i/>
          <w:iCs/>
        </w:rPr>
      </w:pPr>
    </w:p>
    <w:p w14:paraId="333FECEA" w14:textId="77777777" w:rsidR="00D01D9A" w:rsidRDefault="00D01D9A" w:rsidP="00944CB1">
      <w:pPr>
        <w:rPr>
          <w:b/>
          <w:bCs/>
        </w:rPr>
      </w:pPr>
    </w:p>
    <w:p w14:paraId="1BC338BD" w14:textId="77777777" w:rsidR="00D01D9A" w:rsidRDefault="00D01D9A" w:rsidP="00944CB1">
      <w:pPr>
        <w:rPr>
          <w:b/>
          <w:bCs/>
        </w:rPr>
      </w:pPr>
    </w:p>
    <w:p w14:paraId="3B059063" w14:textId="77777777" w:rsidR="00D01D9A" w:rsidRDefault="00D01D9A" w:rsidP="00944CB1">
      <w:pPr>
        <w:rPr>
          <w:b/>
          <w:bCs/>
        </w:rPr>
      </w:pPr>
    </w:p>
    <w:p w14:paraId="686A9A72" w14:textId="603A636F" w:rsidR="00E008D2" w:rsidRPr="00E008D2" w:rsidRDefault="00E279AC" w:rsidP="00944CB1">
      <w:pPr>
        <w:rPr>
          <w:rFonts w:ascii="Calibri" w:eastAsia="Calibri" w:hAnsi="Calibri" w:cs="Calibri"/>
          <w:color w:val="0563C1"/>
          <w:u w:val="single"/>
        </w:rPr>
      </w:pPr>
      <w:r w:rsidRPr="00E279AC">
        <w:rPr>
          <w:b/>
          <w:bCs/>
        </w:rPr>
        <w:lastRenderedPageBreak/>
        <w:t>Product Comparisons</w:t>
      </w:r>
      <w:r w:rsidR="00F52E3E">
        <w:rPr>
          <w:b/>
          <w:bCs/>
        </w:rPr>
        <w:t xml:space="preserve">: </w:t>
      </w:r>
      <w:r w:rsidR="00925D66">
        <w:t>T</w:t>
      </w:r>
      <w:r w:rsidR="08407B38">
        <w:t xml:space="preserve">o calculate </w:t>
      </w:r>
      <w:r w:rsidR="009D1065">
        <w:t>the</w:t>
      </w:r>
      <w:r w:rsidR="08407B38">
        <w:t xml:space="preserve"> new correct dosing regime </w:t>
      </w:r>
      <w:r w:rsidR="4991F56E" w:rsidRPr="742F9208">
        <w:rPr>
          <w:rFonts w:ascii="Calibri" w:eastAsia="Calibri" w:hAnsi="Calibri" w:cs="Calibri"/>
        </w:rPr>
        <w:t>see</w:t>
      </w:r>
      <w:r w:rsidR="4991F56E" w:rsidRPr="742F9208">
        <w:rPr>
          <w:rFonts w:ascii="Calibri" w:eastAsia="Calibri" w:hAnsi="Calibri" w:cs="Calibri"/>
          <w:b/>
          <w:bCs/>
        </w:rPr>
        <w:t xml:space="preserve"> </w:t>
      </w:r>
      <w:r w:rsidR="6741CA1B" w:rsidRPr="742F9208">
        <w:rPr>
          <w:rFonts w:ascii="Calibri" w:eastAsia="Calibri" w:hAnsi="Calibri" w:cs="Calibri"/>
          <w:b/>
          <w:bCs/>
        </w:rPr>
        <w:t xml:space="preserve">SPS website: </w:t>
      </w:r>
      <w:hyperlink r:id="rId26">
        <w:r w:rsidR="4991F56E" w:rsidRPr="742F9208">
          <w:rPr>
            <w:rStyle w:val="Hyperlink"/>
            <w:rFonts w:ascii="Calibri" w:eastAsia="Calibri" w:hAnsi="Calibri" w:cs="Calibri"/>
            <w:b/>
            <w:bCs/>
          </w:rPr>
          <w:t>Find PERT alternatives and equivalences</w:t>
        </w:r>
      </w:hyperlink>
      <w:r w:rsidR="4991F56E" w:rsidRPr="742F9208">
        <w:rPr>
          <w:rFonts w:ascii="Calibri" w:eastAsia="Calibri" w:hAnsi="Calibri" w:cs="Calibri"/>
          <w:b/>
          <w:bCs/>
        </w:rPr>
        <w:t xml:space="preserve"> </w:t>
      </w:r>
    </w:p>
    <w:p w14:paraId="5CB3EC0B" w14:textId="77777777" w:rsidR="00E008D2" w:rsidRPr="00E008D2" w:rsidRDefault="1FF49C08" w:rsidP="00E008D2">
      <w:r>
        <w:rPr>
          <w:noProof/>
        </w:rPr>
        <w:drawing>
          <wp:inline distT="0" distB="0" distL="0" distR="0" wp14:anchorId="0C49469A" wp14:editId="0CB38CB0">
            <wp:extent cx="5731510" cy="3450590"/>
            <wp:effectExtent l="0" t="0" r="2540" b="0"/>
            <wp:docPr id="1257846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7">
                      <a:extLst>
                        <a:ext uri="{28A0092B-C50C-407E-A947-70E740481C1C}">
                          <a14:useLocalDpi xmlns:a14="http://schemas.microsoft.com/office/drawing/2010/main" val="0"/>
                        </a:ext>
                      </a:extLst>
                    </a:blip>
                    <a:stretch>
                      <a:fillRect/>
                    </a:stretch>
                  </pic:blipFill>
                  <pic:spPr>
                    <a:xfrm>
                      <a:off x="0" y="0"/>
                      <a:ext cx="5731510" cy="3450590"/>
                    </a:xfrm>
                    <a:prstGeom prst="rect">
                      <a:avLst/>
                    </a:prstGeom>
                  </pic:spPr>
                </pic:pic>
              </a:graphicData>
            </a:graphic>
          </wp:inline>
        </w:drawing>
      </w:r>
    </w:p>
    <w:p w14:paraId="5CC3F444" w14:textId="545FF285" w:rsidR="00E279AC" w:rsidRDefault="00E279AC" w:rsidP="00E279AC">
      <w:r>
        <w:rPr>
          <w:b/>
          <w:bCs/>
        </w:rPr>
        <w:t>Comparison Table for Pangrol</w:t>
      </w:r>
      <w:r w:rsidR="00991E1D">
        <w:t>®</w:t>
      </w:r>
      <w:r>
        <w:rPr>
          <w:b/>
          <w:bCs/>
        </w:rPr>
        <w:t xml:space="preserve"> and Creon</w:t>
      </w:r>
      <w:r w:rsidR="00991E1D">
        <w:t>®</w:t>
      </w:r>
    </w:p>
    <w:p w14:paraId="2D6F3CB4" w14:textId="04C34823" w:rsidR="00BA6851" w:rsidRPr="00AF4148" w:rsidRDefault="00BA6851" w:rsidP="00E279AC">
      <w:r>
        <w:rPr>
          <w:bCs/>
        </w:rPr>
        <w:t xml:space="preserve">Specialist teams in HWE ICS have confirmed </w:t>
      </w:r>
      <w:r w:rsidRPr="00AF4148">
        <w:t>Pangrol</w:t>
      </w:r>
      <w:r w:rsidRPr="00BA6851">
        <w:t>®</w:t>
      </w:r>
      <w:r>
        <w:rPr>
          <w:b/>
          <w:bCs/>
        </w:rPr>
        <w:t xml:space="preserve"> </w:t>
      </w:r>
      <w:r w:rsidRPr="002C3BEF">
        <w:rPr>
          <w:bCs/>
        </w:rPr>
        <w:t xml:space="preserve">is a </w:t>
      </w:r>
      <w:r>
        <w:rPr>
          <w:bCs/>
        </w:rPr>
        <w:t xml:space="preserve">clinically equivalent </w:t>
      </w:r>
      <w:r w:rsidRPr="002C3BEF">
        <w:rPr>
          <w:bCs/>
        </w:rPr>
        <w:t>brand to Creon®</w:t>
      </w:r>
      <w:r>
        <w:rPr>
          <w:bCs/>
        </w:rPr>
        <w:t>.</w:t>
      </w:r>
    </w:p>
    <w:tbl>
      <w:tblPr>
        <w:tblStyle w:val="TableGrid"/>
        <w:tblW w:w="0" w:type="auto"/>
        <w:tblInd w:w="137" w:type="dxa"/>
        <w:tblLook w:val="04A0" w:firstRow="1" w:lastRow="0" w:firstColumn="1" w:lastColumn="0" w:noHBand="0" w:noVBand="1"/>
      </w:tblPr>
      <w:tblGrid>
        <w:gridCol w:w="1559"/>
        <w:gridCol w:w="3044"/>
        <w:gridCol w:w="1886"/>
        <w:gridCol w:w="1912"/>
        <w:gridCol w:w="1918"/>
      </w:tblGrid>
      <w:tr w:rsidR="00DF1736" w14:paraId="7023E52E" w14:textId="77777777" w:rsidTr="00AF4148">
        <w:tc>
          <w:tcPr>
            <w:tcW w:w="1559" w:type="dxa"/>
          </w:tcPr>
          <w:p w14:paraId="647EC804" w14:textId="77777777" w:rsidR="00E279AC" w:rsidRPr="00783244" w:rsidRDefault="00E279AC" w:rsidP="00082DA5">
            <w:pPr>
              <w:pStyle w:val="ListParagraph"/>
              <w:ind w:left="0"/>
              <w:rPr>
                <w:rFonts w:cstheme="minorHAnsi"/>
              </w:rPr>
            </w:pPr>
          </w:p>
        </w:tc>
        <w:tc>
          <w:tcPr>
            <w:tcW w:w="3044" w:type="dxa"/>
          </w:tcPr>
          <w:p w14:paraId="6ECC3032" w14:textId="77777777" w:rsidR="00E279AC" w:rsidRPr="00783244" w:rsidRDefault="00E279AC" w:rsidP="00082DA5">
            <w:pPr>
              <w:pStyle w:val="ListParagraph"/>
              <w:ind w:left="0"/>
              <w:rPr>
                <w:rFonts w:cstheme="minorHAnsi"/>
              </w:rPr>
            </w:pPr>
          </w:p>
        </w:tc>
        <w:tc>
          <w:tcPr>
            <w:tcW w:w="1886" w:type="dxa"/>
          </w:tcPr>
          <w:p w14:paraId="2A61D9D6" w14:textId="77777777" w:rsidR="00E279AC" w:rsidRPr="00783244" w:rsidRDefault="00E279AC" w:rsidP="00082DA5">
            <w:pPr>
              <w:rPr>
                <w:rFonts w:cstheme="minorHAnsi"/>
                <w:b/>
                <w:bCs/>
              </w:rPr>
            </w:pPr>
            <w:r w:rsidRPr="00783244">
              <w:rPr>
                <w:rFonts w:cstheme="minorHAnsi"/>
                <w:b/>
                <w:bCs/>
              </w:rPr>
              <w:t xml:space="preserve">Lipase </w:t>
            </w:r>
            <w:r>
              <w:rPr>
                <w:rFonts w:cstheme="minorHAnsi"/>
                <w:b/>
                <w:bCs/>
              </w:rPr>
              <w:t>/Ph Eur. Units</w:t>
            </w:r>
          </w:p>
        </w:tc>
        <w:tc>
          <w:tcPr>
            <w:tcW w:w="1912" w:type="dxa"/>
          </w:tcPr>
          <w:p w14:paraId="06EEC156" w14:textId="77777777" w:rsidR="00E279AC" w:rsidRPr="00783244" w:rsidRDefault="00E279AC" w:rsidP="00082DA5">
            <w:pPr>
              <w:rPr>
                <w:rFonts w:cstheme="minorHAnsi"/>
                <w:b/>
                <w:bCs/>
              </w:rPr>
            </w:pPr>
            <w:r w:rsidRPr="00783244">
              <w:rPr>
                <w:rFonts w:cstheme="minorHAnsi"/>
                <w:b/>
                <w:bCs/>
              </w:rPr>
              <w:t xml:space="preserve">Amylase </w:t>
            </w:r>
            <w:r>
              <w:rPr>
                <w:rFonts w:cstheme="minorHAnsi"/>
                <w:b/>
                <w:bCs/>
              </w:rPr>
              <w:t>/ Ph Eur. units</w:t>
            </w:r>
          </w:p>
          <w:p w14:paraId="107BA483" w14:textId="77777777" w:rsidR="00E279AC" w:rsidRPr="00783244" w:rsidRDefault="00E279AC" w:rsidP="00082DA5">
            <w:pPr>
              <w:rPr>
                <w:rFonts w:cstheme="minorHAnsi"/>
                <w:b/>
                <w:bCs/>
              </w:rPr>
            </w:pPr>
          </w:p>
        </w:tc>
        <w:tc>
          <w:tcPr>
            <w:tcW w:w="1918" w:type="dxa"/>
          </w:tcPr>
          <w:p w14:paraId="7262E5C4" w14:textId="77777777" w:rsidR="00E279AC" w:rsidRPr="00783244" w:rsidRDefault="00E279AC" w:rsidP="00082DA5">
            <w:pPr>
              <w:rPr>
                <w:rFonts w:cstheme="minorHAnsi"/>
                <w:b/>
                <w:bCs/>
              </w:rPr>
            </w:pPr>
            <w:r w:rsidRPr="00783244">
              <w:rPr>
                <w:rFonts w:cstheme="minorHAnsi"/>
                <w:b/>
                <w:bCs/>
              </w:rPr>
              <w:t xml:space="preserve">Protease </w:t>
            </w:r>
            <w:r>
              <w:rPr>
                <w:rFonts w:cstheme="minorHAnsi"/>
                <w:b/>
                <w:bCs/>
              </w:rPr>
              <w:t xml:space="preserve"> / Ph Eur. units</w:t>
            </w:r>
          </w:p>
          <w:p w14:paraId="57158889" w14:textId="77777777" w:rsidR="00E279AC" w:rsidRPr="00783244" w:rsidRDefault="00E279AC" w:rsidP="00082DA5">
            <w:pPr>
              <w:pStyle w:val="ListParagraph"/>
              <w:rPr>
                <w:rFonts w:cstheme="minorHAnsi"/>
                <w:b/>
                <w:bCs/>
              </w:rPr>
            </w:pPr>
          </w:p>
        </w:tc>
      </w:tr>
      <w:tr w:rsidR="00DF1736" w14:paraId="3CB448AE" w14:textId="77777777" w:rsidTr="00AF4148">
        <w:tc>
          <w:tcPr>
            <w:tcW w:w="1559" w:type="dxa"/>
          </w:tcPr>
          <w:p w14:paraId="2C1C07C1"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b/>
                <w:bCs/>
                <w:sz w:val="22"/>
                <w:szCs w:val="22"/>
              </w:rPr>
              <w:t xml:space="preserve">Creon 10,000 </w:t>
            </w:r>
          </w:p>
          <w:p w14:paraId="4A623C46" w14:textId="77777777" w:rsidR="00E279AC" w:rsidRPr="00783244" w:rsidRDefault="00E279AC" w:rsidP="00082DA5">
            <w:pPr>
              <w:pStyle w:val="ListParagraph"/>
              <w:ind w:left="0"/>
              <w:rPr>
                <w:rFonts w:cstheme="minorHAnsi"/>
              </w:rPr>
            </w:pPr>
          </w:p>
        </w:tc>
        <w:tc>
          <w:tcPr>
            <w:tcW w:w="3044" w:type="dxa"/>
          </w:tcPr>
          <w:p w14:paraId="18EC16A2" w14:textId="79CA6D4C" w:rsidR="00E279AC" w:rsidRPr="00F43E3D" w:rsidRDefault="00E279AC" w:rsidP="00AF4148">
            <w:pPr>
              <w:pStyle w:val="Default"/>
            </w:pPr>
            <w:r w:rsidRPr="00783244">
              <w:rPr>
                <w:rFonts w:asciiTheme="minorHAnsi" w:hAnsiTheme="minorHAnsi" w:cstheme="minorHAnsi"/>
                <w:sz w:val="22"/>
                <w:szCs w:val="22"/>
              </w:rPr>
              <w:t>Each capsule contains brow</w:t>
            </w:r>
            <w:r>
              <w:rPr>
                <w:rFonts w:asciiTheme="minorHAnsi" w:hAnsiTheme="minorHAnsi" w:cstheme="minorHAnsi"/>
                <w:sz w:val="22"/>
                <w:szCs w:val="22"/>
              </w:rPr>
              <w:t>n/clear gastro-resistant</w:t>
            </w:r>
            <w:r w:rsidRPr="00783244">
              <w:rPr>
                <w:rFonts w:asciiTheme="minorHAnsi" w:hAnsiTheme="minorHAnsi" w:cstheme="minorHAnsi"/>
                <w:sz w:val="22"/>
                <w:szCs w:val="22"/>
              </w:rPr>
              <w:t xml:space="preserve"> </w:t>
            </w:r>
            <w:r w:rsidR="00DF1736">
              <w:rPr>
                <w:rFonts w:asciiTheme="minorHAnsi" w:hAnsiTheme="minorHAnsi" w:cstheme="minorHAnsi"/>
                <w:sz w:val="22"/>
                <w:szCs w:val="22"/>
              </w:rPr>
              <w:t>m</w:t>
            </w:r>
            <w:r w:rsidR="00DF1736" w:rsidRPr="00783244">
              <w:rPr>
                <w:rFonts w:asciiTheme="minorHAnsi" w:hAnsiTheme="minorHAnsi" w:cstheme="minorHAnsi"/>
                <w:sz w:val="22"/>
                <w:szCs w:val="22"/>
              </w:rPr>
              <w:t>ini microspheres</w:t>
            </w:r>
            <w:r w:rsidR="00DF1736">
              <w:rPr>
                <w:rFonts w:asciiTheme="minorHAnsi" w:hAnsiTheme="minorHAnsi" w:cstheme="minorHAnsi"/>
                <w:sz w:val="22"/>
                <w:szCs w:val="22"/>
              </w:rPr>
              <w:t xml:space="preserve"> containing porcine pancreatin </w:t>
            </w:r>
            <w:r w:rsidRPr="00783244">
              <w:rPr>
                <w:rFonts w:asciiTheme="minorHAnsi" w:hAnsiTheme="minorHAnsi" w:cstheme="minorHAnsi"/>
                <w:sz w:val="22"/>
                <w:szCs w:val="22"/>
              </w:rPr>
              <w:t xml:space="preserve">equivalent to: </w:t>
            </w:r>
          </w:p>
        </w:tc>
        <w:tc>
          <w:tcPr>
            <w:tcW w:w="1886" w:type="dxa"/>
          </w:tcPr>
          <w:p w14:paraId="342CF867"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10,000 </w:t>
            </w:r>
          </w:p>
          <w:p w14:paraId="3C42600F" w14:textId="77777777" w:rsidR="00E279AC" w:rsidRPr="00783244" w:rsidRDefault="00E279AC" w:rsidP="00082DA5">
            <w:pPr>
              <w:pStyle w:val="ListParagraph"/>
              <w:ind w:left="0"/>
              <w:rPr>
                <w:rFonts w:cstheme="minorHAnsi"/>
              </w:rPr>
            </w:pPr>
          </w:p>
        </w:tc>
        <w:tc>
          <w:tcPr>
            <w:tcW w:w="1912" w:type="dxa"/>
          </w:tcPr>
          <w:p w14:paraId="596BF4B7"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8,000 </w:t>
            </w:r>
          </w:p>
          <w:p w14:paraId="1D980572" w14:textId="77777777" w:rsidR="00E279AC" w:rsidRPr="00783244" w:rsidRDefault="00E279AC" w:rsidP="00082DA5">
            <w:pPr>
              <w:pStyle w:val="ListParagraph"/>
              <w:ind w:left="0"/>
              <w:rPr>
                <w:rFonts w:cstheme="minorHAnsi"/>
              </w:rPr>
            </w:pPr>
          </w:p>
        </w:tc>
        <w:tc>
          <w:tcPr>
            <w:tcW w:w="1918" w:type="dxa"/>
          </w:tcPr>
          <w:p w14:paraId="6C15AEA4"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600 </w:t>
            </w:r>
          </w:p>
          <w:p w14:paraId="16D9CDAE" w14:textId="77777777" w:rsidR="00E279AC" w:rsidRPr="00783244" w:rsidRDefault="00E279AC" w:rsidP="00082DA5">
            <w:pPr>
              <w:pStyle w:val="ListParagraph"/>
              <w:ind w:left="0"/>
              <w:rPr>
                <w:rFonts w:cstheme="minorHAnsi"/>
              </w:rPr>
            </w:pPr>
          </w:p>
        </w:tc>
      </w:tr>
      <w:tr w:rsidR="00DF1736" w14:paraId="3291E921" w14:textId="77777777" w:rsidTr="00AF4148">
        <w:tc>
          <w:tcPr>
            <w:tcW w:w="1559" w:type="dxa"/>
          </w:tcPr>
          <w:p w14:paraId="6B550517"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b/>
                <w:bCs/>
                <w:sz w:val="22"/>
                <w:szCs w:val="22"/>
              </w:rPr>
              <w:t xml:space="preserve">Pangrol 10,000 </w:t>
            </w:r>
          </w:p>
          <w:p w14:paraId="37B120F1" w14:textId="77777777" w:rsidR="00E279AC" w:rsidRDefault="00E279AC" w:rsidP="00082DA5">
            <w:pPr>
              <w:pStyle w:val="ListParagraph"/>
              <w:ind w:left="0"/>
              <w:rPr>
                <w:rFonts w:cstheme="minorHAnsi"/>
              </w:rPr>
            </w:pPr>
          </w:p>
          <w:p w14:paraId="21499272" w14:textId="65CFFC96" w:rsidR="00E279AC" w:rsidRPr="00783244" w:rsidRDefault="00E279AC" w:rsidP="00082DA5">
            <w:pPr>
              <w:pStyle w:val="ListParagraph"/>
              <w:ind w:left="0"/>
              <w:rPr>
                <w:rFonts w:cstheme="minorHAnsi"/>
              </w:rPr>
            </w:pPr>
          </w:p>
        </w:tc>
        <w:tc>
          <w:tcPr>
            <w:tcW w:w="3044" w:type="dxa"/>
          </w:tcPr>
          <w:p w14:paraId="46D5F19B" w14:textId="7719E99F" w:rsidR="00E279AC" w:rsidRPr="00783244" w:rsidRDefault="00E279AC" w:rsidP="00AF4148">
            <w:pPr>
              <w:pStyle w:val="Default"/>
            </w:pPr>
            <w:r>
              <w:rPr>
                <w:rFonts w:asciiTheme="minorHAnsi" w:hAnsiTheme="minorHAnsi" w:cstheme="minorHAnsi"/>
                <w:sz w:val="22"/>
                <w:szCs w:val="22"/>
              </w:rPr>
              <w:t>Each</w:t>
            </w:r>
            <w:r w:rsidRPr="00783244">
              <w:rPr>
                <w:rFonts w:asciiTheme="minorHAnsi" w:hAnsiTheme="minorHAnsi" w:cstheme="minorHAnsi"/>
                <w:sz w:val="22"/>
                <w:szCs w:val="22"/>
              </w:rPr>
              <w:t xml:space="preserve"> gastro-resistant hard capsule</w:t>
            </w:r>
            <w:r>
              <w:rPr>
                <w:rFonts w:asciiTheme="minorHAnsi" w:hAnsiTheme="minorHAnsi" w:cstheme="minorHAnsi"/>
                <w:sz w:val="22"/>
                <w:szCs w:val="22"/>
              </w:rPr>
              <w:t xml:space="preserve"> (enteric coated mini tablets) contains</w:t>
            </w:r>
            <w:r w:rsidRPr="00783244">
              <w:rPr>
                <w:rFonts w:asciiTheme="minorHAnsi" w:hAnsiTheme="minorHAnsi" w:cstheme="minorHAnsi"/>
                <w:sz w:val="22"/>
                <w:szCs w:val="22"/>
              </w:rPr>
              <w:t xml:space="preserve"> 75.6-137.4mg porcine pancreatic powder, equivalent to: </w:t>
            </w:r>
          </w:p>
        </w:tc>
        <w:tc>
          <w:tcPr>
            <w:tcW w:w="1886" w:type="dxa"/>
          </w:tcPr>
          <w:p w14:paraId="18A2A32C"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10,000 </w:t>
            </w:r>
          </w:p>
          <w:p w14:paraId="325A9CFC" w14:textId="77777777" w:rsidR="00E279AC" w:rsidRPr="00783244" w:rsidRDefault="00E279AC" w:rsidP="00082DA5">
            <w:pPr>
              <w:pStyle w:val="ListParagraph"/>
              <w:ind w:left="0"/>
              <w:rPr>
                <w:rFonts w:cstheme="minorHAnsi"/>
              </w:rPr>
            </w:pPr>
          </w:p>
        </w:tc>
        <w:tc>
          <w:tcPr>
            <w:tcW w:w="1912" w:type="dxa"/>
          </w:tcPr>
          <w:p w14:paraId="59454CC2" w14:textId="77777777" w:rsidR="00E279AC" w:rsidRPr="00783244" w:rsidRDefault="00E279AC" w:rsidP="00082DA5">
            <w:pPr>
              <w:pStyle w:val="Default"/>
              <w:rPr>
                <w:rFonts w:asciiTheme="minorHAnsi" w:hAnsiTheme="minorHAnsi" w:cstheme="minorHAnsi"/>
                <w:sz w:val="22"/>
                <w:szCs w:val="22"/>
              </w:rPr>
            </w:pPr>
            <w:r>
              <w:rPr>
                <w:rFonts w:asciiTheme="minorHAnsi" w:hAnsiTheme="minorHAnsi" w:cstheme="minorHAnsi"/>
                <w:sz w:val="22"/>
                <w:szCs w:val="22"/>
              </w:rPr>
              <w:t>≥</w:t>
            </w:r>
            <w:r w:rsidRPr="00783244">
              <w:rPr>
                <w:rFonts w:asciiTheme="minorHAnsi" w:hAnsiTheme="minorHAnsi" w:cstheme="minorHAnsi"/>
                <w:sz w:val="22"/>
                <w:szCs w:val="22"/>
              </w:rPr>
              <w:t xml:space="preserve">9,000 </w:t>
            </w:r>
          </w:p>
          <w:p w14:paraId="529E86D1" w14:textId="77777777" w:rsidR="00E279AC" w:rsidRPr="00783244" w:rsidRDefault="00E279AC" w:rsidP="00082DA5">
            <w:pPr>
              <w:pStyle w:val="ListParagraph"/>
              <w:ind w:left="0"/>
              <w:rPr>
                <w:rFonts w:cstheme="minorHAnsi"/>
              </w:rPr>
            </w:pPr>
          </w:p>
        </w:tc>
        <w:tc>
          <w:tcPr>
            <w:tcW w:w="1918" w:type="dxa"/>
          </w:tcPr>
          <w:p w14:paraId="26A6DFB0" w14:textId="77777777" w:rsidR="00E279AC" w:rsidRPr="00783244" w:rsidRDefault="00E279AC" w:rsidP="00082DA5">
            <w:pPr>
              <w:pStyle w:val="Default"/>
              <w:rPr>
                <w:rFonts w:asciiTheme="minorHAnsi" w:hAnsiTheme="minorHAnsi" w:cstheme="minorHAnsi"/>
                <w:sz w:val="22"/>
                <w:szCs w:val="22"/>
              </w:rPr>
            </w:pPr>
            <w:r>
              <w:rPr>
                <w:rFonts w:asciiTheme="minorHAnsi" w:hAnsiTheme="minorHAnsi" w:cstheme="minorHAnsi"/>
                <w:sz w:val="22"/>
                <w:szCs w:val="22"/>
              </w:rPr>
              <w:t>≥</w:t>
            </w:r>
            <w:r w:rsidRPr="00783244">
              <w:rPr>
                <w:rFonts w:asciiTheme="minorHAnsi" w:hAnsiTheme="minorHAnsi" w:cstheme="minorHAnsi"/>
                <w:sz w:val="22"/>
                <w:szCs w:val="22"/>
              </w:rPr>
              <w:t xml:space="preserve">500 </w:t>
            </w:r>
          </w:p>
          <w:p w14:paraId="6AE01BA8" w14:textId="77777777" w:rsidR="00E279AC" w:rsidRPr="00783244" w:rsidRDefault="00E279AC" w:rsidP="00082DA5">
            <w:pPr>
              <w:pStyle w:val="ListParagraph"/>
              <w:ind w:left="0"/>
              <w:rPr>
                <w:rFonts w:cstheme="minorHAnsi"/>
              </w:rPr>
            </w:pPr>
          </w:p>
        </w:tc>
      </w:tr>
      <w:tr w:rsidR="00DF1736" w14:paraId="618DB35B" w14:textId="77777777" w:rsidTr="00AF4148">
        <w:tc>
          <w:tcPr>
            <w:tcW w:w="1559" w:type="dxa"/>
          </w:tcPr>
          <w:p w14:paraId="22A95C73"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b/>
                <w:bCs/>
                <w:sz w:val="22"/>
                <w:szCs w:val="22"/>
              </w:rPr>
              <w:t xml:space="preserve">Creon 25,000 </w:t>
            </w:r>
          </w:p>
          <w:p w14:paraId="564C69DD" w14:textId="77777777" w:rsidR="00E279AC" w:rsidRPr="00783244" w:rsidRDefault="00E279AC" w:rsidP="00082DA5">
            <w:pPr>
              <w:pStyle w:val="ListParagraph"/>
              <w:ind w:left="0"/>
              <w:rPr>
                <w:rFonts w:cstheme="minorHAnsi"/>
              </w:rPr>
            </w:pPr>
          </w:p>
        </w:tc>
        <w:tc>
          <w:tcPr>
            <w:tcW w:w="3044" w:type="dxa"/>
          </w:tcPr>
          <w:p w14:paraId="5148D896" w14:textId="664ABB34" w:rsidR="00E279AC" w:rsidRPr="00783244" w:rsidRDefault="00E279AC" w:rsidP="00AF4148">
            <w:pPr>
              <w:pStyle w:val="Default"/>
            </w:pPr>
            <w:r w:rsidRPr="00783244">
              <w:rPr>
                <w:rFonts w:asciiTheme="minorHAnsi" w:hAnsiTheme="minorHAnsi" w:cstheme="minorHAnsi"/>
                <w:sz w:val="22"/>
                <w:szCs w:val="22"/>
              </w:rPr>
              <w:t xml:space="preserve">Each capsule contains </w:t>
            </w:r>
            <w:r>
              <w:rPr>
                <w:rFonts w:asciiTheme="minorHAnsi" w:hAnsiTheme="minorHAnsi" w:cstheme="minorHAnsi"/>
                <w:sz w:val="22"/>
                <w:szCs w:val="22"/>
              </w:rPr>
              <w:t>brownish</w:t>
            </w:r>
            <w:r w:rsidRPr="00783244">
              <w:rPr>
                <w:rFonts w:asciiTheme="minorHAnsi" w:hAnsiTheme="minorHAnsi" w:cstheme="minorHAnsi"/>
                <w:sz w:val="22"/>
                <w:szCs w:val="22"/>
              </w:rPr>
              <w:t xml:space="preserve"> </w:t>
            </w:r>
            <w:r>
              <w:rPr>
                <w:rFonts w:asciiTheme="minorHAnsi" w:hAnsiTheme="minorHAnsi" w:cstheme="minorHAnsi"/>
                <w:sz w:val="22"/>
                <w:szCs w:val="22"/>
              </w:rPr>
              <w:t>m</w:t>
            </w:r>
            <w:r w:rsidRPr="00783244">
              <w:rPr>
                <w:rFonts w:asciiTheme="minorHAnsi" w:hAnsiTheme="minorHAnsi" w:cstheme="minorHAnsi"/>
                <w:sz w:val="22"/>
                <w:szCs w:val="22"/>
              </w:rPr>
              <w:t xml:space="preserve">ini microspheres containing </w:t>
            </w:r>
            <w:r w:rsidR="00DF1736">
              <w:rPr>
                <w:rFonts w:asciiTheme="minorHAnsi" w:hAnsiTheme="minorHAnsi" w:cstheme="minorHAnsi"/>
                <w:sz w:val="22"/>
                <w:szCs w:val="22"/>
              </w:rPr>
              <w:t xml:space="preserve"> porcine </w:t>
            </w:r>
            <w:r w:rsidRPr="00783244">
              <w:rPr>
                <w:rFonts w:asciiTheme="minorHAnsi" w:hAnsiTheme="minorHAnsi" w:cstheme="minorHAnsi"/>
                <w:sz w:val="22"/>
                <w:szCs w:val="22"/>
              </w:rPr>
              <w:t xml:space="preserve">pancreatin </w:t>
            </w:r>
            <w:r>
              <w:rPr>
                <w:rFonts w:asciiTheme="minorHAnsi" w:hAnsiTheme="minorHAnsi" w:cstheme="minorHAnsi"/>
                <w:sz w:val="22"/>
                <w:szCs w:val="22"/>
              </w:rPr>
              <w:t xml:space="preserve">PhEur </w:t>
            </w:r>
            <w:r w:rsidRPr="00783244">
              <w:rPr>
                <w:rFonts w:asciiTheme="minorHAnsi" w:hAnsiTheme="minorHAnsi" w:cstheme="minorHAnsi"/>
                <w:sz w:val="22"/>
                <w:szCs w:val="22"/>
              </w:rPr>
              <w:t xml:space="preserve">300 mg, equivalent to: </w:t>
            </w:r>
          </w:p>
        </w:tc>
        <w:tc>
          <w:tcPr>
            <w:tcW w:w="1886" w:type="dxa"/>
          </w:tcPr>
          <w:p w14:paraId="72A9E368"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25,000 </w:t>
            </w:r>
          </w:p>
          <w:p w14:paraId="7A8602B7" w14:textId="77777777" w:rsidR="00E279AC" w:rsidRPr="00783244" w:rsidRDefault="00E279AC" w:rsidP="00082DA5">
            <w:pPr>
              <w:pStyle w:val="ListParagraph"/>
              <w:ind w:left="0"/>
              <w:rPr>
                <w:rFonts w:cstheme="minorHAnsi"/>
              </w:rPr>
            </w:pPr>
          </w:p>
        </w:tc>
        <w:tc>
          <w:tcPr>
            <w:tcW w:w="1912" w:type="dxa"/>
          </w:tcPr>
          <w:p w14:paraId="02232317"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18,000 </w:t>
            </w:r>
          </w:p>
          <w:p w14:paraId="1905DF88" w14:textId="77777777" w:rsidR="00E279AC" w:rsidRPr="00783244" w:rsidRDefault="00E279AC" w:rsidP="00082DA5">
            <w:pPr>
              <w:pStyle w:val="ListParagraph"/>
              <w:ind w:left="0"/>
              <w:rPr>
                <w:rFonts w:cstheme="minorHAnsi"/>
              </w:rPr>
            </w:pPr>
          </w:p>
        </w:tc>
        <w:tc>
          <w:tcPr>
            <w:tcW w:w="1918" w:type="dxa"/>
          </w:tcPr>
          <w:p w14:paraId="115D2467"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1,000 </w:t>
            </w:r>
          </w:p>
          <w:p w14:paraId="3D4A2C2E" w14:textId="77777777" w:rsidR="00E279AC" w:rsidRPr="00783244" w:rsidRDefault="00E279AC" w:rsidP="00082DA5">
            <w:pPr>
              <w:pStyle w:val="ListParagraph"/>
              <w:ind w:left="0"/>
              <w:rPr>
                <w:rFonts w:cstheme="minorHAnsi"/>
              </w:rPr>
            </w:pPr>
          </w:p>
        </w:tc>
      </w:tr>
      <w:tr w:rsidR="00DF1736" w14:paraId="25703163" w14:textId="77777777" w:rsidTr="00AF4148">
        <w:tc>
          <w:tcPr>
            <w:tcW w:w="1559" w:type="dxa"/>
          </w:tcPr>
          <w:p w14:paraId="14269150"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b/>
                <w:bCs/>
                <w:sz w:val="22"/>
                <w:szCs w:val="22"/>
              </w:rPr>
              <w:t xml:space="preserve">Pangrol 25,000 </w:t>
            </w:r>
          </w:p>
          <w:p w14:paraId="26A16914" w14:textId="77777777" w:rsidR="00E279AC" w:rsidRDefault="00E279AC" w:rsidP="00082DA5">
            <w:pPr>
              <w:pStyle w:val="ListParagraph"/>
              <w:ind w:left="0"/>
              <w:rPr>
                <w:rFonts w:cstheme="minorHAnsi"/>
              </w:rPr>
            </w:pPr>
          </w:p>
          <w:p w14:paraId="1948F4E4" w14:textId="5BFC9E25" w:rsidR="00E279AC" w:rsidRPr="00783244" w:rsidRDefault="00E279AC" w:rsidP="00082DA5">
            <w:pPr>
              <w:pStyle w:val="ListParagraph"/>
              <w:ind w:left="0"/>
              <w:rPr>
                <w:rFonts w:cstheme="minorHAnsi"/>
              </w:rPr>
            </w:pPr>
          </w:p>
        </w:tc>
        <w:tc>
          <w:tcPr>
            <w:tcW w:w="3044" w:type="dxa"/>
          </w:tcPr>
          <w:p w14:paraId="350E1E86" w14:textId="054BCCA2" w:rsidR="00E279AC" w:rsidRPr="00F43E3D" w:rsidRDefault="00E279AC" w:rsidP="00AF4148">
            <w:pPr>
              <w:pStyle w:val="Default"/>
            </w:pPr>
            <w:r>
              <w:rPr>
                <w:rFonts w:asciiTheme="minorHAnsi" w:hAnsiTheme="minorHAnsi" w:cstheme="minorHAnsi"/>
                <w:sz w:val="22"/>
                <w:szCs w:val="22"/>
              </w:rPr>
              <w:t>Each</w:t>
            </w:r>
            <w:r w:rsidRPr="00783244">
              <w:rPr>
                <w:rFonts w:asciiTheme="minorHAnsi" w:hAnsiTheme="minorHAnsi" w:cstheme="minorHAnsi"/>
                <w:sz w:val="22"/>
                <w:szCs w:val="22"/>
              </w:rPr>
              <w:t xml:space="preserve"> gastro-resistant </w:t>
            </w:r>
            <w:r>
              <w:rPr>
                <w:rFonts w:asciiTheme="minorHAnsi" w:hAnsiTheme="minorHAnsi" w:cstheme="minorHAnsi"/>
                <w:sz w:val="22"/>
                <w:szCs w:val="22"/>
              </w:rPr>
              <w:t>hard capsule</w:t>
            </w:r>
            <w:r w:rsidRPr="00783244">
              <w:rPr>
                <w:rFonts w:asciiTheme="minorHAnsi" w:hAnsiTheme="minorHAnsi" w:cstheme="minorHAnsi"/>
                <w:sz w:val="22"/>
                <w:szCs w:val="22"/>
              </w:rPr>
              <w:t xml:space="preserve"> contains 188.9-343.5 mg porcine pancreas powder, equivalent to: </w:t>
            </w:r>
          </w:p>
        </w:tc>
        <w:tc>
          <w:tcPr>
            <w:tcW w:w="1886" w:type="dxa"/>
          </w:tcPr>
          <w:p w14:paraId="79B5C12F" w14:textId="77777777" w:rsidR="00E279AC" w:rsidRPr="00783244" w:rsidRDefault="00E279AC" w:rsidP="00082DA5">
            <w:pPr>
              <w:pStyle w:val="Default"/>
              <w:rPr>
                <w:rFonts w:asciiTheme="minorHAnsi" w:hAnsiTheme="minorHAnsi" w:cstheme="minorHAnsi"/>
                <w:sz w:val="22"/>
                <w:szCs w:val="22"/>
              </w:rPr>
            </w:pPr>
            <w:r w:rsidRPr="00783244">
              <w:rPr>
                <w:rFonts w:asciiTheme="minorHAnsi" w:hAnsiTheme="minorHAnsi" w:cstheme="minorHAnsi"/>
                <w:sz w:val="22"/>
                <w:szCs w:val="22"/>
              </w:rPr>
              <w:t xml:space="preserve">25,000 </w:t>
            </w:r>
          </w:p>
          <w:p w14:paraId="4CC1255B" w14:textId="77777777" w:rsidR="00E279AC" w:rsidRPr="00783244" w:rsidRDefault="00E279AC" w:rsidP="00082DA5">
            <w:pPr>
              <w:pStyle w:val="ListParagraph"/>
              <w:ind w:left="0"/>
              <w:rPr>
                <w:rFonts w:cstheme="minorHAnsi"/>
              </w:rPr>
            </w:pPr>
          </w:p>
        </w:tc>
        <w:tc>
          <w:tcPr>
            <w:tcW w:w="1912" w:type="dxa"/>
          </w:tcPr>
          <w:p w14:paraId="28C2E283" w14:textId="77777777" w:rsidR="00E279AC" w:rsidRPr="00783244" w:rsidRDefault="00E279AC" w:rsidP="00082DA5">
            <w:pPr>
              <w:pStyle w:val="Default"/>
              <w:rPr>
                <w:rFonts w:asciiTheme="minorHAnsi" w:hAnsiTheme="minorHAnsi" w:cstheme="minorHAnsi"/>
                <w:sz w:val="22"/>
                <w:szCs w:val="22"/>
              </w:rPr>
            </w:pPr>
            <w:r>
              <w:rPr>
                <w:rFonts w:asciiTheme="minorHAnsi" w:hAnsiTheme="minorHAnsi" w:cstheme="minorHAnsi"/>
                <w:sz w:val="22"/>
                <w:szCs w:val="22"/>
              </w:rPr>
              <w:t>≥</w:t>
            </w:r>
            <w:r w:rsidRPr="00783244">
              <w:rPr>
                <w:rFonts w:asciiTheme="minorHAnsi" w:hAnsiTheme="minorHAnsi" w:cstheme="minorHAnsi"/>
                <w:sz w:val="22"/>
                <w:szCs w:val="22"/>
              </w:rPr>
              <w:t xml:space="preserve">22,500 </w:t>
            </w:r>
          </w:p>
          <w:p w14:paraId="577875E2" w14:textId="77777777" w:rsidR="00E279AC" w:rsidRPr="00783244" w:rsidRDefault="00E279AC" w:rsidP="00082DA5">
            <w:pPr>
              <w:pStyle w:val="ListParagraph"/>
              <w:ind w:left="0"/>
              <w:rPr>
                <w:rFonts w:cstheme="minorHAnsi"/>
              </w:rPr>
            </w:pPr>
          </w:p>
        </w:tc>
        <w:tc>
          <w:tcPr>
            <w:tcW w:w="1918" w:type="dxa"/>
          </w:tcPr>
          <w:p w14:paraId="434F4514" w14:textId="77777777" w:rsidR="00E279AC" w:rsidRPr="00783244" w:rsidRDefault="00E279AC" w:rsidP="00082DA5">
            <w:pPr>
              <w:pStyle w:val="Default"/>
              <w:rPr>
                <w:rFonts w:asciiTheme="minorHAnsi" w:hAnsiTheme="minorHAnsi" w:cstheme="minorHAnsi"/>
                <w:sz w:val="22"/>
                <w:szCs w:val="22"/>
              </w:rPr>
            </w:pPr>
            <w:r>
              <w:rPr>
                <w:rFonts w:asciiTheme="minorHAnsi" w:hAnsiTheme="minorHAnsi" w:cstheme="minorHAnsi"/>
                <w:sz w:val="22"/>
                <w:szCs w:val="22"/>
              </w:rPr>
              <w:t>≥</w:t>
            </w:r>
            <w:r w:rsidRPr="00783244">
              <w:rPr>
                <w:rFonts w:asciiTheme="minorHAnsi" w:hAnsiTheme="minorHAnsi" w:cstheme="minorHAnsi"/>
                <w:sz w:val="22"/>
                <w:szCs w:val="22"/>
              </w:rPr>
              <w:t xml:space="preserve">1,250 </w:t>
            </w:r>
          </w:p>
          <w:p w14:paraId="5319F245" w14:textId="77777777" w:rsidR="00E279AC" w:rsidRPr="00783244" w:rsidRDefault="00E279AC" w:rsidP="00082DA5">
            <w:pPr>
              <w:pStyle w:val="ListParagraph"/>
              <w:ind w:left="0"/>
              <w:rPr>
                <w:rFonts w:cstheme="minorHAnsi"/>
              </w:rPr>
            </w:pPr>
          </w:p>
        </w:tc>
      </w:tr>
    </w:tbl>
    <w:p w14:paraId="3D2B8725" w14:textId="739C82B8" w:rsidR="00E008D2" w:rsidRPr="00E008D2" w:rsidRDefault="00E008D2" w:rsidP="00E008D2">
      <w:r w:rsidRPr="00E008D2">
        <w:rPr>
          <w:b/>
          <w:bCs/>
        </w:rPr>
        <w:t xml:space="preserve">Advice for special patient populations </w:t>
      </w:r>
    </w:p>
    <w:p w14:paraId="13C82BBB" w14:textId="5F80F17E" w:rsidR="0075048E" w:rsidRPr="00D01D9A" w:rsidRDefault="22BCA4B3" w:rsidP="00D01D9A">
      <w:r>
        <w:t xml:space="preserve">Paediatric, neonatal and cystic fibrosis patients should continue to liaise with their specialist teams for advice about disease management in pancreatic insufficiency and PERT regimens. The Neonatal &amp; Paediatric Pharmacy Group has recently published their own </w:t>
      </w:r>
      <w:hyperlink r:id="rId28">
        <w:r w:rsidRPr="7B60A544">
          <w:rPr>
            <w:rStyle w:val="Hyperlink"/>
          </w:rPr>
          <w:t>position statement</w:t>
        </w:r>
      </w:hyperlink>
      <w:r>
        <w:t xml:space="preserve"> on the shortage of PERT. It aims to provide practical advice on using alternative products, dosing equivalences, and prescribing guidance.</w:t>
      </w:r>
      <w:r w:rsidR="001715BA">
        <w:t xml:space="preserve"> </w:t>
      </w:r>
      <w:r w:rsidR="001715BA" w:rsidRPr="001715BA">
        <w:t>The Pancreatic Society has also provided a </w:t>
      </w:r>
      <w:hyperlink r:id="rId29" w:tgtFrame="_blank" w:history="1">
        <w:r w:rsidR="001715BA" w:rsidRPr="001715BA">
          <w:rPr>
            <w:rStyle w:val="Hyperlink"/>
          </w:rPr>
          <w:t>PERT position statement for patients</w:t>
        </w:r>
      </w:hyperlink>
      <w:r w:rsidR="001715BA" w:rsidRPr="001715BA">
        <w:t>.</w:t>
      </w:r>
      <w:r w:rsidR="004C66A4">
        <w:br w:type="page"/>
      </w:r>
      <w:bookmarkStart w:id="7" w:name="_Hlk189049566"/>
    </w:p>
    <w:p w14:paraId="60D60C1B" w14:textId="0E9A68B2" w:rsidR="4BE36757" w:rsidRDefault="2698943B" w:rsidP="742F9208">
      <w:pPr>
        <w:spacing w:after="0"/>
        <w:jc w:val="center"/>
        <w:rPr>
          <w:rFonts w:ascii="Calibri" w:eastAsia="Calibri" w:hAnsi="Calibri" w:cs="Calibri"/>
          <w:b/>
          <w:bCs/>
          <w:sz w:val="28"/>
          <w:szCs w:val="28"/>
        </w:rPr>
      </w:pPr>
      <w:r w:rsidRPr="742F9208">
        <w:rPr>
          <w:rFonts w:ascii="Calibri" w:eastAsia="Calibri" w:hAnsi="Calibri" w:cs="Calibri"/>
          <w:b/>
          <w:bCs/>
          <w:sz w:val="28"/>
          <w:szCs w:val="28"/>
        </w:rPr>
        <w:lastRenderedPageBreak/>
        <w:t>Pancreatic Enzyme Replacement Therapy (PERT)</w:t>
      </w:r>
    </w:p>
    <w:p w14:paraId="6DE31C55" w14:textId="05967E72" w:rsidR="4BE36757" w:rsidRDefault="7455D71E" w:rsidP="75AB105F">
      <w:pPr>
        <w:spacing w:after="0"/>
        <w:jc w:val="center"/>
        <w:rPr>
          <w:rFonts w:ascii="Calibri" w:eastAsia="Calibri" w:hAnsi="Calibri" w:cs="Calibri"/>
          <w:b/>
          <w:bCs/>
          <w:sz w:val="28"/>
          <w:szCs w:val="28"/>
        </w:rPr>
      </w:pPr>
      <w:r w:rsidRPr="742F9208">
        <w:rPr>
          <w:rFonts w:ascii="Calibri" w:eastAsia="Calibri" w:hAnsi="Calibri" w:cs="Calibri"/>
          <w:b/>
          <w:bCs/>
          <w:sz w:val="28"/>
          <w:szCs w:val="28"/>
        </w:rPr>
        <w:t>Patient Flow Chart</w:t>
      </w:r>
    </w:p>
    <w:p w14:paraId="508C5E69" w14:textId="53117151" w:rsidR="005A06B9" w:rsidRDefault="005A06B9" w:rsidP="75AB105F">
      <w:pPr>
        <w:spacing w:after="0"/>
        <w:jc w:val="center"/>
        <w:rPr>
          <w:rFonts w:ascii="Calibri" w:eastAsia="Calibri" w:hAnsi="Calibri" w:cs="Calibri"/>
          <w:b/>
          <w:bCs/>
          <w:sz w:val="28"/>
          <w:szCs w:val="28"/>
        </w:rPr>
      </w:pPr>
      <w:hyperlink r:id="rId30" w:anchor="h-medicines-supply-issues" w:history="1">
        <w:r w:rsidRPr="005A06B9">
          <w:rPr>
            <w:rStyle w:val="Hyperlink"/>
            <w:rFonts w:ascii="Calibri" w:eastAsia="Calibri" w:hAnsi="Calibri" w:cs="Calibri"/>
            <w:b/>
            <w:bCs/>
            <w:sz w:val="28"/>
            <w:szCs w:val="28"/>
          </w:rPr>
          <w:t>Your medication - Herts and West Essex ICS</w:t>
        </w:r>
      </w:hyperlink>
    </w:p>
    <w:p w14:paraId="4CB29AA3" w14:textId="752EA462" w:rsidR="4BE36757" w:rsidRDefault="450AE44E" w:rsidP="7B60A544">
      <w:pPr>
        <w:spacing w:after="0"/>
      </w:pPr>
      <w:r w:rsidRPr="75AB105F">
        <w:rPr>
          <w:rFonts w:ascii="Calibri" w:eastAsia="Calibri" w:hAnsi="Calibri" w:cs="Calibri"/>
        </w:rPr>
        <w:t xml:space="preserve"> </w:t>
      </w:r>
    </w:p>
    <w:p w14:paraId="2690177D" w14:textId="100B2D12" w:rsidR="4BE36757" w:rsidRDefault="7542BBC6" w:rsidP="31F6BDF6">
      <w:pPr>
        <w:spacing w:after="0"/>
        <w:rPr>
          <w:rFonts w:ascii="Calibri" w:eastAsia="Calibri" w:hAnsi="Calibri" w:cs="Calibri"/>
        </w:rPr>
      </w:pPr>
      <w:r w:rsidRPr="47752A79">
        <w:rPr>
          <w:rFonts w:ascii="Calibri" w:eastAsia="Calibri" w:hAnsi="Calibri" w:cs="Calibri"/>
        </w:rPr>
        <w:t xml:space="preserve">PERT is </w:t>
      </w:r>
      <w:r w:rsidR="009E4D48">
        <w:rPr>
          <w:rFonts w:ascii="Calibri" w:eastAsia="Calibri" w:hAnsi="Calibri" w:cs="Calibri"/>
        </w:rPr>
        <w:t>prescribed</w:t>
      </w:r>
      <w:r w:rsidRPr="47752A79">
        <w:rPr>
          <w:rFonts w:ascii="Calibri" w:eastAsia="Calibri" w:hAnsi="Calibri" w:cs="Calibri"/>
        </w:rPr>
        <w:t xml:space="preserve"> for the treatment of pancreatic exocrine insufficiency such as in cystic fibrosis, pancreatic cancer and pancreatitis. There is no clinical alternative to PERT. Each preparation contains different amounts of pancreatic enzymes. </w:t>
      </w:r>
      <w:r w:rsidR="009E4D48">
        <w:rPr>
          <w:rFonts w:ascii="Calibri" w:eastAsia="Calibri" w:hAnsi="Calibri" w:cs="Calibri"/>
        </w:rPr>
        <w:t>You may have been advised how to</w:t>
      </w:r>
      <w:r w:rsidRPr="47752A79">
        <w:rPr>
          <w:rFonts w:ascii="Calibri" w:eastAsia="Calibri" w:hAnsi="Calibri" w:cs="Calibri"/>
        </w:rPr>
        <w:t xml:space="preserve"> adjust </w:t>
      </w:r>
      <w:r w:rsidR="009E4D48">
        <w:rPr>
          <w:rFonts w:ascii="Calibri" w:eastAsia="Calibri" w:hAnsi="Calibri" w:cs="Calibri"/>
        </w:rPr>
        <w:t xml:space="preserve">your </w:t>
      </w:r>
      <w:r w:rsidRPr="47752A79">
        <w:rPr>
          <w:rFonts w:ascii="Calibri" w:eastAsia="Calibri" w:hAnsi="Calibri" w:cs="Calibri"/>
        </w:rPr>
        <w:t xml:space="preserve">dose according to </w:t>
      </w:r>
      <w:r w:rsidR="009E4D48">
        <w:rPr>
          <w:rFonts w:ascii="Calibri" w:eastAsia="Calibri" w:hAnsi="Calibri" w:cs="Calibri"/>
        </w:rPr>
        <w:t xml:space="preserve">your </w:t>
      </w:r>
      <w:r w:rsidRPr="47752A79">
        <w:rPr>
          <w:rFonts w:ascii="Calibri" w:eastAsia="Calibri" w:hAnsi="Calibri" w:cs="Calibri"/>
        </w:rPr>
        <w:t>symptom</w:t>
      </w:r>
      <w:r w:rsidR="009E4D48">
        <w:rPr>
          <w:rFonts w:ascii="Calibri" w:eastAsia="Calibri" w:hAnsi="Calibri" w:cs="Calibri"/>
        </w:rPr>
        <w:t xml:space="preserve">s and </w:t>
      </w:r>
      <w:r w:rsidRPr="47752A79">
        <w:rPr>
          <w:rFonts w:ascii="Calibri" w:eastAsia="Calibri" w:hAnsi="Calibri" w:cs="Calibri"/>
        </w:rPr>
        <w:t>if problems with digestion or weight loss occur.</w:t>
      </w:r>
    </w:p>
    <w:p w14:paraId="18CF88A0" w14:textId="3EF91DF5" w:rsidR="005E3B99" w:rsidRDefault="005E3B99" w:rsidP="31F6BDF6">
      <w:pPr>
        <w:spacing w:after="0"/>
        <w:rPr>
          <w:rFonts w:ascii="Calibri" w:eastAsia="Calibri" w:hAnsi="Calibri" w:cs="Calibri"/>
        </w:rPr>
      </w:pPr>
    </w:p>
    <w:p w14:paraId="1278F264" w14:textId="4BBB5093" w:rsidR="005E3B99" w:rsidRDefault="005E3B99" w:rsidP="31F6BDF6">
      <w:pPr>
        <w:spacing w:after="0"/>
        <w:rPr>
          <w:rFonts w:ascii="Calibri" w:eastAsia="Calibri" w:hAnsi="Calibri" w:cs="Calibri"/>
        </w:rPr>
      </w:pPr>
    </w:p>
    <w:p w14:paraId="687B5506" w14:textId="12A5D397" w:rsidR="005E3B99" w:rsidRDefault="005E3B99" w:rsidP="31F6BDF6">
      <w:pPr>
        <w:spacing w:after="0"/>
        <w:rPr>
          <w:rFonts w:ascii="Calibri" w:eastAsia="Calibri" w:hAnsi="Calibri" w:cs="Calibri"/>
        </w:rPr>
      </w:pPr>
      <w:r>
        <w:rPr>
          <w:rFonts w:ascii="Calibri" w:eastAsia="Calibri" w:hAnsi="Calibri" w:cs="Calibri"/>
          <w:noProof/>
        </w:rPr>
        <mc:AlternateContent>
          <mc:Choice Requires="wps">
            <w:drawing>
              <wp:anchor distT="0" distB="0" distL="114300" distR="114300" simplePos="0" relativeHeight="251657216" behindDoc="0" locked="0" layoutInCell="1" allowOverlap="1" wp14:anchorId="2EB5A86A" wp14:editId="19A5A485">
                <wp:simplePos x="0" y="0"/>
                <wp:positionH relativeFrom="column">
                  <wp:posOffset>3238500</wp:posOffset>
                </wp:positionH>
                <wp:positionV relativeFrom="paragraph">
                  <wp:posOffset>5716</wp:posOffset>
                </wp:positionV>
                <wp:extent cx="7620" cy="1409700"/>
                <wp:effectExtent l="0" t="0" r="30480" b="19050"/>
                <wp:wrapNone/>
                <wp:docPr id="29579425" name="Straight Connector 3"/>
                <wp:cNvGraphicFramePr/>
                <a:graphic xmlns:a="http://schemas.openxmlformats.org/drawingml/2006/main">
                  <a:graphicData uri="http://schemas.microsoft.com/office/word/2010/wordprocessingShape">
                    <wps:wsp>
                      <wps:cNvCnPr/>
                      <wps:spPr>
                        <a:xfrm>
                          <a:off x="0" y="0"/>
                          <a:ext cx="7620" cy="14097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95F89F" id="Straight Connector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45pt" to="255.6pt,1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" strokecolor="black [3213]" strokeweight="1.5pt">
                <v:stroke joinstyle="miter"/>
              </v:line>
            </w:pict>
          </mc:Fallback>
        </mc:AlternateContent>
      </w:r>
      <w:r>
        <w:rPr>
          <w:noProof/>
        </w:rPr>
        <mc:AlternateContent>
          <mc:Choice Requires="wps">
            <w:drawing>
              <wp:anchor distT="0" distB="0" distL="114300" distR="114300" simplePos="0" relativeHeight="251670529" behindDoc="0" locked="0" layoutInCell="1" allowOverlap="1" wp14:anchorId="6698D8D7" wp14:editId="107F5654">
                <wp:simplePos x="0" y="0"/>
                <wp:positionH relativeFrom="margin">
                  <wp:align>center</wp:align>
                </wp:positionH>
                <wp:positionV relativeFrom="paragraph">
                  <wp:posOffset>6542</wp:posOffset>
                </wp:positionV>
                <wp:extent cx="2434856" cy="850605"/>
                <wp:effectExtent l="0" t="0" r="22860" b="26035"/>
                <wp:wrapNone/>
                <wp:docPr id="530371148" name="Rectangle 2"/>
                <wp:cNvGraphicFramePr/>
                <a:graphic xmlns:a="http://schemas.openxmlformats.org/drawingml/2006/main">
                  <a:graphicData uri="http://schemas.microsoft.com/office/word/2010/wordprocessingShape">
                    <wps:wsp>
                      <wps:cNvSpPr/>
                      <wps:spPr>
                        <a:xfrm>
                          <a:off x="0" y="0"/>
                          <a:ext cx="2434856" cy="8506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515F674" w14:textId="29FECD4F" w:rsidR="00AC677F" w:rsidRDefault="00AC677F" w:rsidP="00ED1AB9">
                            <w:pPr>
                              <w:jc w:val="center"/>
                            </w:pPr>
                            <w:r>
                              <w:t xml:space="preserve">Submit your requests for a repeat prescription of PERT </w:t>
                            </w:r>
                            <w:r w:rsidR="00ED1AB9" w:rsidRPr="00ED1AB9">
                              <w:rPr>
                                <w:b/>
                                <w:bCs/>
                              </w:rPr>
                              <w:t>two weeks</w:t>
                            </w:r>
                            <w:r>
                              <w:t xml:space="preserve"> in advance of need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98D8D7" id="Rectangle 2" o:spid="_x0000_s1026" style="position:absolute;margin-left:0;margin-top:.5pt;width:191.7pt;height:67pt;z-index:251670529;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" fillcolor="white [3201]" strokecolor="black [3213]" strokeweight="1pt">
                <v:textbox>
                  <w:txbxContent>
                    <w:p w14:paraId="3515F674" w14:textId="29FECD4F" w:rsidR="00AC677F" w:rsidRDefault="00AC677F" w:rsidP="00ED1AB9">
                      <w:pPr>
                        <w:jc w:val="center"/>
                      </w:pPr>
                      <w:r>
                        <w:t xml:space="preserve">Submit your requests for a repeat prescription of PERT </w:t>
                      </w:r>
                      <w:r w:rsidR="00ED1AB9" w:rsidRPr="00ED1AB9">
                        <w:rPr>
                          <w:b/>
                          <w:bCs/>
                        </w:rPr>
                        <w:t>two weeks</w:t>
                      </w:r>
                      <w:r>
                        <w:t xml:space="preserve"> in advance of need</w:t>
                      </w:r>
                    </w:p>
                  </w:txbxContent>
                </v:textbox>
                <w10:wrap anchorx="margin"/>
              </v:rect>
            </w:pict>
          </mc:Fallback>
        </mc:AlternateContent>
      </w:r>
    </w:p>
    <w:p w14:paraId="0030944C" w14:textId="77777777" w:rsidR="005E3B99" w:rsidRDefault="005E3B99" w:rsidP="31F6BDF6">
      <w:pPr>
        <w:spacing w:after="0"/>
        <w:rPr>
          <w:rFonts w:ascii="Calibri" w:eastAsia="Calibri" w:hAnsi="Calibri" w:cs="Calibri"/>
        </w:rPr>
      </w:pPr>
    </w:p>
    <w:p w14:paraId="3B2CD8AA" w14:textId="1051F0C2" w:rsidR="47752A79" w:rsidRDefault="47752A79" w:rsidP="47752A79">
      <w:pPr>
        <w:spacing w:after="0"/>
        <w:rPr>
          <w:rFonts w:ascii="Calibri" w:eastAsia="Calibri" w:hAnsi="Calibri" w:cs="Calibri"/>
        </w:rPr>
      </w:pPr>
    </w:p>
    <w:p w14:paraId="3E65E25A" w14:textId="51721EA2" w:rsidR="00E21DBF" w:rsidRDefault="00E21DBF"/>
    <w:p w14:paraId="6E8E0A7B" w14:textId="0C8BB444" w:rsidR="00E21DBF" w:rsidRDefault="00E21DBF" w:rsidP="742F9208"/>
    <w:p w14:paraId="1D433C7D" w14:textId="77777777" w:rsidR="00E21DBF" w:rsidRDefault="00E21DBF" w:rsidP="742F9208"/>
    <w:p w14:paraId="197834AD" w14:textId="1CD6260F" w:rsidR="5213E651" w:rsidRDefault="005E3B99" w:rsidP="00E21DBF">
      <w:pPr>
        <w:rPr>
          <w:rFonts w:ascii="Calibri" w:eastAsia="Calibri" w:hAnsi="Calibri" w:cs="Calibri"/>
          <w:highlight w:val="yellow"/>
        </w:rPr>
      </w:pPr>
      <w:r>
        <w:rPr>
          <w:noProof/>
        </w:rPr>
        <mc:AlternateContent>
          <mc:Choice Requires="wps">
            <w:drawing>
              <wp:anchor distT="0" distB="0" distL="114300" distR="114300" simplePos="0" relativeHeight="251672577" behindDoc="0" locked="0" layoutInCell="1" allowOverlap="1" wp14:anchorId="03F6C7C7" wp14:editId="5E7EDB00">
                <wp:simplePos x="0" y="0"/>
                <wp:positionH relativeFrom="margin">
                  <wp:align>center</wp:align>
                </wp:positionH>
                <wp:positionV relativeFrom="paragraph">
                  <wp:posOffset>15122</wp:posOffset>
                </wp:positionV>
                <wp:extent cx="2434856" cy="850605"/>
                <wp:effectExtent l="0" t="0" r="22860" b="26035"/>
                <wp:wrapNone/>
                <wp:docPr id="128867299" name="Rectangle 2"/>
                <wp:cNvGraphicFramePr/>
                <a:graphic xmlns:a="http://schemas.openxmlformats.org/drawingml/2006/main">
                  <a:graphicData uri="http://schemas.microsoft.com/office/word/2010/wordprocessingShape">
                    <wps:wsp>
                      <wps:cNvSpPr/>
                      <wps:spPr>
                        <a:xfrm>
                          <a:off x="0" y="0"/>
                          <a:ext cx="2434856" cy="85060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D26F31A" w14:textId="02EDA3E3" w:rsidR="005E3B99" w:rsidRDefault="005E3B99" w:rsidP="005E3B99">
                            <w:pPr>
                              <w:jc w:val="center"/>
                            </w:pPr>
                            <w:r w:rsidRPr="005E3B99">
                              <w:t>If your regular community pharmacy has no stock of the brand you require and is unable to source any for you</w:t>
                            </w:r>
                            <w:r w:rsidR="00880EC0">
                              <w:t xml:space="preserve"> and other pharmacies have been contacted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3F6C7C7" id="_x0000_s1027" style="position:absolute;margin-left:0;margin-top:1.2pt;width:191.7pt;height:67pt;z-index:251672577;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" fillcolor="window" strokecolor="windowText" strokeweight="1pt">
                <v:textbox>
                  <w:txbxContent>
                    <w:p w14:paraId="1D26F31A" w14:textId="02EDA3E3" w:rsidR="005E3B99" w:rsidRDefault="005E3B99" w:rsidP="005E3B99">
                      <w:pPr>
                        <w:jc w:val="center"/>
                      </w:pPr>
                      <w:r w:rsidRPr="005E3B99">
                        <w:t xml:space="preserve">If your regular community pharmacy has no stock of the </w:t>
                      </w:r>
                      <w:proofErr w:type="gramStart"/>
                      <w:r w:rsidRPr="005E3B99">
                        <w:t>brand</w:t>
                      </w:r>
                      <w:proofErr w:type="gramEnd"/>
                      <w:r w:rsidRPr="005E3B99">
                        <w:t xml:space="preserve"> you require and is unable to source any for you</w:t>
                      </w:r>
                      <w:r w:rsidR="00880EC0">
                        <w:t xml:space="preserve"> and other pharmacies have been contacted</w:t>
                      </w:r>
                    </w:p>
                  </w:txbxContent>
                </v:textbox>
                <w10:wrap anchorx="margin"/>
              </v:rect>
            </w:pict>
          </mc:Fallback>
        </mc:AlternateContent>
      </w:r>
      <w:r w:rsidR="00E21DBF">
        <w:rPr>
          <w:rFonts w:ascii="Calibri" w:eastAsia="Calibri" w:hAnsi="Calibri" w:cs="Calibri"/>
          <w:highlight w:val="yellow"/>
        </w:rPr>
        <w:t xml:space="preserve"> </w:t>
      </w:r>
    </w:p>
    <w:p w14:paraId="68185539" w14:textId="77777777" w:rsidR="005E3B99" w:rsidRDefault="005E3B99" w:rsidP="00E21DBF">
      <w:pPr>
        <w:rPr>
          <w:rFonts w:ascii="Calibri" w:eastAsia="Calibri" w:hAnsi="Calibri" w:cs="Calibri"/>
          <w:highlight w:val="yellow"/>
        </w:rPr>
      </w:pPr>
    </w:p>
    <w:p w14:paraId="3D780810" w14:textId="707D9551" w:rsidR="005E3B99" w:rsidRDefault="005E3B99" w:rsidP="00E21DBF">
      <w:pPr>
        <w:rPr>
          <w:rFonts w:ascii="Calibri" w:eastAsia="Calibri" w:hAnsi="Calibri" w:cs="Calibri"/>
          <w:highlight w:val="yellow"/>
        </w:rPr>
      </w:pPr>
    </w:p>
    <w:p w14:paraId="0D15F8FF" w14:textId="295D777B" w:rsidR="005E3B99" w:rsidRDefault="00F3126B" w:rsidP="00F3126B">
      <w:pPr>
        <w:jc w:val="center"/>
        <w:rPr>
          <w:rFonts w:ascii="Calibri" w:eastAsia="Calibri" w:hAnsi="Calibri" w:cs="Calibri"/>
          <w:highlight w:val="yellow"/>
        </w:rPr>
      </w:pPr>
      <w:r>
        <w:rPr>
          <w:rFonts w:ascii="Calibri" w:eastAsia="Calibri" w:hAnsi="Calibri" w:cs="Calibri"/>
          <w:noProof/>
        </w:rPr>
        <mc:AlternateContent>
          <mc:Choice Requires="wps">
            <w:drawing>
              <wp:anchor distT="0" distB="0" distL="114300" distR="114300" simplePos="0" relativeHeight="251683841" behindDoc="0" locked="0" layoutInCell="1" allowOverlap="1" wp14:anchorId="74F4DA05" wp14:editId="527AE1AF">
                <wp:simplePos x="0" y="0"/>
                <wp:positionH relativeFrom="column">
                  <wp:posOffset>3230880</wp:posOffset>
                </wp:positionH>
                <wp:positionV relativeFrom="paragraph">
                  <wp:posOffset>55880</wp:posOffset>
                </wp:positionV>
                <wp:extent cx="0" cy="335280"/>
                <wp:effectExtent l="0" t="0" r="38100" b="26670"/>
                <wp:wrapNone/>
                <wp:docPr id="87774878" name="Straight Connector 3"/>
                <wp:cNvGraphicFramePr/>
                <a:graphic xmlns:a="http://schemas.openxmlformats.org/drawingml/2006/main">
                  <a:graphicData uri="http://schemas.microsoft.com/office/word/2010/wordprocessingShape">
                    <wps:wsp>
                      <wps:cNvCnPr/>
                      <wps:spPr>
                        <a:xfrm>
                          <a:off x="0" y="0"/>
                          <a:ext cx="0" cy="33528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8CB994" id="Straight Connector 3" o:spid="_x0000_s1026" style="position:absolute;z-index:2516838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4pt,4.4pt" to="254.4pt,3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" strokecolor="black [3213]" strokeweight="1.5pt">
                <v:stroke joinstyle="miter"/>
              </v:line>
            </w:pict>
          </mc:Fallback>
        </mc:AlternateContent>
      </w:r>
    </w:p>
    <w:p w14:paraId="2B1A6343" w14:textId="52448EDF" w:rsidR="00F3126B" w:rsidRDefault="00F3126B" w:rsidP="00F3126B">
      <w:pPr>
        <w:jc w:val="center"/>
        <w:rPr>
          <w:rFonts w:ascii="Calibri" w:eastAsia="Calibri" w:hAnsi="Calibri" w:cs="Calibri"/>
          <w:highlight w:val="yellow"/>
        </w:rPr>
      </w:pPr>
      <w:r>
        <w:rPr>
          <w:noProof/>
        </w:rPr>
        <mc:AlternateContent>
          <mc:Choice Requires="wps">
            <w:drawing>
              <wp:anchor distT="0" distB="0" distL="114300" distR="114300" simplePos="0" relativeHeight="251685889" behindDoc="0" locked="0" layoutInCell="1" allowOverlap="1" wp14:anchorId="7B1BE78F" wp14:editId="114FB821">
                <wp:simplePos x="0" y="0"/>
                <wp:positionH relativeFrom="margin">
                  <wp:posOffset>1341120</wp:posOffset>
                </wp:positionH>
                <wp:positionV relativeFrom="paragraph">
                  <wp:posOffset>128905</wp:posOffset>
                </wp:positionV>
                <wp:extent cx="3901440" cy="850605"/>
                <wp:effectExtent l="0" t="0" r="22860" b="26035"/>
                <wp:wrapNone/>
                <wp:docPr id="589885801" name="Rectangle 2"/>
                <wp:cNvGraphicFramePr/>
                <a:graphic xmlns:a="http://schemas.openxmlformats.org/drawingml/2006/main">
                  <a:graphicData uri="http://schemas.microsoft.com/office/word/2010/wordprocessingShape">
                    <wps:wsp>
                      <wps:cNvSpPr/>
                      <wps:spPr>
                        <a:xfrm>
                          <a:off x="0" y="0"/>
                          <a:ext cx="3901440" cy="85060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67E20ED" w14:textId="7CBDC7F7" w:rsidR="00F3126B" w:rsidRDefault="00F3126B" w:rsidP="00F3126B">
                            <w:pPr>
                              <w:jc w:val="center"/>
                            </w:pPr>
                            <w:r>
                              <w:t>Co</w:t>
                            </w:r>
                            <w:r w:rsidRPr="00780E7C">
                              <w:t xml:space="preserve">ntact the Creon® </w:t>
                            </w:r>
                            <w:r>
                              <w:t>helpdesk</w:t>
                            </w:r>
                            <w:r w:rsidRPr="00780E7C">
                              <w:t xml:space="preserve"> (</w:t>
                            </w:r>
                            <w:r w:rsidRPr="00C15A9D">
                              <w:t>0800 808 6410</w:t>
                            </w:r>
                            <w:r w:rsidRPr="00780E7C">
                              <w:t>) for Creon® related queries and advice on</w:t>
                            </w:r>
                            <w:r>
                              <w:t xml:space="preserve"> locations with</w:t>
                            </w:r>
                            <w:r w:rsidRPr="00780E7C">
                              <w:t xml:space="preserve"> </w:t>
                            </w:r>
                            <w:r>
                              <w:t xml:space="preserve">stock availability </w:t>
                            </w:r>
                            <w:r w:rsidRPr="00780E7C">
                              <w:t>in your area</w:t>
                            </w:r>
                            <w:r>
                              <w:t xml:space="preserve"> based on delivery dates </w:t>
                            </w:r>
                            <w:r w:rsidRPr="00780E7C">
                              <w:t>(note – they cannot guarantee that specific pharmacies will have stock)</w:t>
                            </w:r>
                          </w:p>
                          <w:p w14:paraId="4670B1C0" w14:textId="6CB0C947" w:rsidR="00F3126B" w:rsidRDefault="00F3126B" w:rsidP="00F312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BE78F" id="_x0000_s1028" style="position:absolute;left:0;text-align:left;margin-left:105.6pt;margin-top:10.15pt;width:307.2pt;height:67pt;z-index:2516858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" fillcolor="window" strokecolor="windowText" strokeweight="1pt">
                <v:textbox>
                  <w:txbxContent>
                    <w:p w14:paraId="167E20ED" w14:textId="7CBDC7F7" w:rsidR="00F3126B" w:rsidRDefault="00F3126B" w:rsidP="00F3126B">
                      <w:pPr>
                        <w:jc w:val="center"/>
                      </w:pPr>
                      <w:r>
                        <w:t>Co</w:t>
                      </w:r>
                      <w:r w:rsidRPr="00780E7C">
                        <w:t xml:space="preserve">ntact the Creon® </w:t>
                      </w:r>
                      <w:r>
                        <w:t>helpdesk</w:t>
                      </w:r>
                      <w:r w:rsidRPr="00780E7C">
                        <w:t xml:space="preserve"> (</w:t>
                      </w:r>
                      <w:r w:rsidRPr="00C15A9D">
                        <w:t>0800 808 6410</w:t>
                      </w:r>
                      <w:r w:rsidRPr="00780E7C">
                        <w:t>) for Creon® related queries and advice on</w:t>
                      </w:r>
                      <w:r>
                        <w:t xml:space="preserve"> locations with</w:t>
                      </w:r>
                      <w:r w:rsidRPr="00780E7C">
                        <w:t xml:space="preserve"> </w:t>
                      </w:r>
                      <w:r>
                        <w:t xml:space="preserve">stock availability </w:t>
                      </w:r>
                      <w:r w:rsidRPr="00780E7C">
                        <w:t>in your area</w:t>
                      </w:r>
                      <w:r>
                        <w:t xml:space="preserve"> based on delivery dates </w:t>
                      </w:r>
                      <w:r w:rsidRPr="00780E7C">
                        <w:t>(note – they cannot guarantee that specific pharmacies will have stock)</w:t>
                      </w:r>
                    </w:p>
                    <w:p w14:paraId="4670B1C0" w14:textId="6CB0C947" w:rsidR="00F3126B" w:rsidRDefault="00F3126B" w:rsidP="00F3126B">
                      <w:pPr>
                        <w:jc w:val="center"/>
                      </w:pPr>
                    </w:p>
                  </w:txbxContent>
                </v:textbox>
                <w10:wrap anchorx="margin"/>
              </v:rect>
            </w:pict>
          </mc:Fallback>
        </mc:AlternateContent>
      </w:r>
    </w:p>
    <w:p w14:paraId="256673CD" w14:textId="4AAC6251" w:rsidR="00F3126B" w:rsidRDefault="00F3126B" w:rsidP="00F3126B">
      <w:pPr>
        <w:jc w:val="center"/>
        <w:rPr>
          <w:rFonts w:ascii="Calibri" w:eastAsia="Calibri" w:hAnsi="Calibri" w:cs="Calibri"/>
          <w:highlight w:val="yellow"/>
        </w:rPr>
      </w:pPr>
    </w:p>
    <w:p w14:paraId="4CCFBEE0" w14:textId="77777777" w:rsidR="00F3126B" w:rsidRDefault="00F3126B" w:rsidP="00F3126B">
      <w:pPr>
        <w:jc w:val="center"/>
        <w:rPr>
          <w:rFonts w:ascii="Calibri" w:eastAsia="Calibri" w:hAnsi="Calibri" w:cs="Calibri"/>
          <w:highlight w:val="yellow"/>
        </w:rPr>
      </w:pPr>
    </w:p>
    <w:p w14:paraId="6A5C9BEE" w14:textId="4A5E2817" w:rsidR="00F3126B" w:rsidRDefault="00F3126B" w:rsidP="00AF4148">
      <w:pPr>
        <w:jc w:val="center"/>
        <w:rPr>
          <w:rFonts w:ascii="Calibri" w:eastAsia="Calibri" w:hAnsi="Calibri" w:cs="Calibri"/>
          <w:highlight w:val="yellow"/>
        </w:rPr>
      </w:pPr>
      <w:r>
        <w:rPr>
          <w:rFonts w:ascii="Calibri" w:eastAsia="Calibri" w:hAnsi="Calibri" w:cs="Calibri"/>
          <w:noProof/>
        </w:rPr>
        <mc:AlternateContent>
          <mc:Choice Requires="wps">
            <w:drawing>
              <wp:anchor distT="0" distB="0" distL="114300" distR="114300" simplePos="0" relativeHeight="251687937" behindDoc="0" locked="0" layoutInCell="1" allowOverlap="1" wp14:anchorId="2AC65353" wp14:editId="64FA42FA">
                <wp:simplePos x="0" y="0"/>
                <wp:positionH relativeFrom="column">
                  <wp:posOffset>3246120</wp:posOffset>
                </wp:positionH>
                <wp:positionV relativeFrom="paragraph">
                  <wp:posOffset>178435</wp:posOffset>
                </wp:positionV>
                <wp:extent cx="0" cy="609600"/>
                <wp:effectExtent l="0" t="0" r="38100" b="19050"/>
                <wp:wrapNone/>
                <wp:docPr id="1089450911" name="Straight Connector 3"/>
                <wp:cNvGraphicFramePr/>
                <a:graphic xmlns:a="http://schemas.openxmlformats.org/drawingml/2006/main">
                  <a:graphicData uri="http://schemas.microsoft.com/office/word/2010/wordprocessingShape">
                    <wps:wsp>
                      <wps:cNvCnPr/>
                      <wps:spPr>
                        <a:xfrm flipH="1">
                          <a:off x="0" y="0"/>
                          <a:ext cx="0" cy="60960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9179FF" id="Straight Connector 3" o:spid="_x0000_s1026" style="position:absolute;flip:x;z-index:2516879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6pt,14.05pt" to="255.6pt,6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" strokecolor="black [3213]" strokeweight="1.5pt">
                <v:stroke joinstyle="miter"/>
              </v:line>
            </w:pict>
          </mc:Fallback>
        </mc:AlternateContent>
      </w:r>
    </w:p>
    <w:p w14:paraId="70A51545" w14:textId="3EB53FD2" w:rsidR="00F3126B" w:rsidRDefault="00F3126B" w:rsidP="00E21DBF">
      <w:pPr>
        <w:rPr>
          <w:rFonts w:ascii="Calibri" w:eastAsia="Calibri" w:hAnsi="Calibri" w:cs="Calibri"/>
        </w:rPr>
      </w:pPr>
    </w:p>
    <w:p w14:paraId="13E88A16" w14:textId="1C4DD305" w:rsidR="005E3B99" w:rsidRDefault="00780E7C" w:rsidP="00E21DBF">
      <w:pPr>
        <w:rPr>
          <w:rFonts w:ascii="Calibri" w:eastAsia="Calibri" w:hAnsi="Calibri" w:cs="Calibri"/>
          <w:highlight w:val="yellow"/>
        </w:rPr>
      </w:pPr>
      <w:r>
        <w:rPr>
          <w:rFonts w:ascii="Calibri" w:eastAsia="Calibri" w:hAnsi="Calibri" w:cs="Calibri"/>
          <w:noProof/>
        </w:rPr>
        <mc:AlternateContent>
          <mc:Choice Requires="wps">
            <w:drawing>
              <wp:anchor distT="0" distB="0" distL="114300" distR="114300" simplePos="0" relativeHeight="251656191" behindDoc="0" locked="0" layoutInCell="1" allowOverlap="1" wp14:anchorId="56740620" wp14:editId="4B526F5D">
                <wp:simplePos x="0" y="0"/>
                <wp:positionH relativeFrom="column">
                  <wp:posOffset>5120640</wp:posOffset>
                </wp:positionH>
                <wp:positionV relativeFrom="paragraph">
                  <wp:posOffset>227965</wp:posOffset>
                </wp:positionV>
                <wp:extent cx="0" cy="609600"/>
                <wp:effectExtent l="0" t="0" r="38100" b="19050"/>
                <wp:wrapNone/>
                <wp:docPr id="749616636" name="Straight Connector 5"/>
                <wp:cNvGraphicFramePr/>
                <a:graphic xmlns:a="http://schemas.openxmlformats.org/drawingml/2006/main">
                  <a:graphicData uri="http://schemas.microsoft.com/office/word/2010/wordprocessingShape">
                    <wps:wsp>
                      <wps:cNvCnPr/>
                      <wps:spPr>
                        <a:xfrm>
                          <a:off x="0" y="0"/>
                          <a:ext cx="0" cy="60960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7CDAB3" id="Straight Connector 5" o:spid="_x0000_s1026" style="position:absolute;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3.2pt,17.95pt" to="403.2pt,6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" strokecolor="windowText" strokeweight="1.5pt">
                <v:stroke joinstyle="miter"/>
              </v:line>
            </w:pict>
          </mc:Fallback>
        </mc:AlternateContent>
      </w:r>
      <w:r>
        <w:rPr>
          <w:rFonts w:ascii="Calibri" w:eastAsia="Calibri" w:hAnsi="Calibri" w:cs="Calibri"/>
          <w:noProof/>
        </w:rPr>
        <mc:AlternateContent>
          <mc:Choice Requires="wps">
            <w:drawing>
              <wp:anchor distT="0" distB="0" distL="114300" distR="114300" simplePos="0" relativeHeight="251679745" behindDoc="0" locked="0" layoutInCell="1" allowOverlap="1" wp14:anchorId="2A42515E" wp14:editId="69696912">
                <wp:simplePos x="0" y="0"/>
                <wp:positionH relativeFrom="column">
                  <wp:posOffset>1586230</wp:posOffset>
                </wp:positionH>
                <wp:positionV relativeFrom="paragraph">
                  <wp:posOffset>231140</wp:posOffset>
                </wp:positionV>
                <wp:extent cx="3541981" cy="0"/>
                <wp:effectExtent l="0" t="0" r="0" b="0"/>
                <wp:wrapNone/>
                <wp:docPr id="1300959071" name="Straight Connector 4"/>
                <wp:cNvGraphicFramePr/>
                <a:graphic xmlns:a="http://schemas.openxmlformats.org/drawingml/2006/main">
                  <a:graphicData uri="http://schemas.microsoft.com/office/word/2010/wordprocessingShape">
                    <wps:wsp>
                      <wps:cNvCnPr/>
                      <wps:spPr>
                        <a:xfrm flipV="1">
                          <a:off x="0" y="0"/>
                          <a:ext cx="3541981"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6940AC" id="Straight Connector 4" o:spid="_x0000_s1026" style="position:absolute;flip:y;z-index:2516797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9pt,18.2pt" to="403.8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" strokecolor="black [3213]" strokeweight="1.5pt">
                <v:stroke joinstyle="miter"/>
              </v:line>
            </w:pict>
          </mc:Fallback>
        </mc:AlternateContent>
      </w:r>
      <w:r>
        <w:rPr>
          <w:rFonts w:ascii="Calibri" w:eastAsia="Calibri" w:hAnsi="Calibri" w:cs="Calibri"/>
          <w:noProof/>
        </w:rPr>
        <mc:AlternateContent>
          <mc:Choice Requires="wps">
            <w:drawing>
              <wp:anchor distT="0" distB="0" distL="114300" distR="114300" simplePos="0" relativeHeight="251655166" behindDoc="0" locked="0" layoutInCell="1" allowOverlap="1" wp14:anchorId="7E7F2DEC" wp14:editId="6B5DB40F">
                <wp:simplePos x="0" y="0"/>
                <wp:positionH relativeFrom="column">
                  <wp:posOffset>1594542</wp:posOffset>
                </wp:positionH>
                <wp:positionV relativeFrom="paragraph">
                  <wp:posOffset>231194</wp:posOffset>
                </wp:positionV>
                <wp:extent cx="0" cy="700644"/>
                <wp:effectExtent l="0" t="0" r="38100" b="23495"/>
                <wp:wrapNone/>
                <wp:docPr id="1682870853" name="Straight Connector 5"/>
                <wp:cNvGraphicFramePr/>
                <a:graphic xmlns:a="http://schemas.openxmlformats.org/drawingml/2006/main">
                  <a:graphicData uri="http://schemas.microsoft.com/office/word/2010/wordprocessingShape">
                    <wps:wsp>
                      <wps:cNvCnPr/>
                      <wps:spPr>
                        <a:xfrm>
                          <a:off x="0" y="0"/>
                          <a:ext cx="0" cy="700644"/>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51E7E3" id="Straight Connector 5" o:spid="_x0000_s1026" style="position:absolute;z-index:251655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5.55pt,18.2pt" to="125.55pt,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" strokecolor="black [3213]" strokeweight="1.5pt">
                <v:stroke joinstyle="miter"/>
              </v:line>
            </w:pict>
          </mc:Fallback>
        </mc:AlternateContent>
      </w:r>
    </w:p>
    <w:p w14:paraId="16E83721" w14:textId="732AD914" w:rsidR="005E3B99" w:rsidRDefault="005E3B99" w:rsidP="00E21DBF">
      <w:pPr>
        <w:rPr>
          <w:rFonts w:ascii="Calibri" w:eastAsia="Calibri" w:hAnsi="Calibri" w:cs="Calibri"/>
          <w:highlight w:val="yellow"/>
        </w:rPr>
      </w:pPr>
    </w:p>
    <w:p w14:paraId="057800F5" w14:textId="0D8C62C0" w:rsidR="005E3B99" w:rsidRDefault="005E3B99" w:rsidP="00E21DBF">
      <w:pPr>
        <w:rPr>
          <w:rFonts w:ascii="Calibri" w:eastAsia="Calibri" w:hAnsi="Calibri" w:cs="Calibri"/>
          <w:highlight w:val="yellow"/>
        </w:rPr>
      </w:pPr>
    </w:p>
    <w:p w14:paraId="354BBF41" w14:textId="36E129CB" w:rsidR="005E3B99" w:rsidRDefault="00780E7C" w:rsidP="00E21DBF">
      <w:pPr>
        <w:rPr>
          <w:rFonts w:ascii="Calibri" w:eastAsia="Calibri" w:hAnsi="Calibri" w:cs="Calibri"/>
          <w:highlight w:val="yellow"/>
        </w:rPr>
      </w:pPr>
      <w:r>
        <w:rPr>
          <w:noProof/>
        </w:rPr>
        <mc:AlternateContent>
          <mc:Choice Requires="wps">
            <w:drawing>
              <wp:anchor distT="0" distB="0" distL="114300" distR="114300" simplePos="0" relativeHeight="251676673" behindDoc="0" locked="0" layoutInCell="1" allowOverlap="1" wp14:anchorId="17055307" wp14:editId="5DBE1D00">
                <wp:simplePos x="0" y="0"/>
                <wp:positionH relativeFrom="margin">
                  <wp:posOffset>3777582</wp:posOffset>
                </wp:positionH>
                <wp:positionV relativeFrom="paragraph">
                  <wp:posOffset>3365</wp:posOffset>
                </wp:positionV>
                <wp:extent cx="2434590" cy="1222744"/>
                <wp:effectExtent l="0" t="0" r="22860" b="15875"/>
                <wp:wrapNone/>
                <wp:docPr id="471330143" name="Rectangle 2"/>
                <wp:cNvGraphicFramePr/>
                <a:graphic xmlns:a="http://schemas.openxmlformats.org/drawingml/2006/main">
                  <a:graphicData uri="http://schemas.microsoft.com/office/word/2010/wordprocessingShape">
                    <wps:wsp>
                      <wps:cNvSpPr/>
                      <wps:spPr>
                        <a:xfrm>
                          <a:off x="0" y="0"/>
                          <a:ext cx="2434590" cy="122274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5EA36FD" w14:textId="77777777" w:rsidR="005E3B99" w:rsidRDefault="005E3B99" w:rsidP="005E3B99">
                            <w:pPr>
                              <w:jc w:val="center"/>
                            </w:pPr>
                            <w:r>
                              <w:t>Alternative not available:</w:t>
                            </w:r>
                          </w:p>
                          <w:p w14:paraId="7F1C19BF" w14:textId="354C7575" w:rsidR="005E3B99" w:rsidRDefault="005E3B99" w:rsidP="005E3B99">
                            <w:pPr>
                              <w:jc w:val="center"/>
                            </w:pPr>
                            <w:r>
                              <w:t>Contact your hospital specialist team or GP (if your hospital specialist is unknown to you) for further advice and a one month supply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055307" id="_x0000_s1029" style="position:absolute;margin-left:297.45pt;margin-top:.25pt;width:191.7pt;height:96.3pt;z-index:25167667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" fillcolor="window" strokecolor="windowText" strokeweight="1pt">
                <v:textbox>
                  <w:txbxContent>
                    <w:p w14:paraId="75EA36FD" w14:textId="77777777" w:rsidR="005E3B99" w:rsidRDefault="005E3B99" w:rsidP="005E3B99">
                      <w:pPr>
                        <w:jc w:val="center"/>
                      </w:pPr>
                      <w:r>
                        <w:t>Alternative not available:</w:t>
                      </w:r>
                    </w:p>
                    <w:p w14:paraId="7F1C19BF" w14:textId="354C7575" w:rsidR="005E3B99" w:rsidRDefault="005E3B99" w:rsidP="005E3B99">
                      <w:pPr>
                        <w:jc w:val="center"/>
                      </w:pPr>
                      <w:r>
                        <w:t>Contact your hospital specialist team or GP (if your hospital specialist is unknown to you) for further advice and a one month supply</w:t>
                      </w:r>
                    </w:p>
                  </w:txbxContent>
                </v:textbox>
                <w10:wrap anchorx="margin"/>
              </v:rect>
            </w:pict>
          </mc:Fallback>
        </mc:AlternateContent>
      </w:r>
      <w:r w:rsidR="005E3B99">
        <w:rPr>
          <w:noProof/>
        </w:rPr>
        <mc:AlternateContent>
          <mc:Choice Requires="wps">
            <w:drawing>
              <wp:anchor distT="0" distB="0" distL="114300" distR="114300" simplePos="0" relativeHeight="251674625" behindDoc="0" locked="0" layoutInCell="1" allowOverlap="1" wp14:anchorId="604DFF5C" wp14:editId="2F498D1E">
                <wp:simplePos x="0" y="0"/>
                <wp:positionH relativeFrom="margin">
                  <wp:posOffset>372065</wp:posOffset>
                </wp:positionH>
                <wp:positionV relativeFrom="paragraph">
                  <wp:posOffset>12065</wp:posOffset>
                </wp:positionV>
                <wp:extent cx="2434590" cy="1222744"/>
                <wp:effectExtent l="0" t="0" r="22860" b="15875"/>
                <wp:wrapNone/>
                <wp:docPr id="668178160" name="Rectangle 2"/>
                <wp:cNvGraphicFramePr/>
                <a:graphic xmlns:a="http://schemas.openxmlformats.org/drawingml/2006/main">
                  <a:graphicData uri="http://schemas.microsoft.com/office/word/2010/wordprocessingShape">
                    <wps:wsp>
                      <wps:cNvSpPr/>
                      <wps:spPr>
                        <a:xfrm>
                          <a:off x="0" y="0"/>
                          <a:ext cx="2434590" cy="1222744"/>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8951011" w14:textId="36EA1F62" w:rsidR="005E3B99" w:rsidRDefault="005E3B99" w:rsidP="005E3B99">
                            <w:pPr>
                              <w:jc w:val="center"/>
                            </w:pPr>
                            <w:bookmarkStart w:id="8" w:name="_Hlk206671082"/>
                            <w:bookmarkStart w:id="9" w:name="_Hlk206671083"/>
                            <w:r w:rsidRPr="005E3B99">
                              <w:t>If an alternative brand</w:t>
                            </w:r>
                            <w:r w:rsidR="00DF1736">
                              <w:t xml:space="preserve"> or unlicensed Pangrol</w:t>
                            </w:r>
                            <w:r w:rsidR="00DF1736" w:rsidRPr="00013D39">
                              <w:t>®</w:t>
                            </w:r>
                            <w:r w:rsidRPr="005E3B99">
                              <w:t xml:space="preserve"> is available, your community pharmacist will contact your GP for a new prescription of a similar product. This may have a different dose.</w:t>
                            </w:r>
                            <w:bookmarkEnd w:id="8"/>
                            <w:bookmarkEnd w:id="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04DFF5C" id="_x0000_s1030" style="position:absolute;margin-left:29.3pt;margin-top:.95pt;width:191.7pt;height:96.3pt;z-index:251674625;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" fillcolor="window" strokecolor="windowText" strokeweight="1pt">
                <v:textbox>
                  <w:txbxContent>
                    <w:p w14:paraId="78951011" w14:textId="36EA1F62" w:rsidR="005E3B99" w:rsidRDefault="005E3B99" w:rsidP="005E3B99">
                      <w:pPr>
                        <w:jc w:val="center"/>
                      </w:pPr>
                      <w:bookmarkStart w:id="10" w:name="_Hlk206671082"/>
                      <w:bookmarkStart w:id="11" w:name="_Hlk206671083"/>
                      <w:r w:rsidRPr="005E3B99">
                        <w:t>If an alternative brand</w:t>
                      </w:r>
                      <w:r w:rsidR="00DF1736">
                        <w:t xml:space="preserve"> or unlicensed Pangrol</w:t>
                      </w:r>
                      <w:r w:rsidR="00DF1736" w:rsidRPr="00013D39">
                        <w:t>®</w:t>
                      </w:r>
                      <w:r w:rsidRPr="005E3B99">
                        <w:t xml:space="preserve"> is available, your community pharmacist will contact your GP for a new prescription of a similar product. This may have a different dose.</w:t>
                      </w:r>
                      <w:bookmarkEnd w:id="10"/>
                      <w:bookmarkEnd w:id="11"/>
                    </w:p>
                  </w:txbxContent>
                </v:textbox>
                <w10:wrap anchorx="margin"/>
              </v:rect>
            </w:pict>
          </mc:Fallback>
        </mc:AlternateContent>
      </w:r>
    </w:p>
    <w:p w14:paraId="0ED4ECDF" w14:textId="07CEEC91" w:rsidR="005E3B99" w:rsidRDefault="005E3B99" w:rsidP="00E21DBF">
      <w:pPr>
        <w:rPr>
          <w:rFonts w:ascii="Calibri" w:eastAsia="Calibri" w:hAnsi="Calibri" w:cs="Calibri"/>
          <w:highlight w:val="yellow"/>
        </w:rPr>
      </w:pPr>
    </w:p>
    <w:p w14:paraId="413622A1" w14:textId="3C6E383E" w:rsidR="005E3B99" w:rsidRDefault="005E3B99" w:rsidP="00E21DBF">
      <w:pPr>
        <w:rPr>
          <w:rFonts w:ascii="Calibri" w:eastAsia="Calibri" w:hAnsi="Calibri" w:cs="Calibri"/>
          <w:highlight w:val="yellow"/>
        </w:rPr>
      </w:pPr>
    </w:p>
    <w:p w14:paraId="7F4A14A6" w14:textId="69C8F230" w:rsidR="005E3B99" w:rsidRDefault="005E3B99" w:rsidP="00E21DBF">
      <w:pPr>
        <w:rPr>
          <w:rFonts w:ascii="Calibri" w:eastAsia="Calibri" w:hAnsi="Calibri" w:cs="Calibri"/>
          <w:highlight w:val="yellow"/>
        </w:rPr>
      </w:pPr>
    </w:p>
    <w:p w14:paraId="21D48639" w14:textId="15C4FF80" w:rsidR="005E3B99" w:rsidRDefault="005E3B99" w:rsidP="00E21DBF">
      <w:pPr>
        <w:rPr>
          <w:rFonts w:ascii="Calibri" w:eastAsia="Calibri" w:hAnsi="Calibri" w:cs="Calibri"/>
          <w:highlight w:val="yellow"/>
        </w:rPr>
      </w:pPr>
    </w:p>
    <w:p w14:paraId="29E7C5EE" w14:textId="18D4D3BD" w:rsidR="005E3B99" w:rsidRDefault="005E3B99" w:rsidP="00DF1736">
      <w:pPr>
        <w:rPr>
          <w:rFonts w:ascii="Calibri" w:eastAsia="Calibri" w:hAnsi="Calibri" w:cs="Calibri"/>
          <w:highlight w:val="yellow"/>
        </w:rPr>
      </w:pPr>
    </w:p>
    <w:p w14:paraId="35CE0E56" w14:textId="77777777" w:rsidR="005E3B99" w:rsidRDefault="005E3B99" w:rsidP="00E21DBF">
      <w:pPr>
        <w:rPr>
          <w:rFonts w:ascii="Calibri" w:eastAsia="Calibri" w:hAnsi="Calibri" w:cs="Calibri"/>
          <w:highlight w:val="yellow"/>
        </w:rPr>
      </w:pPr>
    </w:p>
    <w:p w14:paraId="50EB89D6" w14:textId="77777777" w:rsidR="002C6A66" w:rsidRDefault="002C6A66" w:rsidP="00E21DBF">
      <w:pPr>
        <w:pStyle w:val="ListParagraph"/>
        <w:spacing w:after="0"/>
        <w:rPr>
          <w:rFonts w:ascii="Calibri" w:eastAsia="Calibri" w:hAnsi="Calibri" w:cs="Calibri"/>
        </w:rPr>
      </w:pPr>
    </w:p>
    <w:p w14:paraId="1DF3E4EE" w14:textId="0D0D43B7" w:rsidR="00E21DBF" w:rsidRDefault="00E21DBF" w:rsidP="00E21DBF">
      <w:pPr>
        <w:pStyle w:val="ListParagraph"/>
        <w:spacing w:after="0"/>
        <w:rPr>
          <w:rFonts w:ascii="Calibri" w:eastAsia="Calibri" w:hAnsi="Calibri" w:cs="Calibri"/>
          <w:highlight w:val="yellow"/>
        </w:rPr>
      </w:pPr>
      <w:r w:rsidRPr="7965B716">
        <w:rPr>
          <w:rFonts w:ascii="Calibri" w:eastAsia="Calibri" w:hAnsi="Calibri" w:cs="Calibri"/>
        </w:rPr>
        <w:t>We are working closely with our hospitals to regularly monitor their stock levels</w:t>
      </w:r>
      <w:r w:rsidR="00226863">
        <w:rPr>
          <w:rFonts w:ascii="Calibri" w:eastAsia="Calibri" w:hAnsi="Calibri" w:cs="Calibri"/>
        </w:rPr>
        <w:t>.</w:t>
      </w:r>
    </w:p>
    <w:p w14:paraId="6DD84457" w14:textId="3AFC5F46" w:rsidR="742F9208" w:rsidRDefault="742F9208" w:rsidP="47752A79">
      <w:pPr>
        <w:pStyle w:val="ListParagraph"/>
        <w:rPr>
          <w:rFonts w:ascii="Calibri" w:eastAsia="Calibri" w:hAnsi="Calibri" w:cs="Calibri"/>
        </w:rPr>
      </w:pPr>
    </w:p>
    <w:p w14:paraId="30CB5F38" w14:textId="4DD70A2E" w:rsidR="2F20710C" w:rsidRDefault="2F20710C" w:rsidP="7B60A544"/>
    <w:p w14:paraId="5E28DA3E" w14:textId="3585998D" w:rsidR="6E844DD4" w:rsidRDefault="009D1065" w:rsidP="742F9208">
      <w:r>
        <w:t>Useful l</w:t>
      </w:r>
      <w:r w:rsidR="6E844DD4">
        <w:t xml:space="preserve">inks: </w:t>
      </w:r>
    </w:p>
    <w:p w14:paraId="5E0CA57A" w14:textId="7F407143" w:rsidR="00B61513" w:rsidRDefault="00B61513" w:rsidP="00B61513">
      <w:r>
        <w:t xml:space="preserve">SPS: </w:t>
      </w:r>
      <w:hyperlink r:id="rId31" w:history="1">
        <w:r w:rsidRPr="00E050B0">
          <w:rPr>
            <w:rStyle w:val="Hyperlink"/>
          </w:rPr>
          <w:t>Shortage of Creon 10000 and 25000 gastro-resistant capsules</w:t>
        </w:r>
      </w:hyperlink>
      <w:r w:rsidRPr="00E050B0">
        <w:t xml:space="preserve"> </w:t>
      </w:r>
    </w:p>
    <w:p w14:paraId="5ED36A8E" w14:textId="0A2AF378" w:rsidR="00B61513" w:rsidRDefault="00B61513" w:rsidP="00B61513">
      <w:pPr>
        <w:tabs>
          <w:tab w:val="left" w:pos="5387"/>
        </w:tabs>
      </w:pPr>
      <w:r>
        <w:t xml:space="preserve">SPS: </w:t>
      </w:r>
      <w:hyperlink r:id="rId32" w:history="1">
        <w:r w:rsidRPr="00E050B0">
          <w:rPr>
            <w:rStyle w:val="Hyperlink"/>
          </w:rPr>
          <w:t>Prescribing and ordering available pancreatic enzyme replacement therapies</w:t>
        </w:r>
      </w:hyperlink>
      <w:r w:rsidRPr="00E050B0">
        <w:t xml:space="preserve"> </w:t>
      </w:r>
    </w:p>
    <w:p w14:paraId="0B88B47E" w14:textId="793D7626" w:rsidR="00B61513" w:rsidRPr="00AF4148" w:rsidRDefault="00B61513" w:rsidP="00B61513">
      <w:pPr>
        <w:rPr>
          <w:color w:val="0563C1" w:themeColor="hyperlink"/>
          <w:u w:val="single"/>
        </w:rPr>
      </w:pPr>
      <w:r>
        <w:t xml:space="preserve">SPS: </w:t>
      </w:r>
      <w:hyperlink r:id="rId33" w:history="1">
        <w:r w:rsidRPr="00E050B0">
          <w:rPr>
            <w:rStyle w:val="Hyperlink"/>
          </w:rPr>
          <w:t>Find PERT alternatives and equivalences</w:t>
        </w:r>
      </w:hyperlink>
    </w:p>
    <w:p w14:paraId="16298AB6" w14:textId="46BAE4E4" w:rsidR="00B61513" w:rsidRDefault="00B61513" w:rsidP="742F9208">
      <w:hyperlink r:id="rId34" w:history="1">
        <w:r>
          <w:rPr>
            <w:rStyle w:val="Hyperlink"/>
          </w:rPr>
          <w:t xml:space="preserve">Information about the supply of Creon, </w:t>
        </w:r>
        <w:proofErr w:type="spellStart"/>
        <w:r>
          <w:rPr>
            <w:rStyle w:val="Hyperlink"/>
          </w:rPr>
          <w:t>Nutrizym</w:t>
        </w:r>
        <w:proofErr w:type="spellEnd"/>
        <w:r>
          <w:rPr>
            <w:rStyle w:val="Hyperlink"/>
          </w:rPr>
          <w:t xml:space="preserve"> and </w:t>
        </w:r>
        <w:proofErr w:type="spellStart"/>
        <w:r>
          <w:rPr>
            <w:rStyle w:val="Hyperlink"/>
          </w:rPr>
          <w:t>Pancrex</w:t>
        </w:r>
        <w:proofErr w:type="spellEnd"/>
        <w:r>
          <w:rPr>
            <w:rStyle w:val="Hyperlink"/>
          </w:rPr>
          <w:t xml:space="preserve"> - Pancreatic Cancer UK</w:t>
        </w:r>
      </w:hyperlink>
    </w:p>
    <w:p w14:paraId="47B75591" w14:textId="4F2C76FB" w:rsidR="00D8712B" w:rsidRDefault="00D8712B" w:rsidP="00D8712B">
      <w:hyperlink r:id="rId35" w:history="1">
        <w:r w:rsidRPr="00B018A8">
          <w:rPr>
            <w:rStyle w:val="Hyperlink"/>
          </w:rPr>
          <w:t>Position Statement: Pert Shortage | Pancreatic Society of Great Britain and Ireland</w:t>
        </w:r>
      </w:hyperlink>
      <w:r>
        <w:t xml:space="preserve"> </w:t>
      </w:r>
    </w:p>
    <w:p w14:paraId="5F5A8267" w14:textId="77777777" w:rsidR="00D8712B" w:rsidRDefault="00D8712B" w:rsidP="00D8712B">
      <w:hyperlink r:id="rId36" w:history="1">
        <w:r w:rsidRPr="007644CA">
          <w:rPr>
            <w:rStyle w:val="Hyperlink"/>
          </w:rPr>
          <w:t>Creon supply update</w:t>
        </w:r>
      </w:hyperlink>
      <w:r>
        <w:t xml:space="preserve"> Cystic Fibrosis Trust</w:t>
      </w:r>
    </w:p>
    <w:p w14:paraId="2E498462" w14:textId="77777777" w:rsidR="00D8712B" w:rsidRDefault="00D8712B" w:rsidP="00D8712B">
      <w:hyperlink r:id="rId37" w:history="1">
        <w:r w:rsidRPr="008C5DB1">
          <w:rPr>
            <w:rStyle w:val="Hyperlink"/>
          </w:rPr>
          <w:t>Guts UK - committed to fighting all digestive diseases</w:t>
        </w:r>
      </w:hyperlink>
      <w:r>
        <w:t xml:space="preserve"> </w:t>
      </w:r>
    </w:p>
    <w:p w14:paraId="6E518063" w14:textId="39E4A1DD" w:rsidR="00D8712B" w:rsidRDefault="00D8712B" w:rsidP="00BA6851">
      <w:hyperlink r:id="rId38" w:history="1">
        <w:r>
          <w:rPr>
            <w:rStyle w:val="Hyperlink"/>
          </w:rPr>
          <w:t xml:space="preserve">Information about the supply of Creon, </w:t>
        </w:r>
        <w:proofErr w:type="spellStart"/>
        <w:r>
          <w:rPr>
            <w:rStyle w:val="Hyperlink"/>
          </w:rPr>
          <w:t>Nutrizym</w:t>
        </w:r>
        <w:proofErr w:type="spellEnd"/>
        <w:r>
          <w:rPr>
            <w:rStyle w:val="Hyperlink"/>
          </w:rPr>
          <w:t xml:space="preserve"> and </w:t>
        </w:r>
        <w:proofErr w:type="spellStart"/>
        <w:r>
          <w:rPr>
            <w:rStyle w:val="Hyperlink"/>
          </w:rPr>
          <w:t>Pancrex</w:t>
        </w:r>
        <w:proofErr w:type="spellEnd"/>
        <w:r>
          <w:rPr>
            <w:rStyle w:val="Hyperlink"/>
          </w:rPr>
          <w:t xml:space="preserve"> - Pancreatic Cancer UK</w:t>
        </w:r>
      </w:hyperlink>
      <w:bookmarkEnd w:id="7"/>
    </w:p>
    <w:p w14:paraId="15A20419" w14:textId="152EF1E2" w:rsidR="001715BA" w:rsidRDefault="001715BA" w:rsidP="742F9208">
      <w:pPr>
        <w:rPr>
          <w:rStyle w:val="Hyperlink"/>
        </w:rPr>
      </w:pPr>
      <w:hyperlink r:id="rId39" w:history="1">
        <w:r w:rsidRPr="001715BA">
          <w:rPr>
            <w:rStyle w:val="Hyperlink"/>
          </w:rPr>
          <w:t>Supply of unlicensed PERT preparations - Community Pharmacy England</w:t>
        </w:r>
      </w:hyperlink>
    </w:p>
    <w:p w14:paraId="4AE405C9" w14:textId="7C5672D7" w:rsidR="00CD3AEC" w:rsidRDefault="00CD3AEC" w:rsidP="742F9208">
      <w:hyperlink r:id="rId40" w:history="1">
        <w:r w:rsidRPr="00CD3AEC">
          <w:rPr>
            <w:rStyle w:val="Hyperlink"/>
          </w:rPr>
          <w:t>Oxford Pharmacy Store Register for a New Account : Oxford Pharmacy Store</w:t>
        </w:r>
      </w:hyperlink>
    </w:p>
    <w:p w14:paraId="6440C392" w14:textId="698C4DFF" w:rsidR="00CD3AEC" w:rsidRDefault="00CD3AEC" w:rsidP="742F9208">
      <w:hyperlink r:id="rId41" w:history="1">
        <w:r w:rsidRPr="00CD3AEC">
          <w:rPr>
            <w:rStyle w:val="Hyperlink"/>
          </w:rPr>
          <w:t>Creon 25000 Capsules - Summary of Product Characteristics (SmPC) - (emc) | 1168</w:t>
        </w:r>
      </w:hyperlink>
    </w:p>
    <w:p w14:paraId="0AF4ACCE" w14:textId="50F05D5E" w:rsidR="00CD3AEC" w:rsidRDefault="00CD3AEC" w:rsidP="742F9208">
      <w:hyperlink r:id="rId42" w:history="1">
        <w:r w:rsidRPr="00CD3AEC">
          <w:rPr>
            <w:rStyle w:val="Hyperlink"/>
          </w:rPr>
          <w:t>Creon 10000 Capsules - Summary of Product Characteristics (SmPC) - (emc) | 1167</w:t>
        </w:r>
      </w:hyperlink>
    </w:p>
    <w:p w14:paraId="2F357CB1" w14:textId="606349E3" w:rsidR="00CD3AEC" w:rsidRDefault="00B2559B" w:rsidP="742F9208">
      <w:r>
        <w:object w:dxaOrig="1520" w:dyaOrig="987" w14:anchorId="7CD841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43" o:title=""/>
          </v:shape>
          <o:OLEObject Type="Embed" ProgID="Acrobat.Document.DC" ShapeID="_x0000_i1025" DrawAspect="Icon" ObjectID="_1824981838" r:id="rId44"/>
        </w:object>
      </w:r>
      <w:r>
        <w:object w:dxaOrig="1520" w:dyaOrig="987" w14:anchorId="42850761">
          <v:shape id="_x0000_i1026" type="#_x0000_t75" style="width:76.8pt;height:49.2pt" o:ole="">
            <v:imagedata r:id="rId45" o:title=""/>
          </v:shape>
          <o:OLEObject Type="Embed" ProgID="Acrobat.Document.DC" ShapeID="_x0000_i1026" DrawAspect="Icon" ObjectID="_1824981839" r:id="rId46"/>
        </w:object>
      </w:r>
    </w:p>
    <w:sectPr w:rsidR="00CD3AEC" w:rsidSect="00F73E18">
      <w:headerReference w:type="default" r:id="rId47"/>
      <w:footerReference w:type="default" r:id="rId48"/>
      <w:headerReference w:type="first" r:id="rId49"/>
      <w:footerReference w:type="first" r:id="rId50"/>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735BC" w14:textId="77777777" w:rsidR="00024623" w:rsidRDefault="00024623" w:rsidP="0014489A">
      <w:pPr>
        <w:spacing w:after="0" w:line="240" w:lineRule="auto"/>
      </w:pPr>
      <w:r>
        <w:separator/>
      </w:r>
    </w:p>
  </w:endnote>
  <w:endnote w:type="continuationSeparator" w:id="0">
    <w:p w14:paraId="526D4304" w14:textId="77777777" w:rsidR="00024623" w:rsidRDefault="00024623" w:rsidP="0014489A">
      <w:pPr>
        <w:spacing w:after="0" w:line="240" w:lineRule="auto"/>
      </w:pPr>
      <w:r>
        <w:continuationSeparator/>
      </w:r>
    </w:p>
  </w:endnote>
  <w:endnote w:type="continuationNotice" w:id="1">
    <w:p w14:paraId="4F2D7B52" w14:textId="77777777" w:rsidR="00024623" w:rsidRDefault="000246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905FE" w14:textId="1E17D6C3" w:rsidR="00D01D9A" w:rsidRDefault="00D01D9A">
    <w:pPr>
      <w:pStyle w:val="Footer"/>
    </w:pPr>
    <w:r w:rsidRPr="00E70161">
      <w:rPr>
        <w:rFonts w:ascii="Arial" w:hAnsi="Arial" w:cs="Arial"/>
        <w:noProof/>
        <w:sz w:val="20"/>
        <w:szCs w:val="20"/>
      </w:rPr>
      <w:drawing>
        <wp:anchor distT="0" distB="0" distL="114300" distR="114300" simplePos="0" relativeHeight="251669504" behindDoc="1" locked="0" layoutInCell="1" allowOverlap="1" wp14:anchorId="1396C97D" wp14:editId="1ABC814D">
          <wp:simplePos x="0" y="0"/>
          <wp:positionH relativeFrom="margin">
            <wp:posOffset>0</wp:posOffset>
          </wp:positionH>
          <wp:positionV relativeFrom="page">
            <wp:posOffset>10071735</wp:posOffset>
          </wp:positionV>
          <wp:extent cx="6634480" cy="478790"/>
          <wp:effectExtent l="0" t="0" r="0" b="0"/>
          <wp:wrapNone/>
          <wp:docPr id="1009789854" name="Picture 100978985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l="15356" t="-1" r="7637" b="67376"/>
                  <a:stretch/>
                </pic:blipFill>
                <pic:spPr bwMode="auto">
                  <a:xfrm>
                    <a:off x="0" y="0"/>
                    <a:ext cx="6634480" cy="478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7C5DB" w14:textId="380E4CF5" w:rsidR="00D01D9A" w:rsidRDefault="00D01D9A">
    <w:pPr>
      <w:pStyle w:val="Footer"/>
    </w:pPr>
    <w:r w:rsidRPr="00E70161">
      <w:rPr>
        <w:rFonts w:ascii="Arial" w:hAnsi="Arial" w:cs="Arial"/>
        <w:noProof/>
        <w:sz w:val="20"/>
        <w:szCs w:val="20"/>
      </w:rPr>
      <w:drawing>
        <wp:anchor distT="0" distB="0" distL="114300" distR="114300" simplePos="0" relativeHeight="251667456" behindDoc="1" locked="0" layoutInCell="1" allowOverlap="1" wp14:anchorId="17AB2A26" wp14:editId="1C7CB0CC">
          <wp:simplePos x="0" y="0"/>
          <wp:positionH relativeFrom="margin">
            <wp:posOffset>0</wp:posOffset>
          </wp:positionH>
          <wp:positionV relativeFrom="page">
            <wp:posOffset>10071735</wp:posOffset>
          </wp:positionV>
          <wp:extent cx="6634480" cy="478790"/>
          <wp:effectExtent l="0" t="0" r="0" b="0"/>
          <wp:wrapNone/>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rotWithShape="1">
                  <a:blip r:embed="rId1">
                    <a:extLst>
                      <a:ext uri="{28A0092B-C50C-407E-A947-70E740481C1C}">
                        <a14:useLocalDpi xmlns:a14="http://schemas.microsoft.com/office/drawing/2010/main" val="0"/>
                      </a:ext>
                    </a:extLst>
                  </a:blip>
                  <a:srcRect l="15356" t="-1" r="7637" b="67376"/>
                  <a:stretch/>
                </pic:blipFill>
                <pic:spPr bwMode="auto">
                  <a:xfrm>
                    <a:off x="0" y="0"/>
                    <a:ext cx="6634480" cy="478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FBE88" w14:textId="77777777" w:rsidR="00024623" w:rsidRDefault="00024623" w:rsidP="0014489A">
      <w:pPr>
        <w:spacing w:after="0" w:line="240" w:lineRule="auto"/>
      </w:pPr>
      <w:r>
        <w:separator/>
      </w:r>
    </w:p>
  </w:footnote>
  <w:footnote w:type="continuationSeparator" w:id="0">
    <w:p w14:paraId="7D4F00D5" w14:textId="77777777" w:rsidR="00024623" w:rsidRDefault="00024623" w:rsidP="0014489A">
      <w:pPr>
        <w:spacing w:after="0" w:line="240" w:lineRule="auto"/>
      </w:pPr>
      <w:r>
        <w:continuationSeparator/>
      </w:r>
    </w:p>
  </w:footnote>
  <w:footnote w:type="continuationNotice" w:id="1">
    <w:p w14:paraId="5AB9AC52" w14:textId="77777777" w:rsidR="00024623" w:rsidRDefault="00024623">
      <w:pPr>
        <w:spacing w:after="0" w:line="240" w:lineRule="auto"/>
      </w:pPr>
    </w:p>
  </w:footnote>
  <w:footnote w:id="2">
    <w:p w14:paraId="35C2643D" w14:textId="69FDE6B2" w:rsidR="00BA48E2" w:rsidRPr="00F464ED" w:rsidRDefault="00BA48E2">
      <w:pPr>
        <w:pStyle w:val="FootnoteText"/>
        <w:rPr>
          <w:sz w:val="16"/>
          <w:szCs w:val="16"/>
        </w:rPr>
      </w:pPr>
      <w:r w:rsidRPr="00F464ED">
        <w:rPr>
          <w:rStyle w:val="FootnoteReference"/>
          <w:sz w:val="16"/>
          <w:szCs w:val="16"/>
        </w:rPr>
        <w:footnoteRef/>
      </w:r>
      <w:r w:rsidRPr="00F464ED">
        <w:rPr>
          <w:sz w:val="16"/>
          <w:szCs w:val="16"/>
        </w:rPr>
        <w:t xml:space="preserve"> </w:t>
      </w:r>
      <w:r w:rsidRPr="00AC16E7">
        <w:t>The supply issue is impacting primary care suppliers to a much greater extent than secondary care suppliers due to the supply channels available to each sector. This is increasing pressure on secondary care supplies as some patients unable to obtain stock locally are being referred to local secondary care supplier.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CB738" w14:textId="7B7BBA4D" w:rsidR="0097205F" w:rsidRDefault="00D01D9A">
    <w:pPr>
      <w:pStyle w:val="Header"/>
    </w:pPr>
    <w:r>
      <w:rPr>
        <w:noProof/>
      </w:rPr>
      <w:drawing>
        <wp:anchor distT="0" distB="0" distL="114300" distR="114300" simplePos="0" relativeHeight="251665408" behindDoc="0" locked="0" layoutInCell="1" allowOverlap="1" wp14:anchorId="54A72564" wp14:editId="3A6B5869">
          <wp:simplePos x="0" y="0"/>
          <wp:positionH relativeFrom="margin">
            <wp:posOffset>5471160</wp:posOffset>
          </wp:positionH>
          <wp:positionV relativeFrom="paragraph">
            <wp:posOffset>-617855</wp:posOffset>
          </wp:positionV>
          <wp:extent cx="1766101" cy="1143000"/>
          <wp:effectExtent l="0" t="0" r="5715" b="0"/>
          <wp:wrapNone/>
          <wp:docPr id="284216086" name="Picture 284216086"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766101" cy="1143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2B00A92A" wp14:editId="3D7CE576">
          <wp:simplePos x="0" y="0"/>
          <wp:positionH relativeFrom="page">
            <wp:align>left</wp:align>
          </wp:positionH>
          <wp:positionV relativeFrom="paragraph">
            <wp:posOffset>-450215</wp:posOffset>
          </wp:positionV>
          <wp:extent cx="1028700" cy="1043444"/>
          <wp:effectExtent l="0" t="0" r="0" b="0"/>
          <wp:wrapNone/>
          <wp:docPr id="1480486420" name="Picture 148048642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31820" cy="104660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B1C1F" w14:textId="136AC6E6" w:rsidR="00F3168B" w:rsidRDefault="00D01D9A" w:rsidP="055185EA">
    <w:pPr>
      <w:jc w:val="right"/>
      <w:rPr>
        <w:u w:val="single"/>
      </w:rPr>
    </w:pPr>
    <w:r>
      <w:rPr>
        <w:noProof/>
      </w:rPr>
      <w:drawing>
        <wp:anchor distT="0" distB="0" distL="114300" distR="114300" simplePos="0" relativeHeight="251663360" behindDoc="0" locked="0" layoutInCell="1" allowOverlap="1" wp14:anchorId="025D1E48" wp14:editId="0931EA8C">
          <wp:simplePos x="0" y="0"/>
          <wp:positionH relativeFrom="margin">
            <wp:posOffset>5440680</wp:posOffset>
          </wp:positionH>
          <wp:positionV relativeFrom="paragraph">
            <wp:posOffset>-594995</wp:posOffset>
          </wp:positionV>
          <wp:extent cx="1766101" cy="1143000"/>
          <wp:effectExtent l="0" t="0" r="5715" b="0"/>
          <wp:wrapNone/>
          <wp:docPr id="12" name="Picture 12"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766101" cy="1143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68C89DA" wp14:editId="1363C7C8">
          <wp:simplePos x="0" y="0"/>
          <wp:positionH relativeFrom="page">
            <wp:align>left</wp:align>
          </wp:positionH>
          <wp:positionV relativeFrom="paragraph">
            <wp:posOffset>-541655</wp:posOffset>
          </wp:positionV>
          <wp:extent cx="1150620" cy="1167112"/>
          <wp:effectExtent l="0" t="0" r="0" b="0"/>
          <wp:wrapNone/>
          <wp:docPr id="11" name="Picture 1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150620" cy="1167112"/>
                  </a:xfrm>
                  <a:prstGeom prst="rect">
                    <a:avLst/>
                  </a:prstGeom>
                </pic:spPr>
              </pic:pic>
            </a:graphicData>
          </a:graphic>
          <wp14:sizeRelH relativeFrom="page">
            <wp14:pctWidth>0</wp14:pctWidth>
          </wp14:sizeRelH>
          <wp14:sizeRelV relativeFrom="page">
            <wp14:pctHeight>0</wp14:pctHeight>
          </wp14:sizeRelV>
        </wp:anchor>
      </w:drawing>
    </w:r>
    <w:r w:rsidR="75AB105F" w:rsidRPr="75AB105F">
      <w:rPr>
        <w:u w:val="single"/>
      </w:rPr>
      <w:t xml:space="preserve">UPDATED on </w:t>
    </w:r>
    <w:r w:rsidR="00271B48">
      <w:rPr>
        <w:u w:val="single"/>
      </w:rPr>
      <w:t>2</w:t>
    </w:r>
    <w:r w:rsidR="0097205F">
      <w:rPr>
        <w:u w:val="single"/>
      </w:rPr>
      <w:t>1</w:t>
    </w:r>
    <w:r w:rsidR="00944CB1">
      <w:rPr>
        <w:u w:val="single"/>
      </w:rPr>
      <w:t>.</w:t>
    </w:r>
    <w:r w:rsidR="00AA42F6">
      <w:rPr>
        <w:u w:val="single"/>
      </w:rPr>
      <w:t>0</w:t>
    </w:r>
    <w:r w:rsidR="00F3126B">
      <w:rPr>
        <w:u w:val="single"/>
      </w:rPr>
      <w:t>8</w:t>
    </w:r>
    <w:r w:rsidR="75AB105F" w:rsidRPr="75AB105F">
      <w:rPr>
        <w:u w:val="single"/>
      </w:rPr>
      <w:t>.</w:t>
    </w:r>
    <w:r w:rsidR="00F3126B">
      <w:rPr>
        <w:u w:val="single"/>
      </w:rPr>
      <w:t>08</w:t>
    </w:r>
    <w:r w:rsidR="75AB105F" w:rsidRPr="75AB105F">
      <w:rPr>
        <w:u w:val="single"/>
      </w:rPr>
      <w:t xml:space="preserve"> (Please ensure you have the latest version)</w:t>
    </w:r>
  </w:p>
  <w:p w14:paraId="32078E66" w14:textId="3C899CD6" w:rsidR="00F3168B" w:rsidRDefault="00F316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CBB1D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D22E6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AD65CF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0A308B"/>
    <w:multiLevelType w:val="hybridMultilevel"/>
    <w:tmpl w:val="63A6484E"/>
    <w:lvl w:ilvl="0" w:tplc="30C8E69A">
      <w:start w:val="1"/>
      <w:numFmt w:val="bullet"/>
      <w:lvlText w:val="·"/>
      <w:lvlJc w:val="left"/>
      <w:pPr>
        <w:ind w:left="720" w:hanging="360"/>
      </w:pPr>
      <w:rPr>
        <w:rFonts w:ascii="Symbol" w:hAnsi="Symbol" w:hint="default"/>
      </w:rPr>
    </w:lvl>
    <w:lvl w:ilvl="1" w:tplc="266437DC">
      <w:start w:val="1"/>
      <w:numFmt w:val="bullet"/>
      <w:lvlText w:val="o"/>
      <w:lvlJc w:val="left"/>
      <w:pPr>
        <w:ind w:left="1440" w:hanging="360"/>
      </w:pPr>
      <w:rPr>
        <w:rFonts w:ascii="Courier New" w:hAnsi="Courier New" w:hint="default"/>
      </w:rPr>
    </w:lvl>
    <w:lvl w:ilvl="2" w:tplc="42BC9D6C">
      <w:start w:val="1"/>
      <w:numFmt w:val="bullet"/>
      <w:lvlText w:val=""/>
      <w:lvlJc w:val="left"/>
      <w:pPr>
        <w:ind w:left="2160" w:hanging="360"/>
      </w:pPr>
      <w:rPr>
        <w:rFonts w:ascii="Wingdings" w:hAnsi="Wingdings" w:hint="default"/>
      </w:rPr>
    </w:lvl>
    <w:lvl w:ilvl="3" w:tplc="D01A1B22">
      <w:start w:val="1"/>
      <w:numFmt w:val="bullet"/>
      <w:lvlText w:val=""/>
      <w:lvlJc w:val="left"/>
      <w:pPr>
        <w:ind w:left="2880" w:hanging="360"/>
      </w:pPr>
      <w:rPr>
        <w:rFonts w:ascii="Symbol" w:hAnsi="Symbol" w:hint="default"/>
      </w:rPr>
    </w:lvl>
    <w:lvl w:ilvl="4" w:tplc="26D629D6">
      <w:start w:val="1"/>
      <w:numFmt w:val="bullet"/>
      <w:lvlText w:val="o"/>
      <w:lvlJc w:val="left"/>
      <w:pPr>
        <w:ind w:left="3600" w:hanging="360"/>
      </w:pPr>
      <w:rPr>
        <w:rFonts w:ascii="Courier New" w:hAnsi="Courier New" w:hint="default"/>
      </w:rPr>
    </w:lvl>
    <w:lvl w:ilvl="5" w:tplc="82962CB8">
      <w:start w:val="1"/>
      <w:numFmt w:val="bullet"/>
      <w:lvlText w:val=""/>
      <w:lvlJc w:val="left"/>
      <w:pPr>
        <w:ind w:left="4320" w:hanging="360"/>
      </w:pPr>
      <w:rPr>
        <w:rFonts w:ascii="Wingdings" w:hAnsi="Wingdings" w:hint="default"/>
      </w:rPr>
    </w:lvl>
    <w:lvl w:ilvl="6" w:tplc="0DF4C47C">
      <w:start w:val="1"/>
      <w:numFmt w:val="bullet"/>
      <w:lvlText w:val=""/>
      <w:lvlJc w:val="left"/>
      <w:pPr>
        <w:ind w:left="5040" w:hanging="360"/>
      </w:pPr>
      <w:rPr>
        <w:rFonts w:ascii="Symbol" w:hAnsi="Symbol" w:hint="default"/>
      </w:rPr>
    </w:lvl>
    <w:lvl w:ilvl="7" w:tplc="4D087B2C">
      <w:start w:val="1"/>
      <w:numFmt w:val="bullet"/>
      <w:lvlText w:val="o"/>
      <w:lvlJc w:val="left"/>
      <w:pPr>
        <w:ind w:left="5760" w:hanging="360"/>
      </w:pPr>
      <w:rPr>
        <w:rFonts w:ascii="Courier New" w:hAnsi="Courier New" w:hint="default"/>
      </w:rPr>
    </w:lvl>
    <w:lvl w:ilvl="8" w:tplc="B4A821CC">
      <w:start w:val="1"/>
      <w:numFmt w:val="bullet"/>
      <w:lvlText w:val=""/>
      <w:lvlJc w:val="left"/>
      <w:pPr>
        <w:ind w:left="6480" w:hanging="360"/>
      </w:pPr>
      <w:rPr>
        <w:rFonts w:ascii="Wingdings" w:hAnsi="Wingdings" w:hint="default"/>
      </w:rPr>
    </w:lvl>
  </w:abstractNum>
  <w:abstractNum w:abstractNumId="4" w15:restartNumberingAfterBreak="0">
    <w:nsid w:val="091D720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BF44B45"/>
    <w:multiLevelType w:val="hybridMultilevel"/>
    <w:tmpl w:val="4EE4E1DA"/>
    <w:lvl w:ilvl="0" w:tplc="08090019">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F2F0BA2"/>
    <w:multiLevelType w:val="hybridMultilevel"/>
    <w:tmpl w:val="E02ECF1E"/>
    <w:lvl w:ilvl="0" w:tplc="4E6272EC">
      <w:start w:val="1"/>
      <w:numFmt w:val="upperLetter"/>
      <w:lvlText w:val="%1."/>
      <w:lvlJc w:val="left"/>
      <w:pPr>
        <w:ind w:left="720" w:hanging="360"/>
      </w:pPr>
    </w:lvl>
    <w:lvl w:ilvl="1" w:tplc="33B07872">
      <w:start w:val="1"/>
      <w:numFmt w:val="lowerLetter"/>
      <w:lvlText w:val="%2."/>
      <w:lvlJc w:val="left"/>
      <w:pPr>
        <w:ind w:left="1440" w:hanging="360"/>
      </w:pPr>
    </w:lvl>
    <w:lvl w:ilvl="2" w:tplc="0B7A9F74">
      <w:start w:val="1"/>
      <w:numFmt w:val="lowerRoman"/>
      <w:lvlText w:val="%3."/>
      <w:lvlJc w:val="right"/>
      <w:pPr>
        <w:ind w:left="2160" w:hanging="180"/>
      </w:pPr>
    </w:lvl>
    <w:lvl w:ilvl="3" w:tplc="C532B21A">
      <w:start w:val="1"/>
      <w:numFmt w:val="decimal"/>
      <w:lvlText w:val="%4."/>
      <w:lvlJc w:val="left"/>
      <w:pPr>
        <w:ind w:left="2880" w:hanging="360"/>
      </w:pPr>
    </w:lvl>
    <w:lvl w:ilvl="4" w:tplc="0FA8FAF2">
      <w:start w:val="1"/>
      <w:numFmt w:val="lowerLetter"/>
      <w:lvlText w:val="%5."/>
      <w:lvlJc w:val="left"/>
      <w:pPr>
        <w:ind w:left="3600" w:hanging="360"/>
      </w:pPr>
    </w:lvl>
    <w:lvl w:ilvl="5" w:tplc="BE8EE534">
      <w:start w:val="1"/>
      <w:numFmt w:val="lowerRoman"/>
      <w:lvlText w:val="%6."/>
      <w:lvlJc w:val="right"/>
      <w:pPr>
        <w:ind w:left="4320" w:hanging="180"/>
      </w:pPr>
    </w:lvl>
    <w:lvl w:ilvl="6" w:tplc="C0120BD8">
      <w:start w:val="1"/>
      <w:numFmt w:val="decimal"/>
      <w:lvlText w:val="%7."/>
      <w:lvlJc w:val="left"/>
      <w:pPr>
        <w:ind w:left="5040" w:hanging="360"/>
      </w:pPr>
    </w:lvl>
    <w:lvl w:ilvl="7" w:tplc="D15AEF26">
      <w:start w:val="1"/>
      <w:numFmt w:val="lowerLetter"/>
      <w:lvlText w:val="%8."/>
      <w:lvlJc w:val="left"/>
      <w:pPr>
        <w:ind w:left="5760" w:hanging="360"/>
      </w:pPr>
    </w:lvl>
    <w:lvl w:ilvl="8" w:tplc="439895CC">
      <w:start w:val="1"/>
      <w:numFmt w:val="lowerRoman"/>
      <w:lvlText w:val="%9."/>
      <w:lvlJc w:val="right"/>
      <w:pPr>
        <w:ind w:left="6480" w:hanging="180"/>
      </w:pPr>
    </w:lvl>
  </w:abstractNum>
  <w:abstractNum w:abstractNumId="7" w15:restartNumberingAfterBreak="0">
    <w:nsid w:val="12630EEF"/>
    <w:multiLevelType w:val="hybridMultilevel"/>
    <w:tmpl w:val="0152F7AC"/>
    <w:lvl w:ilvl="0" w:tplc="06DEEB4A">
      <w:start w:val="2"/>
      <w:numFmt w:val="lowerLetter"/>
      <w:lvlText w:val="%1."/>
      <w:lvlJc w:val="left"/>
      <w:pPr>
        <w:ind w:left="720" w:hanging="360"/>
      </w:pPr>
    </w:lvl>
    <w:lvl w:ilvl="1" w:tplc="031A60A6">
      <w:start w:val="1"/>
      <w:numFmt w:val="lowerLetter"/>
      <w:lvlText w:val="%2."/>
      <w:lvlJc w:val="left"/>
      <w:pPr>
        <w:ind w:left="1440" w:hanging="360"/>
      </w:pPr>
    </w:lvl>
    <w:lvl w:ilvl="2" w:tplc="39AE4B1C">
      <w:start w:val="1"/>
      <w:numFmt w:val="lowerRoman"/>
      <w:lvlText w:val="%3."/>
      <w:lvlJc w:val="right"/>
      <w:pPr>
        <w:ind w:left="2160" w:hanging="180"/>
      </w:pPr>
    </w:lvl>
    <w:lvl w:ilvl="3" w:tplc="F4B68B92">
      <w:start w:val="1"/>
      <w:numFmt w:val="decimal"/>
      <w:lvlText w:val="%4."/>
      <w:lvlJc w:val="left"/>
      <w:pPr>
        <w:ind w:left="2880" w:hanging="360"/>
      </w:pPr>
    </w:lvl>
    <w:lvl w:ilvl="4" w:tplc="C1DA4E24">
      <w:start w:val="1"/>
      <w:numFmt w:val="lowerLetter"/>
      <w:lvlText w:val="%5."/>
      <w:lvlJc w:val="left"/>
      <w:pPr>
        <w:ind w:left="3600" w:hanging="360"/>
      </w:pPr>
    </w:lvl>
    <w:lvl w:ilvl="5" w:tplc="3424D072">
      <w:start w:val="1"/>
      <w:numFmt w:val="lowerRoman"/>
      <w:lvlText w:val="%6."/>
      <w:lvlJc w:val="right"/>
      <w:pPr>
        <w:ind w:left="4320" w:hanging="180"/>
      </w:pPr>
    </w:lvl>
    <w:lvl w:ilvl="6" w:tplc="2A72ACE4">
      <w:start w:val="1"/>
      <w:numFmt w:val="decimal"/>
      <w:lvlText w:val="%7."/>
      <w:lvlJc w:val="left"/>
      <w:pPr>
        <w:ind w:left="5040" w:hanging="360"/>
      </w:pPr>
    </w:lvl>
    <w:lvl w:ilvl="7" w:tplc="10D07C58">
      <w:start w:val="1"/>
      <w:numFmt w:val="lowerLetter"/>
      <w:lvlText w:val="%8."/>
      <w:lvlJc w:val="left"/>
      <w:pPr>
        <w:ind w:left="5760" w:hanging="360"/>
      </w:pPr>
    </w:lvl>
    <w:lvl w:ilvl="8" w:tplc="B31E1AC4">
      <w:start w:val="1"/>
      <w:numFmt w:val="lowerRoman"/>
      <w:lvlText w:val="%9."/>
      <w:lvlJc w:val="right"/>
      <w:pPr>
        <w:ind w:left="6480" w:hanging="180"/>
      </w:pPr>
    </w:lvl>
  </w:abstractNum>
  <w:abstractNum w:abstractNumId="8" w15:restartNumberingAfterBreak="0">
    <w:nsid w:val="12AC184E"/>
    <w:multiLevelType w:val="hybridMultilevel"/>
    <w:tmpl w:val="4F20F44E"/>
    <w:lvl w:ilvl="0" w:tplc="0D2815B4">
      <w:start w:val="1"/>
      <w:numFmt w:val="bullet"/>
      <w:lvlText w:val="·"/>
      <w:lvlJc w:val="left"/>
      <w:pPr>
        <w:ind w:left="720" w:hanging="360"/>
      </w:pPr>
      <w:rPr>
        <w:rFonts w:ascii="Symbol" w:hAnsi="Symbol" w:hint="default"/>
      </w:rPr>
    </w:lvl>
    <w:lvl w:ilvl="1" w:tplc="1BEEEBD8">
      <w:start w:val="1"/>
      <w:numFmt w:val="bullet"/>
      <w:lvlText w:val="o"/>
      <w:lvlJc w:val="left"/>
      <w:pPr>
        <w:ind w:left="1440" w:hanging="360"/>
      </w:pPr>
      <w:rPr>
        <w:rFonts w:ascii="Courier New" w:hAnsi="Courier New" w:hint="default"/>
      </w:rPr>
    </w:lvl>
    <w:lvl w:ilvl="2" w:tplc="4D66C9A4">
      <w:start w:val="1"/>
      <w:numFmt w:val="bullet"/>
      <w:lvlText w:val=""/>
      <w:lvlJc w:val="left"/>
      <w:pPr>
        <w:ind w:left="2160" w:hanging="360"/>
      </w:pPr>
      <w:rPr>
        <w:rFonts w:ascii="Wingdings" w:hAnsi="Wingdings" w:hint="default"/>
      </w:rPr>
    </w:lvl>
    <w:lvl w:ilvl="3" w:tplc="27B818AC">
      <w:start w:val="1"/>
      <w:numFmt w:val="bullet"/>
      <w:lvlText w:val=""/>
      <w:lvlJc w:val="left"/>
      <w:pPr>
        <w:ind w:left="2880" w:hanging="360"/>
      </w:pPr>
      <w:rPr>
        <w:rFonts w:ascii="Symbol" w:hAnsi="Symbol" w:hint="default"/>
      </w:rPr>
    </w:lvl>
    <w:lvl w:ilvl="4" w:tplc="C73A81EA">
      <w:start w:val="1"/>
      <w:numFmt w:val="bullet"/>
      <w:lvlText w:val="o"/>
      <w:lvlJc w:val="left"/>
      <w:pPr>
        <w:ind w:left="3600" w:hanging="360"/>
      </w:pPr>
      <w:rPr>
        <w:rFonts w:ascii="Courier New" w:hAnsi="Courier New" w:hint="default"/>
      </w:rPr>
    </w:lvl>
    <w:lvl w:ilvl="5" w:tplc="6E74EAC6">
      <w:start w:val="1"/>
      <w:numFmt w:val="bullet"/>
      <w:lvlText w:val=""/>
      <w:lvlJc w:val="left"/>
      <w:pPr>
        <w:ind w:left="4320" w:hanging="360"/>
      </w:pPr>
      <w:rPr>
        <w:rFonts w:ascii="Wingdings" w:hAnsi="Wingdings" w:hint="default"/>
      </w:rPr>
    </w:lvl>
    <w:lvl w:ilvl="6" w:tplc="37422C40">
      <w:start w:val="1"/>
      <w:numFmt w:val="bullet"/>
      <w:lvlText w:val=""/>
      <w:lvlJc w:val="left"/>
      <w:pPr>
        <w:ind w:left="5040" w:hanging="360"/>
      </w:pPr>
      <w:rPr>
        <w:rFonts w:ascii="Symbol" w:hAnsi="Symbol" w:hint="default"/>
      </w:rPr>
    </w:lvl>
    <w:lvl w:ilvl="7" w:tplc="1158C818">
      <w:start w:val="1"/>
      <w:numFmt w:val="bullet"/>
      <w:lvlText w:val="o"/>
      <w:lvlJc w:val="left"/>
      <w:pPr>
        <w:ind w:left="5760" w:hanging="360"/>
      </w:pPr>
      <w:rPr>
        <w:rFonts w:ascii="Courier New" w:hAnsi="Courier New" w:hint="default"/>
      </w:rPr>
    </w:lvl>
    <w:lvl w:ilvl="8" w:tplc="C3646DEE">
      <w:start w:val="1"/>
      <w:numFmt w:val="bullet"/>
      <w:lvlText w:val=""/>
      <w:lvlJc w:val="left"/>
      <w:pPr>
        <w:ind w:left="6480" w:hanging="360"/>
      </w:pPr>
      <w:rPr>
        <w:rFonts w:ascii="Wingdings" w:hAnsi="Wingdings" w:hint="default"/>
      </w:rPr>
    </w:lvl>
  </w:abstractNum>
  <w:abstractNum w:abstractNumId="9" w15:restartNumberingAfterBreak="0">
    <w:nsid w:val="1A842FF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C4E9A6D"/>
    <w:multiLevelType w:val="hybridMultilevel"/>
    <w:tmpl w:val="D3A616C8"/>
    <w:lvl w:ilvl="0" w:tplc="3946BA9A">
      <w:start w:val="2"/>
      <w:numFmt w:val="lowerLetter"/>
      <w:lvlText w:val="%1."/>
      <w:lvlJc w:val="left"/>
      <w:pPr>
        <w:ind w:left="720" w:hanging="360"/>
      </w:pPr>
    </w:lvl>
    <w:lvl w:ilvl="1" w:tplc="26A00FD2">
      <w:start w:val="1"/>
      <w:numFmt w:val="lowerLetter"/>
      <w:lvlText w:val="%2."/>
      <w:lvlJc w:val="left"/>
      <w:pPr>
        <w:ind w:left="1440" w:hanging="360"/>
      </w:pPr>
    </w:lvl>
    <w:lvl w:ilvl="2" w:tplc="63CE497E">
      <w:start w:val="1"/>
      <w:numFmt w:val="lowerRoman"/>
      <w:lvlText w:val="%3."/>
      <w:lvlJc w:val="right"/>
      <w:pPr>
        <w:ind w:left="2160" w:hanging="180"/>
      </w:pPr>
    </w:lvl>
    <w:lvl w:ilvl="3" w:tplc="B344D6AC">
      <w:start w:val="1"/>
      <w:numFmt w:val="decimal"/>
      <w:lvlText w:val="%4."/>
      <w:lvlJc w:val="left"/>
      <w:pPr>
        <w:ind w:left="2880" w:hanging="360"/>
      </w:pPr>
    </w:lvl>
    <w:lvl w:ilvl="4" w:tplc="0B3A2A58">
      <w:start w:val="1"/>
      <w:numFmt w:val="lowerLetter"/>
      <w:lvlText w:val="%5."/>
      <w:lvlJc w:val="left"/>
      <w:pPr>
        <w:ind w:left="3600" w:hanging="360"/>
      </w:pPr>
    </w:lvl>
    <w:lvl w:ilvl="5" w:tplc="D68C5152">
      <w:start w:val="1"/>
      <w:numFmt w:val="lowerRoman"/>
      <w:lvlText w:val="%6."/>
      <w:lvlJc w:val="right"/>
      <w:pPr>
        <w:ind w:left="4320" w:hanging="180"/>
      </w:pPr>
    </w:lvl>
    <w:lvl w:ilvl="6" w:tplc="2C7E32AA">
      <w:start w:val="1"/>
      <w:numFmt w:val="decimal"/>
      <w:lvlText w:val="%7."/>
      <w:lvlJc w:val="left"/>
      <w:pPr>
        <w:ind w:left="5040" w:hanging="360"/>
      </w:pPr>
    </w:lvl>
    <w:lvl w:ilvl="7" w:tplc="074E76A6">
      <w:start w:val="1"/>
      <w:numFmt w:val="lowerLetter"/>
      <w:lvlText w:val="%8."/>
      <w:lvlJc w:val="left"/>
      <w:pPr>
        <w:ind w:left="5760" w:hanging="360"/>
      </w:pPr>
    </w:lvl>
    <w:lvl w:ilvl="8" w:tplc="4B28B0CE">
      <w:start w:val="1"/>
      <w:numFmt w:val="lowerRoman"/>
      <w:lvlText w:val="%9."/>
      <w:lvlJc w:val="right"/>
      <w:pPr>
        <w:ind w:left="6480" w:hanging="180"/>
      </w:pPr>
    </w:lvl>
  </w:abstractNum>
  <w:abstractNum w:abstractNumId="11" w15:restartNumberingAfterBreak="0">
    <w:nsid w:val="1C5228A1"/>
    <w:multiLevelType w:val="hybridMultilevel"/>
    <w:tmpl w:val="D5C47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FA558F"/>
    <w:multiLevelType w:val="hybridMultilevel"/>
    <w:tmpl w:val="F7F65040"/>
    <w:lvl w:ilvl="0" w:tplc="FB78E336">
      <w:start w:val="1"/>
      <w:numFmt w:val="bullet"/>
      <w:lvlText w:val=""/>
      <w:lvlJc w:val="left"/>
      <w:pPr>
        <w:ind w:left="1080" w:hanging="360"/>
      </w:pPr>
      <w:rPr>
        <w:rFonts w:ascii="Symbol" w:hAnsi="Symbol" w:hint="default"/>
      </w:rPr>
    </w:lvl>
    <w:lvl w:ilvl="1" w:tplc="35184808">
      <w:start w:val="1"/>
      <w:numFmt w:val="bullet"/>
      <w:lvlText w:val="o"/>
      <w:lvlJc w:val="left"/>
      <w:pPr>
        <w:ind w:left="1800" w:hanging="360"/>
      </w:pPr>
      <w:rPr>
        <w:rFonts w:ascii="Courier New" w:hAnsi="Courier New" w:hint="default"/>
      </w:rPr>
    </w:lvl>
    <w:lvl w:ilvl="2" w:tplc="C17C5A26">
      <w:start w:val="1"/>
      <w:numFmt w:val="bullet"/>
      <w:lvlText w:val=""/>
      <w:lvlJc w:val="left"/>
      <w:pPr>
        <w:ind w:left="2520" w:hanging="360"/>
      </w:pPr>
      <w:rPr>
        <w:rFonts w:ascii="Wingdings" w:hAnsi="Wingdings" w:hint="default"/>
      </w:rPr>
    </w:lvl>
    <w:lvl w:ilvl="3" w:tplc="B678C280">
      <w:start w:val="1"/>
      <w:numFmt w:val="bullet"/>
      <w:lvlText w:val=""/>
      <w:lvlJc w:val="left"/>
      <w:pPr>
        <w:ind w:left="3240" w:hanging="360"/>
      </w:pPr>
      <w:rPr>
        <w:rFonts w:ascii="Symbol" w:hAnsi="Symbol" w:hint="default"/>
      </w:rPr>
    </w:lvl>
    <w:lvl w:ilvl="4" w:tplc="5E6E36E4">
      <w:start w:val="1"/>
      <w:numFmt w:val="bullet"/>
      <w:lvlText w:val="o"/>
      <w:lvlJc w:val="left"/>
      <w:pPr>
        <w:ind w:left="3960" w:hanging="360"/>
      </w:pPr>
      <w:rPr>
        <w:rFonts w:ascii="Courier New" w:hAnsi="Courier New" w:hint="default"/>
      </w:rPr>
    </w:lvl>
    <w:lvl w:ilvl="5" w:tplc="1B4216AE">
      <w:start w:val="1"/>
      <w:numFmt w:val="bullet"/>
      <w:lvlText w:val=""/>
      <w:lvlJc w:val="left"/>
      <w:pPr>
        <w:ind w:left="4680" w:hanging="360"/>
      </w:pPr>
      <w:rPr>
        <w:rFonts w:ascii="Wingdings" w:hAnsi="Wingdings" w:hint="default"/>
      </w:rPr>
    </w:lvl>
    <w:lvl w:ilvl="6" w:tplc="6DE67576">
      <w:start w:val="1"/>
      <w:numFmt w:val="bullet"/>
      <w:lvlText w:val=""/>
      <w:lvlJc w:val="left"/>
      <w:pPr>
        <w:ind w:left="5400" w:hanging="360"/>
      </w:pPr>
      <w:rPr>
        <w:rFonts w:ascii="Symbol" w:hAnsi="Symbol" w:hint="default"/>
      </w:rPr>
    </w:lvl>
    <w:lvl w:ilvl="7" w:tplc="B23AC798">
      <w:start w:val="1"/>
      <w:numFmt w:val="bullet"/>
      <w:lvlText w:val="o"/>
      <w:lvlJc w:val="left"/>
      <w:pPr>
        <w:ind w:left="6120" w:hanging="360"/>
      </w:pPr>
      <w:rPr>
        <w:rFonts w:ascii="Courier New" w:hAnsi="Courier New" w:hint="default"/>
      </w:rPr>
    </w:lvl>
    <w:lvl w:ilvl="8" w:tplc="877ACF20">
      <w:start w:val="1"/>
      <w:numFmt w:val="bullet"/>
      <w:lvlText w:val=""/>
      <w:lvlJc w:val="left"/>
      <w:pPr>
        <w:ind w:left="6840" w:hanging="360"/>
      </w:pPr>
      <w:rPr>
        <w:rFonts w:ascii="Wingdings" w:hAnsi="Wingdings" w:hint="default"/>
      </w:rPr>
    </w:lvl>
  </w:abstractNum>
  <w:abstractNum w:abstractNumId="13" w15:restartNumberingAfterBreak="0">
    <w:nsid w:val="295A1272"/>
    <w:multiLevelType w:val="hybridMultilevel"/>
    <w:tmpl w:val="113A27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45359C"/>
    <w:multiLevelType w:val="hybridMultilevel"/>
    <w:tmpl w:val="009466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B8A73C2"/>
    <w:multiLevelType w:val="hybridMultilevel"/>
    <w:tmpl w:val="DC3ED170"/>
    <w:lvl w:ilvl="0" w:tplc="337C8296">
      <w:start w:val="1"/>
      <w:numFmt w:val="lowerRoman"/>
      <w:lvlText w:val="%1."/>
      <w:lvlJc w:val="right"/>
      <w:pPr>
        <w:ind w:left="720" w:hanging="360"/>
      </w:pPr>
    </w:lvl>
    <w:lvl w:ilvl="1" w:tplc="3C3A1192">
      <w:start w:val="1"/>
      <w:numFmt w:val="lowerLetter"/>
      <w:lvlText w:val="%2."/>
      <w:lvlJc w:val="left"/>
      <w:pPr>
        <w:ind w:left="1440" w:hanging="360"/>
      </w:pPr>
    </w:lvl>
    <w:lvl w:ilvl="2" w:tplc="5C3E4C12">
      <w:start w:val="1"/>
      <w:numFmt w:val="lowerRoman"/>
      <w:lvlText w:val="%3."/>
      <w:lvlJc w:val="right"/>
      <w:pPr>
        <w:ind w:left="2160" w:hanging="180"/>
      </w:pPr>
    </w:lvl>
    <w:lvl w:ilvl="3" w:tplc="E61414C6">
      <w:start w:val="1"/>
      <w:numFmt w:val="decimal"/>
      <w:lvlText w:val="%4."/>
      <w:lvlJc w:val="left"/>
      <w:pPr>
        <w:ind w:left="2880" w:hanging="360"/>
      </w:pPr>
    </w:lvl>
    <w:lvl w:ilvl="4" w:tplc="46188182">
      <w:start w:val="1"/>
      <w:numFmt w:val="lowerLetter"/>
      <w:lvlText w:val="%5."/>
      <w:lvlJc w:val="left"/>
      <w:pPr>
        <w:ind w:left="3600" w:hanging="360"/>
      </w:pPr>
    </w:lvl>
    <w:lvl w:ilvl="5" w:tplc="BB0A0706">
      <w:start w:val="1"/>
      <w:numFmt w:val="lowerRoman"/>
      <w:lvlText w:val="%6."/>
      <w:lvlJc w:val="right"/>
      <w:pPr>
        <w:ind w:left="4320" w:hanging="180"/>
      </w:pPr>
    </w:lvl>
    <w:lvl w:ilvl="6" w:tplc="BCCE9AFA">
      <w:start w:val="1"/>
      <w:numFmt w:val="decimal"/>
      <w:lvlText w:val="%7."/>
      <w:lvlJc w:val="left"/>
      <w:pPr>
        <w:ind w:left="5040" w:hanging="360"/>
      </w:pPr>
    </w:lvl>
    <w:lvl w:ilvl="7" w:tplc="D3DC2B8A">
      <w:start w:val="1"/>
      <w:numFmt w:val="lowerLetter"/>
      <w:lvlText w:val="%8."/>
      <w:lvlJc w:val="left"/>
      <w:pPr>
        <w:ind w:left="5760" w:hanging="360"/>
      </w:pPr>
    </w:lvl>
    <w:lvl w:ilvl="8" w:tplc="AF246DB2">
      <w:start w:val="1"/>
      <w:numFmt w:val="lowerRoman"/>
      <w:lvlText w:val="%9."/>
      <w:lvlJc w:val="right"/>
      <w:pPr>
        <w:ind w:left="6480" w:hanging="180"/>
      </w:pPr>
    </w:lvl>
  </w:abstractNum>
  <w:abstractNum w:abstractNumId="16" w15:restartNumberingAfterBreak="0">
    <w:nsid w:val="491C75FC"/>
    <w:multiLevelType w:val="hybridMultilevel"/>
    <w:tmpl w:val="062C144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4B4A2A1E"/>
    <w:multiLevelType w:val="hybridMultilevel"/>
    <w:tmpl w:val="6E5C2B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F481A"/>
    <w:multiLevelType w:val="hybridMultilevel"/>
    <w:tmpl w:val="E6BEB4AA"/>
    <w:lvl w:ilvl="0" w:tplc="4A7617F6">
      <w:start w:val="1"/>
      <w:numFmt w:val="bullet"/>
      <w:lvlText w:val=""/>
      <w:lvlJc w:val="left"/>
      <w:pPr>
        <w:ind w:left="720" w:hanging="360"/>
      </w:pPr>
      <w:rPr>
        <w:rFonts w:ascii="Symbol" w:hAnsi="Symbol" w:hint="default"/>
      </w:rPr>
    </w:lvl>
    <w:lvl w:ilvl="1" w:tplc="AC92022C">
      <w:start w:val="1"/>
      <w:numFmt w:val="bullet"/>
      <w:lvlText w:val="o"/>
      <w:lvlJc w:val="left"/>
      <w:pPr>
        <w:ind w:left="1440" w:hanging="360"/>
      </w:pPr>
      <w:rPr>
        <w:rFonts w:ascii="Courier New" w:hAnsi="Courier New" w:hint="default"/>
      </w:rPr>
    </w:lvl>
    <w:lvl w:ilvl="2" w:tplc="CF4C42E2">
      <w:start w:val="1"/>
      <w:numFmt w:val="bullet"/>
      <w:lvlText w:val=""/>
      <w:lvlJc w:val="left"/>
      <w:pPr>
        <w:ind w:left="2160" w:hanging="360"/>
      </w:pPr>
      <w:rPr>
        <w:rFonts w:ascii="Wingdings" w:hAnsi="Wingdings" w:hint="default"/>
      </w:rPr>
    </w:lvl>
    <w:lvl w:ilvl="3" w:tplc="5B7871BE">
      <w:start w:val="1"/>
      <w:numFmt w:val="bullet"/>
      <w:lvlText w:val=""/>
      <w:lvlJc w:val="left"/>
      <w:pPr>
        <w:ind w:left="2880" w:hanging="360"/>
      </w:pPr>
      <w:rPr>
        <w:rFonts w:ascii="Symbol" w:hAnsi="Symbol" w:hint="default"/>
      </w:rPr>
    </w:lvl>
    <w:lvl w:ilvl="4" w:tplc="E59C1E8A">
      <w:start w:val="1"/>
      <w:numFmt w:val="bullet"/>
      <w:lvlText w:val="o"/>
      <w:lvlJc w:val="left"/>
      <w:pPr>
        <w:ind w:left="3600" w:hanging="360"/>
      </w:pPr>
      <w:rPr>
        <w:rFonts w:ascii="Courier New" w:hAnsi="Courier New" w:hint="default"/>
      </w:rPr>
    </w:lvl>
    <w:lvl w:ilvl="5" w:tplc="F0A6D3F0">
      <w:start w:val="1"/>
      <w:numFmt w:val="bullet"/>
      <w:lvlText w:val=""/>
      <w:lvlJc w:val="left"/>
      <w:pPr>
        <w:ind w:left="4320" w:hanging="360"/>
      </w:pPr>
      <w:rPr>
        <w:rFonts w:ascii="Wingdings" w:hAnsi="Wingdings" w:hint="default"/>
      </w:rPr>
    </w:lvl>
    <w:lvl w:ilvl="6" w:tplc="311EA9D0">
      <w:start w:val="1"/>
      <w:numFmt w:val="bullet"/>
      <w:lvlText w:val=""/>
      <w:lvlJc w:val="left"/>
      <w:pPr>
        <w:ind w:left="5040" w:hanging="360"/>
      </w:pPr>
      <w:rPr>
        <w:rFonts w:ascii="Symbol" w:hAnsi="Symbol" w:hint="default"/>
      </w:rPr>
    </w:lvl>
    <w:lvl w:ilvl="7" w:tplc="3532480E">
      <w:start w:val="1"/>
      <w:numFmt w:val="bullet"/>
      <w:lvlText w:val="o"/>
      <w:lvlJc w:val="left"/>
      <w:pPr>
        <w:ind w:left="5760" w:hanging="360"/>
      </w:pPr>
      <w:rPr>
        <w:rFonts w:ascii="Courier New" w:hAnsi="Courier New" w:hint="default"/>
      </w:rPr>
    </w:lvl>
    <w:lvl w:ilvl="8" w:tplc="CD00305E">
      <w:start w:val="1"/>
      <w:numFmt w:val="bullet"/>
      <w:lvlText w:val=""/>
      <w:lvlJc w:val="left"/>
      <w:pPr>
        <w:ind w:left="6480" w:hanging="360"/>
      </w:pPr>
      <w:rPr>
        <w:rFonts w:ascii="Wingdings" w:hAnsi="Wingdings" w:hint="default"/>
      </w:rPr>
    </w:lvl>
  </w:abstractNum>
  <w:abstractNum w:abstractNumId="19" w15:restartNumberingAfterBreak="0">
    <w:nsid w:val="53A1033D"/>
    <w:multiLevelType w:val="hybridMultilevel"/>
    <w:tmpl w:val="B6F2106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8FFA1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C61DDE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62F47D18"/>
    <w:multiLevelType w:val="hybridMultilevel"/>
    <w:tmpl w:val="EE74896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077877F"/>
    <w:multiLevelType w:val="hybridMultilevel"/>
    <w:tmpl w:val="4EB4BB16"/>
    <w:lvl w:ilvl="0" w:tplc="BDF6170E">
      <w:start w:val="1"/>
      <w:numFmt w:val="decimal"/>
      <w:lvlText w:val="%1."/>
      <w:lvlJc w:val="left"/>
      <w:pPr>
        <w:ind w:left="720" w:hanging="360"/>
      </w:pPr>
    </w:lvl>
    <w:lvl w:ilvl="1" w:tplc="BDE82050">
      <w:start w:val="1"/>
      <w:numFmt w:val="lowerLetter"/>
      <w:lvlText w:val="%2."/>
      <w:lvlJc w:val="left"/>
      <w:pPr>
        <w:ind w:left="1440" w:hanging="360"/>
      </w:pPr>
    </w:lvl>
    <w:lvl w:ilvl="2" w:tplc="17767E22">
      <w:start w:val="1"/>
      <w:numFmt w:val="lowerRoman"/>
      <w:lvlText w:val="%3."/>
      <w:lvlJc w:val="right"/>
      <w:pPr>
        <w:ind w:left="2160" w:hanging="180"/>
      </w:pPr>
    </w:lvl>
    <w:lvl w:ilvl="3" w:tplc="52DAC554">
      <w:start w:val="1"/>
      <w:numFmt w:val="decimal"/>
      <w:lvlText w:val="%4."/>
      <w:lvlJc w:val="left"/>
      <w:pPr>
        <w:ind w:left="2880" w:hanging="360"/>
      </w:pPr>
    </w:lvl>
    <w:lvl w:ilvl="4" w:tplc="D0E22122">
      <w:start w:val="1"/>
      <w:numFmt w:val="lowerLetter"/>
      <w:lvlText w:val="%5."/>
      <w:lvlJc w:val="left"/>
      <w:pPr>
        <w:ind w:left="3600" w:hanging="360"/>
      </w:pPr>
    </w:lvl>
    <w:lvl w:ilvl="5" w:tplc="5C2464DE">
      <w:start w:val="1"/>
      <w:numFmt w:val="lowerRoman"/>
      <w:lvlText w:val="%6."/>
      <w:lvlJc w:val="right"/>
      <w:pPr>
        <w:ind w:left="4320" w:hanging="180"/>
      </w:pPr>
    </w:lvl>
    <w:lvl w:ilvl="6" w:tplc="30E4EF2C">
      <w:start w:val="1"/>
      <w:numFmt w:val="decimal"/>
      <w:lvlText w:val="%7."/>
      <w:lvlJc w:val="left"/>
      <w:pPr>
        <w:ind w:left="5040" w:hanging="360"/>
      </w:pPr>
    </w:lvl>
    <w:lvl w:ilvl="7" w:tplc="FF64251A">
      <w:start w:val="1"/>
      <w:numFmt w:val="lowerLetter"/>
      <w:lvlText w:val="%8."/>
      <w:lvlJc w:val="left"/>
      <w:pPr>
        <w:ind w:left="5760" w:hanging="360"/>
      </w:pPr>
    </w:lvl>
    <w:lvl w:ilvl="8" w:tplc="A5F891B6">
      <w:start w:val="1"/>
      <w:numFmt w:val="lowerRoman"/>
      <w:lvlText w:val="%9."/>
      <w:lvlJc w:val="right"/>
      <w:pPr>
        <w:ind w:left="6480" w:hanging="180"/>
      </w:pPr>
    </w:lvl>
  </w:abstractNum>
  <w:abstractNum w:abstractNumId="24" w15:restartNumberingAfterBreak="0">
    <w:nsid w:val="74065660"/>
    <w:multiLevelType w:val="multilevel"/>
    <w:tmpl w:val="D45C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8DE0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335692449">
    <w:abstractNumId w:val="7"/>
  </w:num>
  <w:num w:numId="2" w16cid:durableId="380977876">
    <w:abstractNumId w:val="18"/>
  </w:num>
  <w:num w:numId="3" w16cid:durableId="1540167828">
    <w:abstractNumId w:val="23"/>
  </w:num>
  <w:num w:numId="4" w16cid:durableId="713892687">
    <w:abstractNumId w:val="12"/>
  </w:num>
  <w:num w:numId="5" w16cid:durableId="1797407808">
    <w:abstractNumId w:val="8"/>
  </w:num>
  <w:num w:numId="6" w16cid:durableId="1609505411">
    <w:abstractNumId w:val="3"/>
  </w:num>
  <w:num w:numId="7" w16cid:durableId="1075126369">
    <w:abstractNumId w:val="15"/>
  </w:num>
  <w:num w:numId="8" w16cid:durableId="761612315">
    <w:abstractNumId w:val="10"/>
  </w:num>
  <w:num w:numId="9" w16cid:durableId="1563560352">
    <w:abstractNumId w:val="6"/>
  </w:num>
  <w:num w:numId="10" w16cid:durableId="1175218808">
    <w:abstractNumId w:val="16"/>
  </w:num>
  <w:num w:numId="11" w16cid:durableId="1438134319">
    <w:abstractNumId w:val="13"/>
  </w:num>
  <w:num w:numId="12" w16cid:durableId="1071923482">
    <w:abstractNumId w:val="20"/>
  </w:num>
  <w:num w:numId="13" w16cid:durableId="1387218679">
    <w:abstractNumId w:val="5"/>
  </w:num>
  <w:num w:numId="14" w16cid:durableId="1849978899">
    <w:abstractNumId w:val="17"/>
  </w:num>
  <w:num w:numId="15" w16cid:durableId="426115707">
    <w:abstractNumId w:val="22"/>
  </w:num>
  <w:num w:numId="16" w16cid:durableId="82848600">
    <w:abstractNumId w:val="11"/>
  </w:num>
  <w:num w:numId="17" w16cid:durableId="1355306141">
    <w:abstractNumId w:val="19"/>
  </w:num>
  <w:num w:numId="18" w16cid:durableId="1473249922">
    <w:abstractNumId w:val="24"/>
  </w:num>
  <w:num w:numId="19" w16cid:durableId="122774982">
    <w:abstractNumId w:val="1"/>
  </w:num>
  <w:num w:numId="20" w16cid:durableId="809329373">
    <w:abstractNumId w:val="2"/>
  </w:num>
  <w:num w:numId="21" w16cid:durableId="627321859">
    <w:abstractNumId w:val="25"/>
  </w:num>
  <w:num w:numId="22" w16cid:durableId="1412193727">
    <w:abstractNumId w:val="21"/>
  </w:num>
  <w:num w:numId="23" w16cid:durableId="605622951">
    <w:abstractNumId w:val="9"/>
  </w:num>
  <w:num w:numId="24" w16cid:durableId="1977099552">
    <w:abstractNumId w:val="4"/>
  </w:num>
  <w:num w:numId="25" w16cid:durableId="1353341481">
    <w:abstractNumId w:val="0"/>
  </w:num>
  <w:num w:numId="26" w16cid:durableId="105578528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597"/>
    <w:rsid w:val="00013D39"/>
    <w:rsid w:val="00023935"/>
    <w:rsid w:val="00024623"/>
    <w:rsid w:val="00043C7B"/>
    <w:rsid w:val="000443D6"/>
    <w:rsid w:val="000616FA"/>
    <w:rsid w:val="000708C9"/>
    <w:rsid w:val="00074D76"/>
    <w:rsid w:val="000842C1"/>
    <w:rsid w:val="000A3A2D"/>
    <w:rsid w:val="000B7237"/>
    <w:rsid w:val="000F1ACE"/>
    <w:rsid w:val="000F4D5F"/>
    <w:rsid w:val="001017E7"/>
    <w:rsid w:val="00121196"/>
    <w:rsid w:val="0013A567"/>
    <w:rsid w:val="0014489A"/>
    <w:rsid w:val="001510FF"/>
    <w:rsid w:val="001715BA"/>
    <w:rsid w:val="0017274D"/>
    <w:rsid w:val="00182CA4"/>
    <w:rsid w:val="00183218"/>
    <w:rsid w:val="00195BCF"/>
    <w:rsid w:val="001B0CC2"/>
    <w:rsid w:val="001B7605"/>
    <w:rsid w:val="001C16C3"/>
    <w:rsid w:val="001C59A7"/>
    <w:rsid w:val="001E1D5B"/>
    <w:rsid w:val="001F72BB"/>
    <w:rsid w:val="00204B78"/>
    <w:rsid w:val="00204B8C"/>
    <w:rsid w:val="00212D0B"/>
    <w:rsid w:val="00214546"/>
    <w:rsid w:val="00226863"/>
    <w:rsid w:val="00263BDC"/>
    <w:rsid w:val="00264A08"/>
    <w:rsid w:val="00271B48"/>
    <w:rsid w:val="00291473"/>
    <w:rsid w:val="002B019B"/>
    <w:rsid w:val="002B4208"/>
    <w:rsid w:val="002C3BEF"/>
    <w:rsid w:val="002C6A66"/>
    <w:rsid w:val="002D252A"/>
    <w:rsid w:val="002F5B02"/>
    <w:rsid w:val="002F68E9"/>
    <w:rsid w:val="0034366A"/>
    <w:rsid w:val="00355787"/>
    <w:rsid w:val="003579F4"/>
    <w:rsid w:val="00365CE9"/>
    <w:rsid w:val="003906AA"/>
    <w:rsid w:val="003945F4"/>
    <w:rsid w:val="003A683E"/>
    <w:rsid w:val="003C0CD9"/>
    <w:rsid w:val="004119C9"/>
    <w:rsid w:val="0043346C"/>
    <w:rsid w:val="00437B83"/>
    <w:rsid w:val="00453371"/>
    <w:rsid w:val="00456AA5"/>
    <w:rsid w:val="004572F5"/>
    <w:rsid w:val="004723C0"/>
    <w:rsid w:val="0048082B"/>
    <w:rsid w:val="0048266C"/>
    <w:rsid w:val="00493A98"/>
    <w:rsid w:val="004C66A4"/>
    <w:rsid w:val="004C72AF"/>
    <w:rsid w:val="004F2BFE"/>
    <w:rsid w:val="00500359"/>
    <w:rsid w:val="00515B8E"/>
    <w:rsid w:val="00524710"/>
    <w:rsid w:val="00524E98"/>
    <w:rsid w:val="00553280"/>
    <w:rsid w:val="00584A77"/>
    <w:rsid w:val="005909B0"/>
    <w:rsid w:val="005A06B9"/>
    <w:rsid w:val="005B0C7F"/>
    <w:rsid w:val="005B4810"/>
    <w:rsid w:val="005B5848"/>
    <w:rsid w:val="005C621F"/>
    <w:rsid w:val="005E3B99"/>
    <w:rsid w:val="00603417"/>
    <w:rsid w:val="00627F44"/>
    <w:rsid w:val="00630069"/>
    <w:rsid w:val="00654A9A"/>
    <w:rsid w:val="006617F9"/>
    <w:rsid w:val="006820CF"/>
    <w:rsid w:val="00684B4F"/>
    <w:rsid w:val="006D08AF"/>
    <w:rsid w:val="006D64A3"/>
    <w:rsid w:val="006E180F"/>
    <w:rsid w:val="006E36C0"/>
    <w:rsid w:val="006F2975"/>
    <w:rsid w:val="0070197E"/>
    <w:rsid w:val="00740853"/>
    <w:rsid w:val="00745131"/>
    <w:rsid w:val="0075048E"/>
    <w:rsid w:val="007644CA"/>
    <w:rsid w:val="0076643F"/>
    <w:rsid w:val="0077730C"/>
    <w:rsid w:val="00780E7C"/>
    <w:rsid w:val="00783244"/>
    <w:rsid w:val="00784246"/>
    <w:rsid w:val="007B2B8C"/>
    <w:rsid w:val="007D2D13"/>
    <w:rsid w:val="007E3CE6"/>
    <w:rsid w:val="007E5A6C"/>
    <w:rsid w:val="007F389B"/>
    <w:rsid w:val="007F506B"/>
    <w:rsid w:val="00815DE5"/>
    <w:rsid w:val="00824E28"/>
    <w:rsid w:val="008273B0"/>
    <w:rsid w:val="00880EC0"/>
    <w:rsid w:val="00887A52"/>
    <w:rsid w:val="008A2374"/>
    <w:rsid w:val="008A44E7"/>
    <w:rsid w:val="008C1CB4"/>
    <w:rsid w:val="008C380B"/>
    <w:rsid w:val="008C5DB1"/>
    <w:rsid w:val="008D43E3"/>
    <w:rsid w:val="008E46FE"/>
    <w:rsid w:val="008F4C10"/>
    <w:rsid w:val="008F686C"/>
    <w:rsid w:val="009013AE"/>
    <w:rsid w:val="009129DF"/>
    <w:rsid w:val="00925D66"/>
    <w:rsid w:val="00927F5C"/>
    <w:rsid w:val="00935D79"/>
    <w:rsid w:val="00944CB1"/>
    <w:rsid w:val="0097205F"/>
    <w:rsid w:val="00973FFD"/>
    <w:rsid w:val="00990568"/>
    <w:rsid w:val="00990D58"/>
    <w:rsid w:val="00991E1D"/>
    <w:rsid w:val="0099698A"/>
    <w:rsid w:val="009B52AC"/>
    <w:rsid w:val="009B6B5F"/>
    <w:rsid w:val="009D1065"/>
    <w:rsid w:val="009D41C7"/>
    <w:rsid w:val="009E4D48"/>
    <w:rsid w:val="009E5C18"/>
    <w:rsid w:val="009E67B1"/>
    <w:rsid w:val="009F7DB8"/>
    <w:rsid w:val="00A23D94"/>
    <w:rsid w:val="00A32CE5"/>
    <w:rsid w:val="00A43612"/>
    <w:rsid w:val="00A56A74"/>
    <w:rsid w:val="00A632C3"/>
    <w:rsid w:val="00A93B73"/>
    <w:rsid w:val="00AA42F6"/>
    <w:rsid w:val="00AC16E7"/>
    <w:rsid w:val="00AC677F"/>
    <w:rsid w:val="00AE3B81"/>
    <w:rsid w:val="00AF4148"/>
    <w:rsid w:val="00B018A8"/>
    <w:rsid w:val="00B226DF"/>
    <w:rsid w:val="00B2294C"/>
    <w:rsid w:val="00B2559B"/>
    <w:rsid w:val="00B4256E"/>
    <w:rsid w:val="00B61513"/>
    <w:rsid w:val="00B64634"/>
    <w:rsid w:val="00B76791"/>
    <w:rsid w:val="00B94587"/>
    <w:rsid w:val="00BA48E2"/>
    <w:rsid w:val="00BA6851"/>
    <w:rsid w:val="00BB0428"/>
    <w:rsid w:val="00BB753A"/>
    <w:rsid w:val="00BB7BE8"/>
    <w:rsid w:val="00BF1A0A"/>
    <w:rsid w:val="00C17DB0"/>
    <w:rsid w:val="00C353BA"/>
    <w:rsid w:val="00C35F58"/>
    <w:rsid w:val="00C560BC"/>
    <w:rsid w:val="00C560D5"/>
    <w:rsid w:val="00C61197"/>
    <w:rsid w:val="00C63823"/>
    <w:rsid w:val="00C94A68"/>
    <w:rsid w:val="00C95950"/>
    <w:rsid w:val="00C9699A"/>
    <w:rsid w:val="00CA271F"/>
    <w:rsid w:val="00CB28B2"/>
    <w:rsid w:val="00CD0996"/>
    <w:rsid w:val="00CD3AEC"/>
    <w:rsid w:val="00CD5069"/>
    <w:rsid w:val="00D00530"/>
    <w:rsid w:val="00D01D9A"/>
    <w:rsid w:val="00D11CE5"/>
    <w:rsid w:val="00D219F6"/>
    <w:rsid w:val="00D358E2"/>
    <w:rsid w:val="00D53C7D"/>
    <w:rsid w:val="00D5447B"/>
    <w:rsid w:val="00D55917"/>
    <w:rsid w:val="00D61597"/>
    <w:rsid w:val="00D71F09"/>
    <w:rsid w:val="00D809DE"/>
    <w:rsid w:val="00D85F62"/>
    <w:rsid w:val="00D8712B"/>
    <w:rsid w:val="00D9183E"/>
    <w:rsid w:val="00DA3BF6"/>
    <w:rsid w:val="00DD354B"/>
    <w:rsid w:val="00DD4A2D"/>
    <w:rsid w:val="00DE0113"/>
    <w:rsid w:val="00DE4E0B"/>
    <w:rsid w:val="00DF1736"/>
    <w:rsid w:val="00E008D2"/>
    <w:rsid w:val="00E050B0"/>
    <w:rsid w:val="00E11D2D"/>
    <w:rsid w:val="00E14588"/>
    <w:rsid w:val="00E172C6"/>
    <w:rsid w:val="00E21DBF"/>
    <w:rsid w:val="00E25FC3"/>
    <w:rsid w:val="00E279AC"/>
    <w:rsid w:val="00E34AA2"/>
    <w:rsid w:val="00E716F2"/>
    <w:rsid w:val="00E7579D"/>
    <w:rsid w:val="00E84585"/>
    <w:rsid w:val="00E9056A"/>
    <w:rsid w:val="00EB507D"/>
    <w:rsid w:val="00ED1AB9"/>
    <w:rsid w:val="00EE381B"/>
    <w:rsid w:val="00F041AD"/>
    <w:rsid w:val="00F3126B"/>
    <w:rsid w:val="00F3168B"/>
    <w:rsid w:val="00F35DDA"/>
    <w:rsid w:val="00F43E3D"/>
    <w:rsid w:val="00F464ED"/>
    <w:rsid w:val="00F52E3E"/>
    <w:rsid w:val="00F73315"/>
    <w:rsid w:val="00F73E18"/>
    <w:rsid w:val="00F942B3"/>
    <w:rsid w:val="00F94EE1"/>
    <w:rsid w:val="00FA0F37"/>
    <w:rsid w:val="00FC6AA5"/>
    <w:rsid w:val="00FD7E63"/>
    <w:rsid w:val="00FE27D7"/>
    <w:rsid w:val="00FE660B"/>
    <w:rsid w:val="00FF5B64"/>
    <w:rsid w:val="014E0338"/>
    <w:rsid w:val="0187D8EB"/>
    <w:rsid w:val="0190E8C6"/>
    <w:rsid w:val="0191F0F3"/>
    <w:rsid w:val="01BA964F"/>
    <w:rsid w:val="01E1B701"/>
    <w:rsid w:val="0325BD34"/>
    <w:rsid w:val="032DC560"/>
    <w:rsid w:val="03B5B53C"/>
    <w:rsid w:val="03EBA264"/>
    <w:rsid w:val="0434F711"/>
    <w:rsid w:val="04955223"/>
    <w:rsid w:val="0497972D"/>
    <w:rsid w:val="0523D6B1"/>
    <w:rsid w:val="055185EA"/>
    <w:rsid w:val="05E8A89C"/>
    <w:rsid w:val="06549ACD"/>
    <w:rsid w:val="067DA0E6"/>
    <w:rsid w:val="06DA2591"/>
    <w:rsid w:val="07038840"/>
    <w:rsid w:val="0773C1ED"/>
    <w:rsid w:val="079D8B8F"/>
    <w:rsid w:val="07AB70FC"/>
    <w:rsid w:val="07E2572B"/>
    <w:rsid w:val="07EF9598"/>
    <w:rsid w:val="08407B38"/>
    <w:rsid w:val="084E9D71"/>
    <w:rsid w:val="0893CA4A"/>
    <w:rsid w:val="08D41330"/>
    <w:rsid w:val="08F1FFF4"/>
    <w:rsid w:val="09ADEC5C"/>
    <w:rsid w:val="0A2F44E9"/>
    <w:rsid w:val="0A691BA3"/>
    <w:rsid w:val="0B41CD82"/>
    <w:rsid w:val="0B54941E"/>
    <w:rsid w:val="0B55BDB4"/>
    <w:rsid w:val="0B9F602E"/>
    <w:rsid w:val="0BF50368"/>
    <w:rsid w:val="0C368F60"/>
    <w:rsid w:val="0CDF140F"/>
    <w:rsid w:val="0CEFE70A"/>
    <w:rsid w:val="0D416D1F"/>
    <w:rsid w:val="0D7341B5"/>
    <w:rsid w:val="0DA59ECB"/>
    <w:rsid w:val="0E1C811F"/>
    <w:rsid w:val="0E25CADB"/>
    <w:rsid w:val="0F40A2C3"/>
    <w:rsid w:val="104F7E2A"/>
    <w:rsid w:val="10F8FD94"/>
    <w:rsid w:val="11458999"/>
    <w:rsid w:val="11B7D6DF"/>
    <w:rsid w:val="11C6E254"/>
    <w:rsid w:val="12165896"/>
    <w:rsid w:val="122ACA7F"/>
    <w:rsid w:val="122E8C83"/>
    <w:rsid w:val="1262962F"/>
    <w:rsid w:val="126DE1CC"/>
    <w:rsid w:val="1302A1A1"/>
    <w:rsid w:val="13D9938E"/>
    <w:rsid w:val="14549D1C"/>
    <w:rsid w:val="14D2D0D8"/>
    <w:rsid w:val="14E3B6AF"/>
    <w:rsid w:val="152C2DA1"/>
    <w:rsid w:val="154FD2BA"/>
    <w:rsid w:val="15516EE0"/>
    <w:rsid w:val="1662308A"/>
    <w:rsid w:val="167F4585"/>
    <w:rsid w:val="17077741"/>
    <w:rsid w:val="1716E878"/>
    <w:rsid w:val="1717E309"/>
    <w:rsid w:val="17211FB8"/>
    <w:rsid w:val="17C7F5C7"/>
    <w:rsid w:val="181185F1"/>
    <w:rsid w:val="1820A2A1"/>
    <w:rsid w:val="18F1F90C"/>
    <w:rsid w:val="1974A428"/>
    <w:rsid w:val="19E5C23E"/>
    <w:rsid w:val="1A305490"/>
    <w:rsid w:val="1A8698D4"/>
    <w:rsid w:val="1A8D7C4D"/>
    <w:rsid w:val="1ABB6081"/>
    <w:rsid w:val="1B272FDF"/>
    <w:rsid w:val="1B6FD830"/>
    <w:rsid w:val="1B785271"/>
    <w:rsid w:val="1B7F755E"/>
    <w:rsid w:val="1B9A8B94"/>
    <w:rsid w:val="1B9EF98E"/>
    <w:rsid w:val="1BC5E422"/>
    <w:rsid w:val="1BCA0F90"/>
    <w:rsid w:val="1C7C777C"/>
    <w:rsid w:val="1CD0D6CE"/>
    <w:rsid w:val="1CD2E872"/>
    <w:rsid w:val="1D3E6946"/>
    <w:rsid w:val="1D53409D"/>
    <w:rsid w:val="1DD63E0A"/>
    <w:rsid w:val="1E0C8585"/>
    <w:rsid w:val="1E305FE2"/>
    <w:rsid w:val="1E60D487"/>
    <w:rsid w:val="1EBB1973"/>
    <w:rsid w:val="1EC426AA"/>
    <w:rsid w:val="1EDDB044"/>
    <w:rsid w:val="1F0FE116"/>
    <w:rsid w:val="1F25CCF9"/>
    <w:rsid w:val="1FF49C08"/>
    <w:rsid w:val="201EA72E"/>
    <w:rsid w:val="207BF82C"/>
    <w:rsid w:val="208B6305"/>
    <w:rsid w:val="21D1BF37"/>
    <w:rsid w:val="22671B99"/>
    <w:rsid w:val="22BCA4B3"/>
    <w:rsid w:val="22D4D4A1"/>
    <w:rsid w:val="23529D05"/>
    <w:rsid w:val="23A51B29"/>
    <w:rsid w:val="23ADB9D6"/>
    <w:rsid w:val="24AE9478"/>
    <w:rsid w:val="24E68DC9"/>
    <w:rsid w:val="25879AD8"/>
    <w:rsid w:val="25A2AC4C"/>
    <w:rsid w:val="26393E4E"/>
    <w:rsid w:val="2698943B"/>
    <w:rsid w:val="26A03A34"/>
    <w:rsid w:val="26C5F61C"/>
    <w:rsid w:val="27352181"/>
    <w:rsid w:val="2737E977"/>
    <w:rsid w:val="27714BCE"/>
    <w:rsid w:val="27F1CEBE"/>
    <w:rsid w:val="27F523E1"/>
    <w:rsid w:val="28280680"/>
    <w:rsid w:val="285ED7F1"/>
    <w:rsid w:val="2954F2B1"/>
    <w:rsid w:val="2981CEE4"/>
    <w:rsid w:val="2A117D65"/>
    <w:rsid w:val="2A794E56"/>
    <w:rsid w:val="2C03A26A"/>
    <w:rsid w:val="2C29B1B7"/>
    <w:rsid w:val="2C74A866"/>
    <w:rsid w:val="2C7C3685"/>
    <w:rsid w:val="2C9849F5"/>
    <w:rsid w:val="2CCDC4F0"/>
    <w:rsid w:val="2D3716AC"/>
    <w:rsid w:val="2D82DE13"/>
    <w:rsid w:val="2D8AEDC7"/>
    <w:rsid w:val="2E22411A"/>
    <w:rsid w:val="2E2446C3"/>
    <w:rsid w:val="2EA996CC"/>
    <w:rsid w:val="2F20710C"/>
    <w:rsid w:val="2F3E738F"/>
    <w:rsid w:val="2FAEDDBF"/>
    <w:rsid w:val="2FB8219D"/>
    <w:rsid w:val="2FBEAA68"/>
    <w:rsid w:val="2FD69667"/>
    <w:rsid w:val="300AB1A2"/>
    <w:rsid w:val="30331101"/>
    <w:rsid w:val="317AEAB4"/>
    <w:rsid w:val="31EF197B"/>
    <w:rsid w:val="31F18D80"/>
    <w:rsid w:val="31F6BDF6"/>
    <w:rsid w:val="322ACF07"/>
    <w:rsid w:val="327A00AE"/>
    <w:rsid w:val="32B188AD"/>
    <w:rsid w:val="333E42DE"/>
    <w:rsid w:val="3386F6F8"/>
    <w:rsid w:val="33A70AC3"/>
    <w:rsid w:val="34C62A74"/>
    <w:rsid w:val="3500D1A1"/>
    <w:rsid w:val="353CABB0"/>
    <w:rsid w:val="355C503A"/>
    <w:rsid w:val="35A204D1"/>
    <w:rsid w:val="35A9598B"/>
    <w:rsid w:val="35D9D34A"/>
    <w:rsid w:val="3625DC40"/>
    <w:rsid w:val="36819E95"/>
    <w:rsid w:val="36CC9EEB"/>
    <w:rsid w:val="3720E0B8"/>
    <w:rsid w:val="373252CB"/>
    <w:rsid w:val="3765E637"/>
    <w:rsid w:val="37AAC864"/>
    <w:rsid w:val="37E31851"/>
    <w:rsid w:val="38025181"/>
    <w:rsid w:val="3841E83D"/>
    <w:rsid w:val="38985724"/>
    <w:rsid w:val="38ADD4CC"/>
    <w:rsid w:val="3A22DE9F"/>
    <w:rsid w:val="3ABFDE7B"/>
    <w:rsid w:val="3AFEFF43"/>
    <w:rsid w:val="3B0C32DB"/>
    <w:rsid w:val="3B14F1D5"/>
    <w:rsid w:val="3B163669"/>
    <w:rsid w:val="3B210427"/>
    <w:rsid w:val="3B25642C"/>
    <w:rsid w:val="3BC3E575"/>
    <w:rsid w:val="3BC86DDB"/>
    <w:rsid w:val="3C271A45"/>
    <w:rsid w:val="3D1C6B1D"/>
    <w:rsid w:val="3D7B2C3A"/>
    <w:rsid w:val="3D8226F2"/>
    <w:rsid w:val="3D9D2861"/>
    <w:rsid w:val="3DAE65CC"/>
    <w:rsid w:val="3E00A12E"/>
    <w:rsid w:val="3EA65390"/>
    <w:rsid w:val="3ED44B7E"/>
    <w:rsid w:val="3F33C3F4"/>
    <w:rsid w:val="3F64A519"/>
    <w:rsid w:val="413F8F6C"/>
    <w:rsid w:val="4179BE8F"/>
    <w:rsid w:val="41D6D3C7"/>
    <w:rsid w:val="420578AF"/>
    <w:rsid w:val="42153D6F"/>
    <w:rsid w:val="42528369"/>
    <w:rsid w:val="4259216B"/>
    <w:rsid w:val="4259928F"/>
    <w:rsid w:val="427635DC"/>
    <w:rsid w:val="42873EE9"/>
    <w:rsid w:val="428D1404"/>
    <w:rsid w:val="42CA3919"/>
    <w:rsid w:val="43715A83"/>
    <w:rsid w:val="450AE44E"/>
    <w:rsid w:val="4558857A"/>
    <w:rsid w:val="464717B9"/>
    <w:rsid w:val="466A3F66"/>
    <w:rsid w:val="46AB0BF9"/>
    <w:rsid w:val="47147DF3"/>
    <w:rsid w:val="47752A79"/>
    <w:rsid w:val="47C34F15"/>
    <w:rsid w:val="482B7D1B"/>
    <w:rsid w:val="48941A1B"/>
    <w:rsid w:val="4988297D"/>
    <w:rsid w:val="49882D6D"/>
    <w:rsid w:val="4991F56E"/>
    <w:rsid w:val="49A36902"/>
    <w:rsid w:val="49BA0D40"/>
    <w:rsid w:val="4A429F68"/>
    <w:rsid w:val="4AF60B05"/>
    <w:rsid w:val="4B462247"/>
    <w:rsid w:val="4B632397"/>
    <w:rsid w:val="4B63B083"/>
    <w:rsid w:val="4BB08832"/>
    <w:rsid w:val="4BB9F85D"/>
    <w:rsid w:val="4BC3F7A4"/>
    <w:rsid w:val="4BE36757"/>
    <w:rsid w:val="4C612BCF"/>
    <w:rsid w:val="4C735261"/>
    <w:rsid w:val="4C75F36C"/>
    <w:rsid w:val="4C82599E"/>
    <w:rsid w:val="4C837518"/>
    <w:rsid w:val="4CA9A977"/>
    <w:rsid w:val="4CC1912E"/>
    <w:rsid w:val="4DACA081"/>
    <w:rsid w:val="4DDAF077"/>
    <w:rsid w:val="4DF540FE"/>
    <w:rsid w:val="4E1FD992"/>
    <w:rsid w:val="4E4B5F57"/>
    <w:rsid w:val="4E8267E8"/>
    <w:rsid w:val="4F87D8A0"/>
    <w:rsid w:val="4F9DF4A2"/>
    <w:rsid w:val="4FC39068"/>
    <w:rsid w:val="5013C67B"/>
    <w:rsid w:val="5076F4A1"/>
    <w:rsid w:val="51AF9942"/>
    <w:rsid w:val="51CA6E66"/>
    <w:rsid w:val="51CFEA32"/>
    <w:rsid w:val="51D6903F"/>
    <w:rsid w:val="51F07C28"/>
    <w:rsid w:val="5213E651"/>
    <w:rsid w:val="5228F0FC"/>
    <w:rsid w:val="52385399"/>
    <w:rsid w:val="538F6ACE"/>
    <w:rsid w:val="539B5A22"/>
    <w:rsid w:val="54BFED53"/>
    <w:rsid w:val="551C1083"/>
    <w:rsid w:val="55241275"/>
    <w:rsid w:val="5550AD3C"/>
    <w:rsid w:val="55B7FF55"/>
    <w:rsid w:val="5605C333"/>
    <w:rsid w:val="56A95C86"/>
    <w:rsid w:val="571C1301"/>
    <w:rsid w:val="572F3125"/>
    <w:rsid w:val="57642F8C"/>
    <w:rsid w:val="57C4A404"/>
    <w:rsid w:val="57C71AFF"/>
    <w:rsid w:val="583F2735"/>
    <w:rsid w:val="586A576F"/>
    <w:rsid w:val="588583B9"/>
    <w:rsid w:val="594D654F"/>
    <w:rsid w:val="5958F6F5"/>
    <w:rsid w:val="5AB7B41E"/>
    <w:rsid w:val="5AB85FD1"/>
    <w:rsid w:val="5AFDF25E"/>
    <w:rsid w:val="5B02F5FE"/>
    <w:rsid w:val="5B22F327"/>
    <w:rsid w:val="5B302E49"/>
    <w:rsid w:val="5B9AF5B2"/>
    <w:rsid w:val="5BCBBE90"/>
    <w:rsid w:val="5BD06BF3"/>
    <w:rsid w:val="5BE9A4DC"/>
    <w:rsid w:val="5C0805AA"/>
    <w:rsid w:val="5C60D872"/>
    <w:rsid w:val="5CD6CE16"/>
    <w:rsid w:val="5D953D9B"/>
    <w:rsid w:val="5DBDF1C5"/>
    <w:rsid w:val="5DE56804"/>
    <w:rsid w:val="5DEBFB51"/>
    <w:rsid w:val="5E4470D6"/>
    <w:rsid w:val="5EC4224E"/>
    <w:rsid w:val="5ECD8EF1"/>
    <w:rsid w:val="5EFC279F"/>
    <w:rsid w:val="5F328929"/>
    <w:rsid w:val="5F792335"/>
    <w:rsid w:val="5F798817"/>
    <w:rsid w:val="60027B4D"/>
    <w:rsid w:val="601C7593"/>
    <w:rsid w:val="60660E9C"/>
    <w:rsid w:val="606C20BC"/>
    <w:rsid w:val="60A9A575"/>
    <w:rsid w:val="60C6BD71"/>
    <w:rsid w:val="60F4FBD8"/>
    <w:rsid w:val="610861BA"/>
    <w:rsid w:val="616FC686"/>
    <w:rsid w:val="61F1EE7A"/>
    <w:rsid w:val="62251C22"/>
    <w:rsid w:val="627E3EBC"/>
    <w:rsid w:val="62E51392"/>
    <w:rsid w:val="62FB1150"/>
    <w:rsid w:val="633FD424"/>
    <w:rsid w:val="6364C44E"/>
    <w:rsid w:val="63C19A2F"/>
    <w:rsid w:val="64FE1612"/>
    <w:rsid w:val="653B9386"/>
    <w:rsid w:val="653D88FD"/>
    <w:rsid w:val="659F6A4A"/>
    <w:rsid w:val="65A42E45"/>
    <w:rsid w:val="65DD9ECF"/>
    <w:rsid w:val="65DDE040"/>
    <w:rsid w:val="65F29497"/>
    <w:rsid w:val="665644EE"/>
    <w:rsid w:val="66A12E06"/>
    <w:rsid w:val="66C5DA22"/>
    <w:rsid w:val="6704C1FE"/>
    <w:rsid w:val="6741CA1B"/>
    <w:rsid w:val="675276DC"/>
    <w:rsid w:val="67612F3C"/>
    <w:rsid w:val="688FC6E3"/>
    <w:rsid w:val="69D1F565"/>
    <w:rsid w:val="6A7B3379"/>
    <w:rsid w:val="6BE90C60"/>
    <w:rsid w:val="6C1B3554"/>
    <w:rsid w:val="6C5DE2A4"/>
    <w:rsid w:val="6C6876D3"/>
    <w:rsid w:val="6CAEE4E3"/>
    <w:rsid w:val="6CBF8DD8"/>
    <w:rsid w:val="6CF2E3E2"/>
    <w:rsid w:val="6D26D34D"/>
    <w:rsid w:val="6D879776"/>
    <w:rsid w:val="6DEAFC5D"/>
    <w:rsid w:val="6E83B1A6"/>
    <w:rsid w:val="6E844DD4"/>
    <w:rsid w:val="6EA1FA3C"/>
    <w:rsid w:val="6ECED603"/>
    <w:rsid w:val="6F219285"/>
    <w:rsid w:val="6F231B0F"/>
    <w:rsid w:val="6F557862"/>
    <w:rsid w:val="6FBC9E10"/>
    <w:rsid w:val="6FBC9E27"/>
    <w:rsid w:val="7005A1CE"/>
    <w:rsid w:val="70281CE4"/>
    <w:rsid w:val="70E29C88"/>
    <w:rsid w:val="7137313D"/>
    <w:rsid w:val="71FB535E"/>
    <w:rsid w:val="71FBCB73"/>
    <w:rsid w:val="7250862E"/>
    <w:rsid w:val="7252DF83"/>
    <w:rsid w:val="727C0EF6"/>
    <w:rsid w:val="72A42B49"/>
    <w:rsid w:val="73997446"/>
    <w:rsid w:val="73A4F7B3"/>
    <w:rsid w:val="73CEEFCF"/>
    <w:rsid w:val="73E165A6"/>
    <w:rsid w:val="74038B86"/>
    <w:rsid w:val="742F9208"/>
    <w:rsid w:val="7455D71E"/>
    <w:rsid w:val="746D7079"/>
    <w:rsid w:val="746D8B69"/>
    <w:rsid w:val="74BCFA8B"/>
    <w:rsid w:val="74CB6F00"/>
    <w:rsid w:val="7525F347"/>
    <w:rsid w:val="75265F88"/>
    <w:rsid w:val="7542BBC6"/>
    <w:rsid w:val="756A1287"/>
    <w:rsid w:val="758C9570"/>
    <w:rsid w:val="75AB105F"/>
    <w:rsid w:val="75CEAC17"/>
    <w:rsid w:val="75F7BAB8"/>
    <w:rsid w:val="7618B9EA"/>
    <w:rsid w:val="76425DA2"/>
    <w:rsid w:val="76B36A20"/>
    <w:rsid w:val="76D133EE"/>
    <w:rsid w:val="76FE3146"/>
    <w:rsid w:val="770D89B2"/>
    <w:rsid w:val="777DAD06"/>
    <w:rsid w:val="77995E5C"/>
    <w:rsid w:val="77E70363"/>
    <w:rsid w:val="788DF181"/>
    <w:rsid w:val="78923F7B"/>
    <w:rsid w:val="78C8A783"/>
    <w:rsid w:val="790BAF1E"/>
    <w:rsid w:val="7960844A"/>
    <w:rsid w:val="7965B716"/>
    <w:rsid w:val="7972A4B9"/>
    <w:rsid w:val="7991F405"/>
    <w:rsid w:val="7A16C8D6"/>
    <w:rsid w:val="7A2FE462"/>
    <w:rsid w:val="7A62F111"/>
    <w:rsid w:val="7A684FC9"/>
    <w:rsid w:val="7AA86B86"/>
    <w:rsid w:val="7ABB4059"/>
    <w:rsid w:val="7AD1AEB4"/>
    <w:rsid w:val="7B60A544"/>
    <w:rsid w:val="7B9E3259"/>
    <w:rsid w:val="7C30921C"/>
    <w:rsid w:val="7C6BA6D4"/>
    <w:rsid w:val="7C7B5F81"/>
    <w:rsid w:val="7CECB932"/>
    <w:rsid w:val="7CF83498"/>
    <w:rsid w:val="7D8DED43"/>
    <w:rsid w:val="7DC512CD"/>
    <w:rsid w:val="7EC615E1"/>
    <w:rsid w:val="7F865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26F4C17"/>
  <w15:chartTrackingRefBased/>
  <w15:docId w15:val="{46DD6E9B-8A63-4113-9E4E-DA0098C1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1597"/>
    <w:pPr>
      <w:ind w:left="720"/>
      <w:contextualSpacing/>
    </w:pPr>
  </w:style>
  <w:style w:type="character" w:styleId="Hyperlink">
    <w:name w:val="Hyperlink"/>
    <w:basedOn w:val="DefaultParagraphFont"/>
    <w:uiPriority w:val="99"/>
    <w:unhideWhenUsed/>
    <w:rsid w:val="00524710"/>
    <w:rPr>
      <w:color w:val="0563C1" w:themeColor="hyperlink"/>
      <w:u w:val="single"/>
    </w:rPr>
  </w:style>
  <w:style w:type="character" w:styleId="UnresolvedMention">
    <w:name w:val="Unresolved Mention"/>
    <w:basedOn w:val="DefaultParagraphFont"/>
    <w:uiPriority w:val="99"/>
    <w:semiHidden/>
    <w:unhideWhenUsed/>
    <w:rsid w:val="00524710"/>
    <w:rPr>
      <w:color w:val="605E5C"/>
      <w:shd w:val="clear" w:color="auto" w:fill="E1DFDD"/>
    </w:rPr>
  </w:style>
  <w:style w:type="paragraph" w:styleId="FootnoteText">
    <w:name w:val="footnote text"/>
    <w:basedOn w:val="Normal"/>
    <w:link w:val="FootnoteTextChar"/>
    <w:uiPriority w:val="99"/>
    <w:semiHidden/>
    <w:unhideWhenUsed/>
    <w:rsid w:val="001448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89A"/>
    <w:rPr>
      <w:sz w:val="20"/>
      <w:szCs w:val="20"/>
    </w:rPr>
  </w:style>
  <w:style w:type="character" w:styleId="FootnoteReference">
    <w:name w:val="footnote reference"/>
    <w:basedOn w:val="DefaultParagraphFont"/>
    <w:uiPriority w:val="99"/>
    <w:semiHidden/>
    <w:unhideWhenUsed/>
    <w:rsid w:val="0014489A"/>
    <w:rPr>
      <w:vertAlign w:val="superscript"/>
    </w:rPr>
  </w:style>
  <w:style w:type="character" w:styleId="FollowedHyperlink">
    <w:name w:val="FollowedHyperlink"/>
    <w:basedOn w:val="DefaultParagraphFont"/>
    <w:uiPriority w:val="99"/>
    <w:semiHidden/>
    <w:unhideWhenUsed/>
    <w:rsid w:val="00F942B3"/>
    <w:rPr>
      <w:color w:val="954F72" w:themeColor="followedHyperlink"/>
      <w:u w:val="single"/>
    </w:rPr>
  </w:style>
  <w:style w:type="character" w:styleId="CommentReference">
    <w:name w:val="annotation reference"/>
    <w:basedOn w:val="DefaultParagraphFont"/>
    <w:uiPriority w:val="99"/>
    <w:semiHidden/>
    <w:unhideWhenUsed/>
    <w:rsid w:val="00F3168B"/>
    <w:rPr>
      <w:sz w:val="16"/>
      <w:szCs w:val="16"/>
    </w:rPr>
  </w:style>
  <w:style w:type="paragraph" w:styleId="CommentText">
    <w:name w:val="annotation text"/>
    <w:basedOn w:val="Normal"/>
    <w:link w:val="CommentTextChar"/>
    <w:uiPriority w:val="99"/>
    <w:unhideWhenUsed/>
    <w:rsid w:val="00F3168B"/>
    <w:pPr>
      <w:spacing w:line="240" w:lineRule="auto"/>
    </w:pPr>
    <w:rPr>
      <w:sz w:val="20"/>
      <w:szCs w:val="20"/>
    </w:rPr>
  </w:style>
  <w:style w:type="character" w:customStyle="1" w:styleId="CommentTextChar">
    <w:name w:val="Comment Text Char"/>
    <w:basedOn w:val="DefaultParagraphFont"/>
    <w:link w:val="CommentText"/>
    <w:uiPriority w:val="99"/>
    <w:rsid w:val="00F3168B"/>
    <w:rPr>
      <w:sz w:val="20"/>
      <w:szCs w:val="20"/>
    </w:rPr>
  </w:style>
  <w:style w:type="paragraph" w:styleId="CommentSubject">
    <w:name w:val="annotation subject"/>
    <w:basedOn w:val="CommentText"/>
    <w:next w:val="CommentText"/>
    <w:link w:val="CommentSubjectChar"/>
    <w:uiPriority w:val="99"/>
    <w:semiHidden/>
    <w:unhideWhenUsed/>
    <w:rsid w:val="00F3168B"/>
    <w:rPr>
      <w:b/>
      <w:bCs/>
    </w:rPr>
  </w:style>
  <w:style w:type="character" w:customStyle="1" w:styleId="CommentSubjectChar">
    <w:name w:val="Comment Subject Char"/>
    <w:basedOn w:val="CommentTextChar"/>
    <w:link w:val="CommentSubject"/>
    <w:uiPriority w:val="99"/>
    <w:semiHidden/>
    <w:rsid w:val="00F3168B"/>
    <w:rPr>
      <w:b/>
      <w:bCs/>
      <w:sz w:val="20"/>
      <w:szCs w:val="20"/>
    </w:rPr>
  </w:style>
  <w:style w:type="paragraph" w:styleId="Header">
    <w:name w:val="header"/>
    <w:basedOn w:val="Normal"/>
    <w:link w:val="HeaderChar"/>
    <w:uiPriority w:val="99"/>
    <w:unhideWhenUsed/>
    <w:rsid w:val="00F316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168B"/>
  </w:style>
  <w:style w:type="paragraph" w:styleId="Footer">
    <w:name w:val="footer"/>
    <w:basedOn w:val="Normal"/>
    <w:link w:val="FooterChar"/>
    <w:uiPriority w:val="99"/>
    <w:unhideWhenUsed/>
    <w:rsid w:val="00F316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168B"/>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99698A"/>
    <w:pPr>
      <w:spacing w:after="0" w:line="240" w:lineRule="auto"/>
    </w:pPr>
  </w:style>
  <w:style w:type="paragraph" w:customStyle="1" w:styleId="Default">
    <w:name w:val="Default"/>
    <w:rsid w:val="00783244"/>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77120">
      <w:bodyDiv w:val="1"/>
      <w:marLeft w:val="0"/>
      <w:marRight w:val="0"/>
      <w:marTop w:val="0"/>
      <w:marBottom w:val="0"/>
      <w:divBdr>
        <w:top w:val="none" w:sz="0" w:space="0" w:color="auto"/>
        <w:left w:val="none" w:sz="0" w:space="0" w:color="auto"/>
        <w:bottom w:val="none" w:sz="0" w:space="0" w:color="auto"/>
        <w:right w:val="none" w:sz="0" w:space="0" w:color="auto"/>
      </w:divBdr>
    </w:div>
    <w:div w:id="188571587">
      <w:bodyDiv w:val="1"/>
      <w:marLeft w:val="0"/>
      <w:marRight w:val="0"/>
      <w:marTop w:val="0"/>
      <w:marBottom w:val="0"/>
      <w:divBdr>
        <w:top w:val="none" w:sz="0" w:space="0" w:color="auto"/>
        <w:left w:val="none" w:sz="0" w:space="0" w:color="auto"/>
        <w:bottom w:val="none" w:sz="0" w:space="0" w:color="auto"/>
        <w:right w:val="none" w:sz="0" w:space="0" w:color="auto"/>
      </w:divBdr>
    </w:div>
    <w:div w:id="826557528">
      <w:bodyDiv w:val="1"/>
      <w:marLeft w:val="0"/>
      <w:marRight w:val="0"/>
      <w:marTop w:val="0"/>
      <w:marBottom w:val="0"/>
      <w:divBdr>
        <w:top w:val="none" w:sz="0" w:space="0" w:color="auto"/>
        <w:left w:val="none" w:sz="0" w:space="0" w:color="auto"/>
        <w:bottom w:val="none" w:sz="0" w:space="0" w:color="auto"/>
        <w:right w:val="none" w:sz="0" w:space="0" w:color="auto"/>
      </w:divBdr>
      <w:divsChild>
        <w:div w:id="773941520">
          <w:marLeft w:val="547"/>
          <w:marRight w:val="0"/>
          <w:marTop w:val="0"/>
          <w:marBottom w:val="0"/>
          <w:divBdr>
            <w:top w:val="none" w:sz="0" w:space="0" w:color="auto"/>
            <w:left w:val="none" w:sz="0" w:space="0" w:color="auto"/>
            <w:bottom w:val="none" w:sz="0" w:space="0" w:color="auto"/>
            <w:right w:val="none" w:sz="0" w:space="0" w:color="auto"/>
          </w:divBdr>
        </w:div>
      </w:divsChild>
    </w:div>
    <w:div w:id="1415856836">
      <w:bodyDiv w:val="1"/>
      <w:marLeft w:val="0"/>
      <w:marRight w:val="0"/>
      <w:marTop w:val="0"/>
      <w:marBottom w:val="0"/>
      <w:divBdr>
        <w:top w:val="none" w:sz="0" w:space="0" w:color="auto"/>
        <w:left w:val="none" w:sz="0" w:space="0" w:color="auto"/>
        <w:bottom w:val="none" w:sz="0" w:space="0" w:color="auto"/>
        <w:right w:val="none" w:sz="0" w:space="0" w:color="auto"/>
      </w:divBdr>
    </w:div>
    <w:div w:id="1467771406">
      <w:bodyDiv w:val="1"/>
      <w:marLeft w:val="0"/>
      <w:marRight w:val="0"/>
      <w:marTop w:val="0"/>
      <w:marBottom w:val="0"/>
      <w:divBdr>
        <w:top w:val="none" w:sz="0" w:space="0" w:color="auto"/>
        <w:left w:val="none" w:sz="0" w:space="0" w:color="auto"/>
        <w:bottom w:val="none" w:sz="0" w:space="0" w:color="auto"/>
        <w:right w:val="none" w:sz="0" w:space="0" w:color="auto"/>
      </w:divBdr>
    </w:div>
    <w:div w:id="1593200471">
      <w:bodyDiv w:val="1"/>
      <w:marLeft w:val="0"/>
      <w:marRight w:val="0"/>
      <w:marTop w:val="0"/>
      <w:marBottom w:val="0"/>
      <w:divBdr>
        <w:top w:val="none" w:sz="0" w:space="0" w:color="auto"/>
        <w:left w:val="none" w:sz="0" w:space="0" w:color="auto"/>
        <w:bottom w:val="none" w:sz="0" w:space="0" w:color="auto"/>
        <w:right w:val="none" w:sz="0" w:space="0" w:color="auto"/>
      </w:divBdr>
      <w:divsChild>
        <w:div w:id="986129105">
          <w:marLeft w:val="547"/>
          <w:marRight w:val="0"/>
          <w:marTop w:val="0"/>
          <w:marBottom w:val="0"/>
          <w:divBdr>
            <w:top w:val="none" w:sz="0" w:space="0" w:color="auto"/>
            <w:left w:val="none" w:sz="0" w:space="0" w:color="auto"/>
            <w:bottom w:val="none" w:sz="0" w:space="0" w:color="auto"/>
            <w:right w:val="none" w:sz="0" w:space="0" w:color="auto"/>
          </w:divBdr>
        </w:div>
        <w:div w:id="1858814666">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as.mhra.gov.uk/ViewandAcknowledgment/ViewAttachment.aspx?Attachment_id=104186" TargetMode="External"/><Relationship Id="rId18" Type="http://schemas.openxmlformats.org/officeDocument/2006/relationships/hyperlink" Target="https://www.sps.nhs.uk/articles/find-pert-alternatives-and-equivalences/" TargetMode="External"/><Relationship Id="rId26" Type="http://schemas.openxmlformats.org/officeDocument/2006/relationships/hyperlink" Target="https://www.sps.nhs.uk/articles/find-pert-alternatives-and-equivalences/" TargetMode="External"/><Relationship Id="rId39" Type="http://schemas.openxmlformats.org/officeDocument/2006/relationships/hyperlink" Target="https://cpe.org.uk/our-news/supply-of-unlicensed-pert-preparations/" TargetMode="External"/><Relationship Id="rId21" Type="http://schemas.openxmlformats.org/officeDocument/2006/relationships/hyperlink" Target="https://faq.nhsbsa.nhs.uk/knowledgebase/article/KA-03292/en-us" TargetMode="External"/><Relationship Id="rId34" Type="http://schemas.openxmlformats.org/officeDocument/2006/relationships/hyperlink" Target="https://www.pancreaticcancer.org.uk/news-and-blogs/information-about-the-supply-of-creon-25000/" TargetMode="External"/><Relationship Id="rId42" Type="http://schemas.openxmlformats.org/officeDocument/2006/relationships/hyperlink" Target="https://www.medicines.org.uk/emc/product/1167/smpc" TargetMode="External"/><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as.mhra.gov.uk/ViewandAcknowledgment/ViewAttachment.aspx?Attachment_id=104186" TargetMode="External"/><Relationship Id="rId29" Type="http://schemas.openxmlformats.org/officeDocument/2006/relationships/hyperlink" Target="https://www.psgbi.org/static/uploads/resources/Position_Statement_Shortage_of_PERT_HealthCare_Professionals_Version_4_17th_No_yW7DIIA.pdf" TargetMode="External"/><Relationship Id="rId11" Type="http://schemas.openxmlformats.org/officeDocument/2006/relationships/hyperlink" Target="https://www.sps.nhs.uk/shortages/shortage-of-creon-10000-and-25000-gastro-resistant-capsules/" TargetMode="External"/><Relationship Id="rId24" Type="http://schemas.openxmlformats.org/officeDocument/2006/relationships/hyperlink" Target="https://www.sps.nhs.uk/articles/prescribing-and-ordering-available-pancreatic-enzyme-replacement-therapies/" TargetMode="External"/><Relationship Id="rId32" Type="http://schemas.openxmlformats.org/officeDocument/2006/relationships/hyperlink" Target="https://www.sps.nhs.uk/articles/prescribing-and-ordering-available-pancreatic-enzyme-replacement-therapies/" TargetMode="External"/><Relationship Id="rId37" Type="http://schemas.openxmlformats.org/officeDocument/2006/relationships/hyperlink" Target="https://gutscharity.org.uk/" TargetMode="External"/><Relationship Id="rId40" Type="http://schemas.openxmlformats.org/officeDocument/2006/relationships/hyperlink" Target="https://oxfordpharmacystore.co.uk/register-for-a-new-cccount/" TargetMode="External"/><Relationship Id="rId45" Type="http://schemas.openxmlformats.org/officeDocument/2006/relationships/image" Target="media/image3.emf"/><Relationship Id="rId5" Type="http://schemas.openxmlformats.org/officeDocument/2006/relationships/numbering" Target="numbering.xml"/><Relationship Id="rId15" Type="http://schemas.openxmlformats.org/officeDocument/2006/relationships/hyperlink" Target="https://www.cas.mhra.gov.uk/ViewandAcknowledgment/ViewAttachment.aspx?Attachment_id=104177" TargetMode="External"/><Relationship Id="rId23" Type="http://schemas.openxmlformats.org/officeDocument/2006/relationships/hyperlink" Target="mailto:ops.orders@oxfordhealth.nhs.uk" TargetMode="External"/><Relationship Id="rId28" Type="http://schemas.openxmlformats.org/officeDocument/2006/relationships/hyperlink" Target="https://nppg.org.uk/pert/" TargetMode="External"/><Relationship Id="rId36" Type="http://schemas.openxmlformats.org/officeDocument/2006/relationships/hyperlink" Target="https://www.cysticfibrosis.org.uk/what-is-cystic-fibrosis/cystic-fibrosis-care/treatments-and-medication/creon-supply-update" TargetMode="External"/><Relationship Id="rId49"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sps.nhs.uk/home/tools/medicines-supply-tool/" TargetMode="External"/><Relationship Id="rId31" Type="http://schemas.openxmlformats.org/officeDocument/2006/relationships/hyperlink" Target="https://www.sps.nhs.uk/shortages/shortage-of-creon-10000-and-25000-gastro-resistant-capsules/" TargetMode="External"/><Relationship Id="rId44" Type="http://schemas.openxmlformats.org/officeDocument/2006/relationships/oleObject" Target="embeddings/oleObject1.bin"/><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as.mhra.gov.uk/ViewandAcknowledgment/ViewAlert.aspx?AlertID=103260" TargetMode="External"/><Relationship Id="rId22" Type="http://schemas.openxmlformats.org/officeDocument/2006/relationships/hyperlink" Target="https://oxfordpharmacystore.co.uk/register-for-a-new-cccount/" TargetMode="External"/><Relationship Id="rId27" Type="http://schemas.openxmlformats.org/officeDocument/2006/relationships/image" Target="media/image1.png"/><Relationship Id="rId30" Type="http://schemas.openxmlformats.org/officeDocument/2006/relationships/hyperlink" Target="https://www.hertsandwestessex.ics.nhs.uk/your-health-and-care/support/your-medication/" TargetMode="External"/><Relationship Id="rId35" Type="http://schemas.openxmlformats.org/officeDocument/2006/relationships/hyperlink" Target="https://www.psgbi.org/static/uploads/resources/Position_Statement_Shortage_of_PERT_Patient_Advice_Version_4_17th_November_2024.pdf" TargetMode="External"/><Relationship Id="rId43" Type="http://schemas.openxmlformats.org/officeDocument/2006/relationships/image" Target="media/image2.emf"/><Relationship Id="rId48" Type="http://schemas.openxmlformats.org/officeDocument/2006/relationships/footer" Target="footer1.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cas.mhra.gov.uk/ViewandAcknowledgment/ViewAttachment.aspx?Attachment_id=104177" TargetMode="External"/><Relationship Id="rId17" Type="http://schemas.openxmlformats.org/officeDocument/2006/relationships/hyperlink" Target="https://www.nhsbsa.nhs.uk/pharmacies-gp-practices-and-appliance-contractors/serious-shortage-protocols-ssps" TargetMode="External"/><Relationship Id="rId25" Type="http://schemas.openxmlformats.org/officeDocument/2006/relationships/hyperlink" Target="https://cpe.org.uk/our-news/supply-of-unlicensed-pert-preparations/" TargetMode="External"/><Relationship Id="rId33" Type="http://schemas.openxmlformats.org/officeDocument/2006/relationships/hyperlink" Target="https://www.sps.nhs.uk/articles/find-pert-alternatives-and-equivalences/" TargetMode="External"/><Relationship Id="rId38" Type="http://schemas.openxmlformats.org/officeDocument/2006/relationships/hyperlink" Target="https://www.pancreaticcancer.org.uk/news-and-blogs/information-about-the-supply-of-creon-25000/" TargetMode="External"/><Relationship Id="rId46" Type="http://schemas.openxmlformats.org/officeDocument/2006/relationships/oleObject" Target="embeddings/oleObject2.bin"/><Relationship Id="rId20" Type="http://schemas.openxmlformats.org/officeDocument/2006/relationships/hyperlink" Target="https://oxfordpharmacystore.co.uk/register-for-a-new-cccount/" TargetMode="External"/><Relationship Id="rId41" Type="http://schemas.openxmlformats.org/officeDocument/2006/relationships/hyperlink" Target="https://www.medicines.org.uk/emc/product/1168/smpc" TargetMode="External"/><Relationship Id="rId1" Type="http://schemas.openxmlformats.org/officeDocument/2006/relationships/customXml" Target="../customXml/item1.xml"/><Relationship Id="rId6"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2678723-8c06-45e1-8bd0-318b9868a43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31AA938FE962A45A3E19DCBCF209F91" ma:contentTypeVersion="18" ma:contentTypeDescription="Create a new document." ma:contentTypeScope="" ma:versionID="c7a740875f1791a9d286c4427163691e">
  <xsd:schema xmlns:xsd="http://www.w3.org/2001/XMLSchema" xmlns:xs="http://www.w3.org/2001/XMLSchema" xmlns:p="http://schemas.microsoft.com/office/2006/metadata/properties" xmlns:ns3="5789755c-de38-4fe3-9623-40afa3bba1e2" xmlns:ns4="32678723-8c06-45e1-8bd0-318b9868a43d" targetNamespace="http://schemas.microsoft.com/office/2006/metadata/properties" ma:root="true" ma:fieldsID="4c7b22d885f2491a9a2449532ca83c2f" ns3:_="" ns4:_="">
    <xsd:import namespace="5789755c-de38-4fe3-9623-40afa3bba1e2"/>
    <xsd:import namespace="32678723-8c06-45e1-8bd0-318b9868a43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ServiceAutoTags" minOccurs="0"/>
                <xsd:element ref="ns4:MediaServiceOCR"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89755c-de38-4fe3-9623-40afa3bba1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678723-8c06-45e1-8bd0-318b9868a43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description="" ma:indexed="true"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F0A8E2-A909-4770-BE9C-1AB4F65F5422}">
  <ds:schemaRefs>
    <ds:schemaRef ds:uri="http://schemas.microsoft.com/office/infopath/2007/PartnerControls"/>
    <ds:schemaRef ds:uri="5789755c-de38-4fe3-9623-40afa3bba1e2"/>
    <ds:schemaRef ds:uri="http://purl.org/dc/dcmitype/"/>
    <ds:schemaRef ds:uri="http://purl.org/dc/term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elements/1.1/"/>
    <ds:schemaRef ds:uri="32678723-8c06-45e1-8bd0-318b9868a43d"/>
  </ds:schemaRefs>
</ds:datastoreItem>
</file>

<file path=customXml/itemProps2.xml><?xml version="1.0" encoding="utf-8"?>
<ds:datastoreItem xmlns:ds="http://schemas.openxmlformats.org/officeDocument/2006/customXml" ds:itemID="{A16BEC96-2A2F-4E58-ACA3-CCC95ABF8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89755c-de38-4fe3-9623-40afa3bba1e2"/>
    <ds:schemaRef ds:uri="32678723-8c06-45e1-8bd0-318b9868a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D2698C-93F1-4895-9047-D7F55593DB5B}">
  <ds:schemaRefs>
    <ds:schemaRef ds:uri="http://schemas.openxmlformats.org/officeDocument/2006/bibliography"/>
  </ds:schemaRefs>
</ds:datastoreItem>
</file>

<file path=customXml/itemProps4.xml><?xml version="1.0" encoding="utf-8"?>
<ds:datastoreItem xmlns:ds="http://schemas.openxmlformats.org/officeDocument/2006/customXml" ds:itemID="{E6050FA4-BA1D-4BD8-925D-7D6AECE5B79B}">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1738</Words>
  <Characters>9910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NHS HBL ICT</Company>
  <LinksUpToDate>false</LinksUpToDate>
  <CharactersWithSpaces>11625</CharactersWithSpaces>
  <SharedDoc>false</SharedDoc>
  <HLinks>
    <vt:vector size="120" baseType="variant">
      <vt:variant>
        <vt:i4>917607</vt:i4>
      </vt:variant>
      <vt:variant>
        <vt:i4>54</vt:i4>
      </vt:variant>
      <vt:variant>
        <vt:i4>0</vt:i4>
      </vt:variant>
      <vt:variant>
        <vt:i4>5</vt:i4>
      </vt:variant>
      <vt:variant>
        <vt:lpwstr>mailto:n.holmer@nhs.net</vt:lpwstr>
      </vt:variant>
      <vt:variant>
        <vt:lpwstr/>
      </vt:variant>
      <vt:variant>
        <vt:i4>4522053</vt:i4>
      </vt:variant>
      <vt:variant>
        <vt:i4>51</vt:i4>
      </vt:variant>
      <vt:variant>
        <vt:i4>0</vt:i4>
      </vt:variant>
      <vt:variant>
        <vt:i4>5</vt:i4>
      </vt:variant>
      <vt:variant>
        <vt:lpwstr>https://nppg.org.uk/pert/</vt:lpwstr>
      </vt:variant>
      <vt:variant>
        <vt:lpwstr/>
      </vt:variant>
      <vt:variant>
        <vt:i4>2228342</vt:i4>
      </vt:variant>
      <vt:variant>
        <vt:i4>48</vt:i4>
      </vt:variant>
      <vt:variant>
        <vt:i4>0</vt:i4>
      </vt:variant>
      <vt:variant>
        <vt:i4>5</vt:i4>
      </vt:variant>
      <vt:variant>
        <vt:lpwstr>https://www.sps.nhs.uk/articles/prescribing-and-ordering-available-pancreatic-enzyme-replacement-therapies/</vt:lpwstr>
      </vt:variant>
      <vt:variant>
        <vt:lpwstr/>
      </vt:variant>
      <vt:variant>
        <vt:i4>1572959</vt:i4>
      </vt:variant>
      <vt:variant>
        <vt:i4>45</vt:i4>
      </vt:variant>
      <vt:variant>
        <vt:i4>0</vt:i4>
      </vt:variant>
      <vt:variant>
        <vt:i4>5</vt:i4>
      </vt:variant>
      <vt:variant>
        <vt:lpwstr>https://www.sps.nhs.uk/articles/find-pert-alternatives-and-equivalences/</vt:lpwstr>
      </vt:variant>
      <vt:variant>
        <vt:lpwstr/>
      </vt:variant>
      <vt:variant>
        <vt:i4>1572959</vt:i4>
      </vt:variant>
      <vt:variant>
        <vt:i4>42</vt:i4>
      </vt:variant>
      <vt:variant>
        <vt:i4>0</vt:i4>
      </vt:variant>
      <vt:variant>
        <vt:i4>5</vt:i4>
      </vt:variant>
      <vt:variant>
        <vt:lpwstr>https://www.sps.nhs.uk/articles/find-pert-alternatives-and-equivalences/</vt:lpwstr>
      </vt:variant>
      <vt:variant>
        <vt:lpwstr/>
      </vt:variant>
      <vt:variant>
        <vt:i4>4915271</vt:i4>
      </vt:variant>
      <vt:variant>
        <vt:i4>39</vt:i4>
      </vt:variant>
      <vt:variant>
        <vt:i4>0</vt:i4>
      </vt:variant>
      <vt:variant>
        <vt:i4>5</vt:i4>
      </vt:variant>
      <vt:variant>
        <vt:lpwstr>https://cpe.org.uk/our-news/how-prescriptions-for-unlicensed-specials-should-be-written/</vt:lpwstr>
      </vt:variant>
      <vt:variant>
        <vt:lpwstr/>
      </vt:variant>
      <vt:variant>
        <vt:i4>7929953</vt:i4>
      </vt:variant>
      <vt:variant>
        <vt:i4>36</vt:i4>
      </vt:variant>
      <vt:variant>
        <vt:i4>0</vt:i4>
      </vt:variant>
      <vt:variant>
        <vt:i4>5</vt:i4>
      </vt:variant>
      <vt:variant>
        <vt:lpwstr>https://www.nhsbsa.nhs.uk/pharmacies-gp-practices-and-appliance-contractors/serious-shortage-protocols-ssps</vt:lpwstr>
      </vt:variant>
      <vt:variant>
        <vt:lpwstr/>
      </vt:variant>
      <vt:variant>
        <vt:i4>1572959</vt:i4>
      </vt:variant>
      <vt:variant>
        <vt:i4>33</vt:i4>
      </vt:variant>
      <vt:variant>
        <vt:i4>0</vt:i4>
      </vt:variant>
      <vt:variant>
        <vt:i4>5</vt:i4>
      </vt:variant>
      <vt:variant>
        <vt:lpwstr>https://www.sps.nhs.uk/articles/find-pert-alternatives-and-equivalences/</vt:lpwstr>
      </vt:variant>
      <vt:variant>
        <vt:lpwstr/>
      </vt:variant>
      <vt:variant>
        <vt:i4>7929896</vt:i4>
      </vt:variant>
      <vt:variant>
        <vt:i4>30</vt:i4>
      </vt:variant>
      <vt:variant>
        <vt:i4>0</vt:i4>
      </vt:variant>
      <vt:variant>
        <vt:i4>5</vt:i4>
      </vt:variant>
      <vt:variant>
        <vt:lpwstr>https://www.pancreaticcancer.org.uk/news-and-blogs/information-about-the-supply-of-creon-25000/</vt:lpwstr>
      </vt:variant>
      <vt:variant>
        <vt:lpwstr/>
      </vt:variant>
      <vt:variant>
        <vt:i4>2031685</vt:i4>
      </vt:variant>
      <vt:variant>
        <vt:i4>27</vt:i4>
      </vt:variant>
      <vt:variant>
        <vt:i4>0</vt:i4>
      </vt:variant>
      <vt:variant>
        <vt:i4>5</vt:i4>
      </vt:variant>
      <vt:variant>
        <vt:lpwstr>https://www.cysticfibrosis.org.uk/what-is-cystic-fibrosis/cystic-fibrosis-care/treatments-and-medication/creon-supply-update</vt:lpwstr>
      </vt:variant>
      <vt:variant>
        <vt:lpwstr/>
      </vt:variant>
      <vt:variant>
        <vt:i4>8126515</vt:i4>
      </vt:variant>
      <vt:variant>
        <vt:i4>24</vt:i4>
      </vt:variant>
      <vt:variant>
        <vt:i4>0</vt:i4>
      </vt:variant>
      <vt:variant>
        <vt:i4>5</vt:i4>
      </vt:variant>
      <vt:variant>
        <vt:lpwstr>https://www.psgbi.org/position-statement-pert-shortage/</vt:lpwstr>
      </vt:variant>
      <vt:variant>
        <vt:lpwstr/>
      </vt:variant>
      <vt:variant>
        <vt:i4>1572959</vt:i4>
      </vt:variant>
      <vt:variant>
        <vt:i4>21</vt:i4>
      </vt:variant>
      <vt:variant>
        <vt:i4>0</vt:i4>
      </vt:variant>
      <vt:variant>
        <vt:i4>5</vt:i4>
      </vt:variant>
      <vt:variant>
        <vt:lpwstr>https://www.sps.nhs.uk/articles/find-pert-alternatives-and-equivalences/</vt:lpwstr>
      </vt:variant>
      <vt:variant>
        <vt:lpwstr/>
      </vt:variant>
      <vt:variant>
        <vt:i4>2228342</vt:i4>
      </vt:variant>
      <vt:variant>
        <vt:i4>18</vt:i4>
      </vt:variant>
      <vt:variant>
        <vt:i4>0</vt:i4>
      </vt:variant>
      <vt:variant>
        <vt:i4>5</vt:i4>
      </vt:variant>
      <vt:variant>
        <vt:lpwstr>https://www.sps.nhs.uk/articles/prescribing-and-ordering-available-pancreatic-enzyme-replacement-therapies/</vt:lpwstr>
      </vt:variant>
      <vt:variant>
        <vt:lpwstr/>
      </vt:variant>
      <vt:variant>
        <vt:i4>1048578</vt:i4>
      </vt:variant>
      <vt:variant>
        <vt:i4>15</vt:i4>
      </vt:variant>
      <vt:variant>
        <vt:i4>0</vt:i4>
      </vt:variant>
      <vt:variant>
        <vt:i4>5</vt:i4>
      </vt:variant>
      <vt:variant>
        <vt:lpwstr>https://www.sps.nhs.uk/shortages/shortage-of-creon-10000-and-25000-gastro-resistant-capsules/</vt:lpwstr>
      </vt:variant>
      <vt:variant>
        <vt:lpwstr/>
      </vt:variant>
      <vt:variant>
        <vt:i4>2490379</vt:i4>
      </vt:variant>
      <vt:variant>
        <vt:i4>12</vt:i4>
      </vt:variant>
      <vt:variant>
        <vt:i4>0</vt:i4>
      </vt:variant>
      <vt:variant>
        <vt:i4>5</vt:i4>
      </vt:variant>
      <vt:variant>
        <vt:lpwstr>https://www.cas.mhra.gov.uk/ViewandAcknowledgment/ViewAttachment.aspx?Attachment_id=104177</vt:lpwstr>
      </vt:variant>
      <vt:variant>
        <vt:lpwstr/>
      </vt:variant>
      <vt:variant>
        <vt:i4>1048578</vt:i4>
      </vt:variant>
      <vt:variant>
        <vt:i4>9</vt:i4>
      </vt:variant>
      <vt:variant>
        <vt:i4>0</vt:i4>
      </vt:variant>
      <vt:variant>
        <vt:i4>5</vt:i4>
      </vt:variant>
      <vt:variant>
        <vt:lpwstr>https://www.sps.nhs.uk/shortages/shortage-of-creon-10000-and-25000-gastro-resistant-capsules/</vt:lpwstr>
      </vt:variant>
      <vt:variant>
        <vt:lpwstr/>
      </vt:variant>
      <vt:variant>
        <vt:i4>2555908</vt:i4>
      </vt:variant>
      <vt:variant>
        <vt:i4>6</vt:i4>
      </vt:variant>
      <vt:variant>
        <vt:i4>0</vt:i4>
      </vt:variant>
      <vt:variant>
        <vt:i4>5</vt:i4>
      </vt:variant>
      <vt:variant>
        <vt:lpwstr>https://www.cas.mhra.gov.uk/ViewandAcknowledgment/ViewAttachment.aspx?Attachment_id=104186</vt:lpwstr>
      </vt:variant>
      <vt:variant>
        <vt:lpwstr/>
      </vt:variant>
      <vt:variant>
        <vt:i4>2490379</vt:i4>
      </vt:variant>
      <vt:variant>
        <vt:i4>3</vt:i4>
      </vt:variant>
      <vt:variant>
        <vt:i4>0</vt:i4>
      </vt:variant>
      <vt:variant>
        <vt:i4>5</vt:i4>
      </vt:variant>
      <vt:variant>
        <vt:lpwstr>https://www.cas.mhra.gov.uk/ViewandAcknowledgment/ViewAttachment.aspx?Attachment_id=104177</vt:lpwstr>
      </vt:variant>
      <vt:variant>
        <vt:lpwstr/>
      </vt:variant>
      <vt:variant>
        <vt:i4>7405617</vt:i4>
      </vt:variant>
      <vt:variant>
        <vt:i4>0</vt:i4>
      </vt:variant>
      <vt:variant>
        <vt:i4>0</vt:i4>
      </vt:variant>
      <vt:variant>
        <vt:i4>5</vt:i4>
      </vt:variant>
      <vt:variant>
        <vt:lpwstr>https://www.cas.mhra.gov.uk/ViewandAcknowledgment/ViewAlert.aspx?AlertID=103260</vt:lpwstr>
      </vt:variant>
      <vt:variant>
        <vt:lpwstr/>
      </vt:variant>
      <vt:variant>
        <vt:i4>8126515</vt:i4>
      </vt:variant>
      <vt:variant>
        <vt:i4>0</vt:i4>
      </vt:variant>
      <vt:variant>
        <vt:i4>0</vt:i4>
      </vt:variant>
      <vt:variant>
        <vt:i4>5</vt:i4>
      </vt:variant>
      <vt:variant>
        <vt:lpwstr>https://www.psgbi.org/position-statement-pert-shortage/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GOLDING, Stacey (NHS HERTFORDSHIRE AND WEST ESSEX ICB - 06K)</dc:creator>
  <cp:keywords/>
  <dc:description/>
  <cp:lastModifiedBy>UPPAL, Anushka (NHS HERTFORDSHIRE AND WEST ESSEX ICB - 06K)</cp:lastModifiedBy>
  <cp:revision>2</cp:revision>
  <dcterms:created xsi:type="dcterms:W3CDTF">2025-11-18T14:38:00Z</dcterms:created>
  <dcterms:modified xsi:type="dcterms:W3CDTF">2025-11-18T14:38:00Z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0x010100831AA938FE962A45A3E19DCBCF209F91</vt:lpwstr>
  </property>
</Properties>
</file>