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5420" w14:textId="77777777" w:rsidR="00F20CE5" w:rsidRDefault="00F20CE5" w:rsidP="00F20CE5">
      <w:pPr>
        <w:spacing w:after="0" w:line="240" w:lineRule="auto"/>
        <w:rPr>
          <w:noProof/>
          <w:lang w:eastAsia="en-GB"/>
        </w:rPr>
      </w:pPr>
    </w:p>
    <w:p w14:paraId="5644C3CE" w14:textId="1769ED0C" w:rsidR="006F4129" w:rsidRPr="000833DA" w:rsidRDefault="000833DA" w:rsidP="00F20CE5">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7D458867" w14:textId="43164720" w:rsidR="00D66CD8" w:rsidRDefault="002C6A92" w:rsidP="00D87EEB">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bookmarkStart w:id="0" w:name="_Hlk147501375"/>
      <w:r>
        <w:rPr>
          <w:rFonts w:ascii="Arial" w:eastAsia="Times New Roman" w:hAnsi="Arial" w:cs="Times New Roman"/>
          <w:b/>
          <w:szCs w:val="24"/>
          <w:lang w:val="en-US"/>
        </w:rPr>
        <w:t xml:space="preserve">Cinacalcet </w:t>
      </w:r>
      <w:r w:rsidR="008A62A3">
        <w:rPr>
          <w:rFonts w:ascii="Arial" w:eastAsia="Times New Roman" w:hAnsi="Arial" w:cs="Times New Roman"/>
          <w:b/>
          <w:szCs w:val="24"/>
          <w:lang w:val="en-US"/>
        </w:rPr>
        <w:t xml:space="preserve">for </w:t>
      </w:r>
      <w:r w:rsidR="00E3452A">
        <w:rPr>
          <w:rFonts w:ascii="Arial" w:eastAsia="Times New Roman" w:hAnsi="Arial" w:cs="Times New Roman"/>
          <w:b/>
          <w:szCs w:val="24"/>
          <w:lang w:val="en-US"/>
        </w:rPr>
        <w:t>U</w:t>
      </w:r>
      <w:r w:rsidR="00B1737A">
        <w:rPr>
          <w:rFonts w:ascii="Arial" w:eastAsia="Times New Roman" w:hAnsi="Arial" w:cs="Times New Roman"/>
          <w:b/>
          <w:szCs w:val="24"/>
          <w:lang w:val="en-US"/>
        </w:rPr>
        <w:t>se</w:t>
      </w:r>
      <w:r w:rsidR="00780FD6">
        <w:rPr>
          <w:rFonts w:ascii="Arial" w:eastAsia="Times New Roman" w:hAnsi="Arial" w:cs="Times New Roman"/>
          <w:b/>
          <w:szCs w:val="24"/>
          <w:lang w:val="en-US"/>
        </w:rPr>
        <w:t xml:space="preserve"> </w:t>
      </w:r>
      <w:r w:rsidR="008A62A3">
        <w:rPr>
          <w:rFonts w:ascii="Arial" w:eastAsia="Times New Roman" w:hAnsi="Arial" w:cs="Times New Roman"/>
          <w:b/>
          <w:szCs w:val="24"/>
          <w:lang w:val="en-US"/>
        </w:rPr>
        <w:t xml:space="preserve">in </w:t>
      </w:r>
      <w:r w:rsidR="00780FD6">
        <w:rPr>
          <w:rFonts w:ascii="Arial" w:eastAsia="Times New Roman" w:hAnsi="Arial" w:cs="Times New Roman"/>
          <w:b/>
          <w:szCs w:val="24"/>
          <w:lang w:val="en-US"/>
        </w:rPr>
        <w:t>Secondary Hyperparathyroidism</w:t>
      </w:r>
      <w:r w:rsidR="00B1737A">
        <w:rPr>
          <w:rFonts w:ascii="Arial" w:eastAsia="Times New Roman" w:hAnsi="Arial" w:cs="Times New Roman"/>
          <w:b/>
          <w:szCs w:val="24"/>
          <w:lang w:val="en-US"/>
        </w:rPr>
        <w:t xml:space="preserve"> in</w:t>
      </w:r>
      <w:r w:rsidR="00E3452A">
        <w:rPr>
          <w:rFonts w:ascii="Arial" w:eastAsia="Times New Roman" w:hAnsi="Arial" w:cs="Times New Roman"/>
          <w:b/>
          <w:szCs w:val="24"/>
          <w:lang w:val="en-US"/>
        </w:rPr>
        <w:t xml:space="preserve"> A</w:t>
      </w:r>
      <w:r w:rsidR="000C7F57">
        <w:rPr>
          <w:rFonts w:ascii="Arial" w:eastAsia="Times New Roman" w:hAnsi="Arial" w:cs="Times New Roman"/>
          <w:b/>
          <w:szCs w:val="24"/>
          <w:lang w:val="en-US"/>
        </w:rPr>
        <w:t>dults with</w:t>
      </w:r>
      <w:r w:rsidR="00B1737A">
        <w:rPr>
          <w:rFonts w:ascii="Arial" w:eastAsia="Times New Roman" w:hAnsi="Arial" w:cs="Times New Roman"/>
          <w:b/>
          <w:szCs w:val="24"/>
          <w:lang w:val="en-US"/>
        </w:rPr>
        <w:t xml:space="preserve"> </w:t>
      </w:r>
    </w:p>
    <w:p w14:paraId="4ADC2863" w14:textId="77777777" w:rsidR="00F20CE5" w:rsidRDefault="00D66CD8" w:rsidP="00D87EEB">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End Stage Kidney Disease (ESKD)</w:t>
      </w:r>
      <w:r w:rsidR="00E3452A">
        <w:rPr>
          <w:rFonts w:ascii="Arial" w:eastAsia="Times New Roman" w:hAnsi="Arial" w:cs="Times New Roman"/>
          <w:b/>
          <w:szCs w:val="24"/>
          <w:lang w:val="en-US"/>
        </w:rPr>
        <w:t xml:space="preserve"> Requiring R</w:t>
      </w:r>
      <w:r w:rsidRPr="00D66CD8">
        <w:rPr>
          <w:rFonts w:ascii="Arial" w:eastAsia="Times New Roman" w:hAnsi="Arial" w:cs="Times New Roman"/>
          <w:b/>
          <w:szCs w:val="24"/>
          <w:lang w:val="en-US"/>
        </w:rPr>
        <w:t xml:space="preserve">enal </w:t>
      </w:r>
      <w:r w:rsidR="00E3452A">
        <w:rPr>
          <w:rFonts w:ascii="Arial" w:eastAsia="Times New Roman" w:hAnsi="Arial" w:cs="Times New Roman"/>
          <w:b/>
          <w:szCs w:val="24"/>
          <w:lang w:val="en-US"/>
        </w:rPr>
        <w:t>Replacement T</w:t>
      </w:r>
      <w:r w:rsidRPr="00D66CD8">
        <w:rPr>
          <w:rFonts w:ascii="Arial" w:eastAsia="Times New Roman" w:hAnsi="Arial" w:cs="Times New Roman"/>
          <w:b/>
          <w:szCs w:val="24"/>
          <w:lang w:val="en-US"/>
        </w:rPr>
        <w:t>herapy</w:t>
      </w:r>
      <w:r w:rsidR="00406BF2">
        <w:rPr>
          <w:rFonts w:ascii="Arial" w:eastAsia="Times New Roman" w:hAnsi="Arial" w:cs="Times New Roman"/>
          <w:b/>
          <w:szCs w:val="24"/>
          <w:lang w:val="en-US"/>
        </w:rPr>
        <w:t>:</w:t>
      </w:r>
    </w:p>
    <w:p w14:paraId="253940DF" w14:textId="0A073371" w:rsidR="006F4129" w:rsidRPr="00F20CE5" w:rsidRDefault="00F85EC9" w:rsidP="00D87EEB">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F20CE5">
        <w:rPr>
          <w:rFonts w:ascii="Arial" w:eastAsia="Times New Roman" w:hAnsi="Arial" w:cs="Times New Roman"/>
          <w:b/>
          <w:szCs w:val="24"/>
          <w:lang w:val="en-US"/>
        </w:rPr>
        <w:t>Shared Care Protocol</w:t>
      </w:r>
      <w:r w:rsidR="00B1737A" w:rsidRPr="00F20CE5">
        <w:rPr>
          <w:rFonts w:ascii="Arial" w:eastAsia="Times New Roman" w:hAnsi="Arial" w:cs="Times New Roman"/>
          <w:b/>
          <w:szCs w:val="24"/>
          <w:lang w:val="en-US"/>
        </w:rPr>
        <w:t>: Guideline No</w:t>
      </w:r>
      <w:r w:rsidR="00D435E7" w:rsidRPr="00F20CE5">
        <w:rPr>
          <w:rFonts w:ascii="Arial" w:eastAsia="Times New Roman" w:hAnsi="Arial" w:cs="Times New Roman"/>
          <w:b/>
          <w:szCs w:val="24"/>
          <w:lang w:val="en-US"/>
        </w:rPr>
        <w:t xml:space="preserve"> </w:t>
      </w:r>
      <w:r w:rsidR="00BF0916" w:rsidRPr="00F20CE5">
        <w:rPr>
          <w:rFonts w:ascii="Arial" w:eastAsia="Times New Roman" w:hAnsi="Arial" w:cs="Times New Roman"/>
          <w:b/>
          <w:szCs w:val="24"/>
          <w:lang w:val="en-US"/>
        </w:rPr>
        <w:t>1</w:t>
      </w:r>
      <w:r w:rsidR="00B52682">
        <w:rPr>
          <w:rFonts w:ascii="Arial" w:eastAsia="Times New Roman" w:hAnsi="Arial" w:cs="Times New Roman"/>
          <w:b/>
          <w:szCs w:val="24"/>
          <w:lang w:val="en-US"/>
        </w:rPr>
        <w:t>5</w:t>
      </w:r>
      <w:r w:rsidR="00D435E7" w:rsidRPr="00F20CE5">
        <w:rPr>
          <w:rFonts w:ascii="Arial" w:eastAsia="Times New Roman" w:hAnsi="Arial" w:cs="Times New Roman"/>
          <w:b/>
          <w:szCs w:val="24"/>
          <w:lang w:val="en-US"/>
        </w:rPr>
        <w:t xml:space="preserve">; </w:t>
      </w:r>
      <w:r w:rsidR="00B1737A" w:rsidRPr="00F20CE5">
        <w:rPr>
          <w:rFonts w:ascii="Arial" w:eastAsia="Times New Roman" w:hAnsi="Arial" w:cs="Times New Roman"/>
          <w:b/>
          <w:szCs w:val="24"/>
          <w:lang w:val="en-US"/>
        </w:rPr>
        <w:t xml:space="preserve">Version </w:t>
      </w:r>
      <w:r w:rsidR="008A62A3" w:rsidRPr="00F20CE5">
        <w:rPr>
          <w:rFonts w:ascii="Arial" w:eastAsia="Times New Roman" w:hAnsi="Arial" w:cs="Times New Roman"/>
          <w:b/>
          <w:szCs w:val="24"/>
          <w:lang w:val="en-US"/>
        </w:rPr>
        <w:t>2</w:t>
      </w:r>
      <w:r w:rsidR="004E5B0B">
        <w:rPr>
          <w:rFonts w:ascii="Arial" w:eastAsia="Times New Roman" w:hAnsi="Arial" w:cs="Times New Roman"/>
          <w:b/>
          <w:szCs w:val="24"/>
          <w:lang w:val="en-US"/>
        </w:rPr>
        <w:t>.</w:t>
      </w:r>
      <w:r w:rsidR="00AB1A04">
        <w:rPr>
          <w:rFonts w:ascii="Arial" w:eastAsia="Times New Roman" w:hAnsi="Arial" w:cs="Times New Roman"/>
          <w:b/>
          <w:szCs w:val="24"/>
          <w:lang w:val="en-US"/>
        </w:rPr>
        <w:t>2</w:t>
      </w:r>
    </w:p>
    <w:bookmarkEnd w:id="0"/>
    <w:p w14:paraId="207A7E42" w14:textId="77777777" w:rsidR="006F4129" w:rsidRPr="002C6A92" w:rsidRDefault="006F4129" w:rsidP="006F4129">
      <w:pPr>
        <w:spacing w:after="0" w:line="240" w:lineRule="auto"/>
        <w:jc w:val="center"/>
        <w:rPr>
          <w:rFonts w:ascii="Arial" w:eastAsia="Times New Roman" w:hAnsi="Arial" w:cs="Times New Roman"/>
          <w:b/>
          <w:bCs/>
          <w:sz w:val="16"/>
          <w:szCs w:val="24"/>
          <w:u w:val="single"/>
        </w:rPr>
      </w:pPr>
    </w:p>
    <w:p w14:paraId="1B774835" w14:textId="77777777" w:rsidR="00AB1A04" w:rsidRDefault="00AB1A04" w:rsidP="00AB1A04">
      <w:pPr>
        <w:spacing w:after="0" w:line="240" w:lineRule="auto"/>
        <w:jc w:val="center"/>
        <w:rPr>
          <w:rFonts w:ascii="Arial" w:eastAsia="Times New Roman" w:hAnsi="Arial" w:cs="Times New Roman"/>
          <w:bCs/>
          <w:lang w:val="en-US" w:eastAsia="en-GB"/>
        </w:rPr>
      </w:pPr>
      <w:r w:rsidRPr="00552E47">
        <w:rPr>
          <w:rFonts w:ascii="Arial" w:eastAsia="Times New Roman" w:hAnsi="Arial" w:cs="Times New Roman"/>
          <w:bCs/>
          <w:lang w:val="en-US" w:eastAsia="en-GB"/>
        </w:rPr>
        <w:t xml:space="preserve">This </w:t>
      </w:r>
      <w:r>
        <w:rPr>
          <w:rFonts w:ascii="Arial" w:eastAsia="Times New Roman" w:hAnsi="Arial" w:cs="Times New Roman"/>
          <w:bCs/>
          <w:lang w:val="en-US" w:eastAsia="en-GB"/>
        </w:rPr>
        <w:t>r</w:t>
      </w:r>
      <w:r w:rsidRPr="00552E47">
        <w:rPr>
          <w:rFonts w:ascii="Arial" w:eastAsia="Times New Roman" w:hAnsi="Arial" w:cs="Times New Roman"/>
          <w:bCs/>
          <w:lang w:val="en-US" w:eastAsia="en-GB"/>
        </w:rPr>
        <w:t xml:space="preserve">equest to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provides </w:t>
      </w:r>
      <w:r>
        <w:rPr>
          <w:rFonts w:ascii="Arial" w:eastAsia="Times New Roman" w:hAnsi="Arial" w:cs="Times New Roman"/>
          <w:bCs/>
          <w:lang w:val="en-US" w:eastAsia="en-GB"/>
        </w:rPr>
        <w:t>k</w:t>
      </w:r>
      <w:r w:rsidRPr="00552E47">
        <w:rPr>
          <w:rFonts w:ascii="Arial" w:eastAsia="Times New Roman" w:hAnsi="Arial" w:cs="Times New Roman"/>
          <w:bCs/>
          <w:lang w:val="en-US" w:eastAsia="en-GB"/>
        </w:rPr>
        <w:t xml:space="preserve">ey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rimary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i</w:t>
      </w:r>
      <w:r w:rsidRPr="00552E47">
        <w:rPr>
          <w:rFonts w:ascii="Arial" w:eastAsia="Times New Roman" w:hAnsi="Arial" w:cs="Times New Roman"/>
          <w:bCs/>
          <w:lang w:val="en-US" w:eastAsia="en-GB"/>
        </w:rPr>
        <w:t xml:space="preserve">nformation on responsibilities and monitoring. The aim is to support the GP to agree to share care arrangements. Refer to </w:t>
      </w:r>
      <w:r>
        <w:rPr>
          <w:rFonts w:ascii="Arial" w:eastAsia="Times New Roman" w:hAnsi="Arial" w:cs="Times New Roman"/>
          <w:bCs/>
          <w:lang w:val="en-US" w:eastAsia="en-GB"/>
        </w:rPr>
        <w:t>f</w:t>
      </w:r>
      <w:r w:rsidRPr="00552E47">
        <w:rPr>
          <w:rFonts w:ascii="Arial" w:eastAsia="Times New Roman" w:hAnsi="Arial" w:cs="Times New Roman"/>
          <w:bCs/>
          <w:lang w:val="en-US" w:eastAsia="en-GB"/>
        </w:rPr>
        <w:t xml:space="preserve">ull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hared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rotocol for </w:t>
      </w:r>
      <w:r>
        <w:rPr>
          <w:rFonts w:ascii="Arial" w:eastAsia="Times New Roman" w:hAnsi="Arial" w:cs="Times New Roman"/>
          <w:bCs/>
          <w:lang w:val="en-US" w:eastAsia="en-GB"/>
        </w:rPr>
        <w:t>further information.</w:t>
      </w:r>
    </w:p>
    <w:p w14:paraId="4A19EA1A" w14:textId="77777777" w:rsidR="00AB1A04" w:rsidRDefault="00AB1A04" w:rsidP="00AB1A04">
      <w:pPr>
        <w:spacing w:after="0" w:line="240" w:lineRule="auto"/>
        <w:jc w:val="center"/>
        <w:rPr>
          <w:rFonts w:ascii="Arial" w:eastAsia="Times New Roman" w:hAnsi="Arial" w:cs="Arial"/>
          <w:b/>
          <w:lang w:val="en-US"/>
        </w:rPr>
      </w:pPr>
      <w:r>
        <w:rPr>
          <w:rFonts w:ascii="Arial" w:eastAsia="Times New Roman" w:hAnsi="Arial" w:cs="Times New Roman"/>
          <w:bCs/>
          <w:lang w:val="en-US" w:eastAsia="en-GB"/>
        </w:rPr>
        <w:t xml:space="preserve"> </w:t>
      </w:r>
      <w:r w:rsidRPr="00144CBA">
        <w:rPr>
          <w:rFonts w:ascii="Arial" w:hAnsi="Arial" w:cs="Arial"/>
          <w:b/>
          <w:color w:val="000000"/>
          <w:lang w:eastAsia="en-GB"/>
        </w:rPr>
        <w:t>GP to review and must respond to provider Trust request to share care within 2 weeks</w:t>
      </w:r>
      <w:r w:rsidRPr="00552E47">
        <w:rPr>
          <w:rFonts w:ascii="Arial" w:hAnsi="Arial" w:cs="Arial"/>
          <w:bCs/>
          <w:color w:val="000000"/>
          <w:lang w:eastAsia="en-GB"/>
        </w:rPr>
        <w:t>.</w:t>
      </w:r>
      <w:r w:rsidRPr="00552E47">
        <w:rPr>
          <w:rFonts w:ascii="Arial" w:eastAsia="Times New Roman" w:hAnsi="Arial" w:cs="Arial"/>
          <w:bCs/>
          <w:lang w:val="en-US"/>
        </w:rPr>
        <w:t xml:space="preserve"> </w:t>
      </w:r>
      <w:r w:rsidRPr="00B25DFC">
        <w:rPr>
          <w:rFonts w:ascii="Arial" w:eastAsia="Times New Roman" w:hAnsi="Arial" w:cs="Arial"/>
          <w:b/>
          <w:lang w:val="en-US"/>
        </w:rPr>
        <w:t>This form is used to</w:t>
      </w:r>
      <w:r>
        <w:rPr>
          <w:rFonts w:ascii="Arial" w:eastAsia="Times New Roman" w:hAnsi="Arial" w:cs="Arial"/>
          <w:b/>
          <w:lang w:val="en-US"/>
        </w:rPr>
        <w:t xml:space="preserve"> </w:t>
      </w:r>
      <w:r w:rsidRPr="00B25DFC">
        <w:rPr>
          <w:rFonts w:ascii="Arial" w:eastAsia="Times New Roman" w:hAnsi="Arial" w:cs="Arial"/>
          <w:b/>
          <w:lang w:val="en-US"/>
        </w:rPr>
        <w:t xml:space="preserve">agree shared care between the specialist, patient and GP </w:t>
      </w:r>
      <w:r>
        <w:rPr>
          <w:rFonts w:ascii="Arial" w:eastAsia="Times New Roman" w:hAnsi="Arial" w:cs="Arial"/>
          <w:b/>
          <w:lang w:val="en-US"/>
        </w:rPr>
        <w:t xml:space="preserve">and a copy of the form to be retained in </w:t>
      </w:r>
      <w:proofErr w:type="gramStart"/>
      <w:r>
        <w:rPr>
          <w:rFonts w:ascii="Arial" w:eastAsia="Times New Roman" w:hAnsi="Arial" w:cs="Arial"/>
          <w:b/>
          <w:lang w:val="en-US"/>
        </w:rPr>
        <w:t>1.Patients</w:t>
      </w:r>
      <w:proofErr w:type="gramEnd"/>
      <w:r>
        <w:rPr>
          <w:rFonts w:ascii="Arial" w:eastAsia="Times New Roman" w:hAnsi="Arial" w:cs="Arial"/>
          <w:b/>
          <w:lang w:val="en-US"/>
        </w:rPr>
        <w:t>’ hospital records, 2. Given to patient, and 3. Retained in GP notes.</w:t>
      </w:r>
    </w:p>
    <w:tbl>
      <w:tblPr>
        <w:tblStyle w:val="TableGrid3"/>
        <w:tblpPr w:leftFromText="180" w:rightFromText="180" w:vertAnchor="text" w:horzAnchor="page" w:tblpX="253" w:tblpY="110"/>
        <w:tblOverlap w:val="never"/>
        <w:tblW w:w="11410" w:type="dxa"/>
        <w:tblLayout w:type="fixed"/>
        <w:tblLook w:val="04A0" w:firstRow="1" w:lastRow="0" w:firstColumn="1" w:lastColumn="0" w:noHBand="0" w:noVBand="1"/>
      </w:tblPr>
      <w:tblGrid>
        <w:gridCol w:w="2852"/>
        <w:gridCol w:w="1963"/>
        <w:gridCol w:w="3827"/>
        <w:gridCol w:w="2768"/>
      </w:tblGrid>
      <w:tr w:rsidR="00AB1A04" w:rsidRPr="002A2513" w14:paraId="7F9C22BC" w14:textId="77777777" w:rsidTr="00983B1D">
        <w:trPr>
          <w:trHeight w:val="247"/>
        </w:trPr>
        <w:tc>
          <w:tcPr>
            <w:tcW w:w="4815" w:type="dxa"/>
            <w:gridSpan w:val="2"/>
            <w:tcBorders>
              <w:right w:val="single" w:sz="4" w:space="0" w:color="auto"/>
            </w:tcBorders>
            <w:noWrap/>
          </w:tcPr>
          <w:p w14:paraId="5F36C0E8" w14:textId="77777777" w:rsidR="00AB1A04" w:rsidRPr="00B168C1" w:rsidRDefault="00AB1A04" w:rsidP="00983B1D">
            <w:pPr>
              <w:jc w:val="center"/>
              <w:rPr>
                <w:rFonts w:ascii="Arial" w:hAnsi="Arial" w:cs="Arial"/>
                <w:b/>
                <w:bCs/>
              </w:rPr>
            </w:pPr>
            <w:r w:rsidRPr="00B25DFC">
              <w:rPr>
                <w:rFonts w:ascii="Arial" w:hAnsi="Arial" w:cs="Arial"/>
                <w:b/>
                <w:bCs/>
              </w:rPr>
              <w:t>Patient Information or Addressograph</w:t>
            </w:r>
            <w:r>
              <w:rPr>
                <w:rFonts w:ascii="Arial" w:hAnsi="Arial" w:cs="Arial"/>
                <w:b/>
                <w:bCs/>
              </w:rPr>
              <w:t xml:space="preserve"> label</w:t>
            </w:r>
          </w:p>
        </w:tc>
        <w:tc>
          <w:tcPr>
            <w:tcW w:w="6595" w:type="dxa"/>
            <w:gridSpan w:val="2"/>
            <w:tcBorders>
              <w:right w:val="single" w:sz="4" w:space="0" w:color="auto"/>
            </w:tcBorders>
          </w:tcPr>
          <w:p w14:paraId="52937FD6" w14:textId="77777777" w:rsidR="00AB1A04" w:rsidRPr="00131AEC" w:rsidRDefault="00AB1A04" w:rsidP="00983B1D">
            <w:pPr>
              <w:jc w:val="center"/>
              <w:rPr>
                <w:rFonts w:ascii="Arial" w:hAnsi="Arial" w:cs="Arial"/>
                <w:b/>
                <w:bCs/>
                <w:sz w:val="18"/>
                <w:szCs w:val="18"/>
              </w:rPr>
            </w:pPr>
            <w:r w:rsidRPr="00131AEC">
              <w:rPr>
                <w:rFonts w:ascii="Arial" w:hAnsi="Arial" w:cs="Arial"/>
                <w:b/>
                <w:bCs/>
              </w:rPr>
              <w:t>Drug information</w:t>
            </w:r>
          </w:p>
        </w:tc>
      </w:tr>
      <w:tr w:rsidR="00AB1A04" w:rsidRPr="002A2513" w14:paraId="70917EFB" w14:textId="77777777" w:rsidTr="00983B1D">
        <w:trPr>
          <w:trHeight w:val="510"/>
        </w:trPr>
        <w:tc>
          <w:tcPr>
            <w:tcW w:w="2852" w:type="dxa"/>
            <w:noWrap/>
            <w:hideMark/>
          </w:tcPr>
          <w:p w14:paraId="23ED7904" w14:textId="77777777" w:rsidR="00AB1A04" w:rsidRPr="00B654C0" w:rsidRDefault="00AB1A04" w:rsidP="00983B1D">
            <w:pPr>
              <w:rPr>
                <w:rFonts w:ascii="Arial" w:hAnsi="Arial" w:cs="Arial"/>
              </w:rPr>
            </w:pPr>
            <w:r w:rsidRPr="00B654C0">
              <w:rPr>
                <w:rFonts w:ascii="Arial" w:hAnsi="Arial" w:cs="Arial"/>
                <w:lang w:val="en-US"/>
              </w:rPr>
              <w:t>Patient name</w:t>
            </w:r>
            <w:r>
              <w:rPr>
                <w:rFonts w:ascii="Arial" w:hAnsi="Arial" w:cs="Arial"/>
                <w:lang w:val="en-US"/>
              </w:rPr>
              <w:t>:</w:t>
            </w:r>
          </w:p>
        </w:tc>
        <w:tc>
          <w:tcPr>
            <w:tcW w:w="1963" w:type="dxa"/>
            <w:tcBorders>
              <w:right w:val="single" w:sz="4" w:space="0" w:color="auto"/>
            </w:tcBorders>
            <w:noWrap/>
            <w:hideMark/>
          </w:tcPr>
          <w:p w14:paraId="68484586" w14:textId="77777777" w:rsidR="00AB1A04" w:rsidRPr="002A2513" w:rsidRDefault="00AB1A04"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bookmarkStart w:id="1" w:name="Text7"/>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2A2513">
              <w:rPr>
                <w:rFonts w:ascii="Arial" w:hAnsi="Arial" w:cs="Arial"/>
                <w:sz w:val="18"/>
                <w:szCs w:val="18"/>
              </w:rPr>
              <w:fldChar w:fldCharType="end"/>
            </w:r>
            <w:bookmarkEnd w:id="1"/>
          </w:p>
        </w:tc>
        <w:tc>
          <w:tcPr>
            <w:tcW w:w="3827" w:type="dxa"/>
            <w:tcBorders>
              <w:right w:val="single" w:sz="4" w:space="0" w:color="auto"/>
            </w:tcBorders>
          </w:tcPr>
          <w:p w14:paraId="37A012ED" w14:textId="77777777" w:rsidR="00AB1A04" w:rsidRPr="00B654C0" w:rsidRDefault="00AB1A04"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Drug(s) and Dose at handover: </w:t>
            </w:r>
          </w:p>
        </w:tc>
        <w:tc>
          <w:tcPr>
            <w:tcW w:w="2768" w:type="dxa"/>
            <w:tcBorders>
              <w:right w:val="single" w:sz="4" w:space="0" w:color="auto"/>
            </w:tcBorders>
          </w:tcPr>
          <w:p w14:paraId="1302E17F" w14:textId="77777777" w:rsidR="00AB1A04" w:rsidRPr="002A2513" w:rsidRDefault="00AB1A04"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AB1A04" w:rsidRPr="002A2513" w14:paraId="4D92719A" w14:textId="77777777" w:rsidTr="00983B1D">
        <w:trPr>
          <w:trHeight w:val="261"/>
        </w:trPr>
        <w:tc>
          <w:tcPr>
            <w:tcW w:w="2852" w:type="dxa"/>
            <w:noWrap/>
            <w:hideMark/>
          </w:tcPr>
          <w:p w14:paraId="18C145B8" w14:textId="77777777" w:rsidR="00AB1A04" w:rsidRPr="00B654C0" w:rsidRDefault="00AB1A04" w:rsidP="00983B1D">
            <w:pPr>
              <w:rPr>
                <w:rFonts w:ascii="Arial" w:hAnsi="Arial" w:cs="Arial"/>
              </w:rPr>
            </w:pPr>
            <w:r w:rsidRPr="00B654C0">
              <w:rPr>
                <w:rFonts w:ascii="Arial" w:hAnsi="Arial" w:cs="Arial"/>
                <w:lang w:val="en-US"/>
              </w:rPr>
              <w:t>DOB</w:t>
            </w:r>
            <w:r>
              <w:rPr>
                <w:rFonts w:ascii="Arial" w:hAnsi="Arial" w:cs="Arial"/>
                <w:lang w:val="en-US"/>
              </w:rPr>
              <w:t>:</w:t>
            </w:r>
          </w:p>
        </w:tc>
        <w:tc>
          <w:tcPr>
            <w:tcW w:w="1963" w:type="dxa"/>
            <w:tcBorders>
              <w:right w:val="single" w:sz="4" w:space="0" w:color="auto"/>
            </w:tcBorders>
            <w:noWrap/>
            <w:hideMark/>
          </w:tcPr>
          <w:p w14:paraId="499C51ED" w14:textId="77777777" w:rsidR="00AB1A04" w:rsidRPr="002A2513" w:rsidRDefault="00AB1A04"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0CFFBFC7" w14:textId="77777777" w:rsidR="00AB1A04" w:rsidRPr="00B654C0" w:rsidRDefault="00AB1A04"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 xml:space="preserve">Indication: </w:t>
            </w:r>
          </w:p>
        </w:tc>
        <w:tc>
          <w:tcPr>
            <w:tcW w:w="2768" w:type="dxa"/>
            <w:tcBorders>
              <w:right w:val="single" w:sz="4" w:space="0" w:color="auto"/>
            </w:tcBorders>
          </w:tcPr>
          <w:p w14:paraId="4A6CDE21" w14:textId="77777777" w:rsidR="00AB1A04" w:rsidRPr="002A2513" w:rsidRDefault="00AB1A04"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AB1A04" w:rsidRPr="002A2513" w14:paraId="126C3D8E" w14:textId="77777777" w:rsidTr="00983B1D">
        <w:trPr>
          <w:trHeight w:val="247"/>
        </w:trPr>
        <w:tc>
          <w:tcPr>
            <w:tcW w:w="2852" w:type="dxa"/>
            <w:noWrap/>
            <w:hideMark/>
          </w:tcPr>
          <w:p w14:paraId="061D0414" w14:textId="77777777" w:rsidR="00AB1A04" w:rsidRPr="00B654C0" w:rsidRDefault="00AB1A04" w:rsidP="00983B1D">
            <w:pPr>
              <w:rPr>
                <w:rFonts w:ascii="Arial" w:hAnsi="Arial" w:cs="Arial"/>
              </w:rPr>
            </w:pPr>
            <w:r w:rsidRPr="00B654C0">
              <w:rPr>
                <w:rFonts w:ascii="Arial" w:hAnsi="Arial" w:cs="Arial"/>
                <w:lang w:val="en-US"/>
              </w:rPr>
              <w:t>NHS number</w:t>
            </w:r>
            <w:r>
              <w:rPr>
                <w:rFonts w:ascii="Arial" w:hAnsi="Arial" w:cs="Arial"/>
                <w:lang w:val="en-US"/>
              </w:rPr>
              <w:t>:</w:t>
            </w:r>
          </w:p>
        </w:tc>
        <w:tc>
          <w:tcPr>
            <w:tcW w:w="1963" w:type="dxa"/>
            <w:tcBorders>
              <w:right w:val="single" w:sz="4" w:space="0" w:color="auto"/>
            </w:tcBorders>
            <w:noWrap/>
            <w:hideMark/>
          </w:tcPr>
          <w:p w14:paraId="223232A8" w14:textId="77777777" w:rsidR="00AB1A04" w:rsidRPr="002A2513" w:rsidRDefault="00AB1A04"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7ACE2421" w14:textId="77777777" w:rsidR="00AB1A04" w:rsidRPr="00B654C0" w:rsidRDefault="00AB1A04"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Estimated date for prescribing to be continued by the GP: </w:t>
            </w:r>
          </w:p>
        </w:tc>
        <w:tc>
          <w:tcPr>
            <w:tcW w:w="2768" w:type="dxa"/>
            <w:tcBorders>
              <w:right w:val="single" w:sz="4" w:space="0" w:color="auto"/>
            </w:tcBorders>
          </w:tcPr>
          <w:p w14:paraId="514D02AB" w14:textId="77777777" w:rsidR="00AB1A04" w:rsidRPr="002A2513" w:rsidRDefault="00AB1A04"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AB1A04" w:rsidRPr="002A2513" w14:paraId="5C062BC5" w14:textId="77777777" w:rsidTr="00983B1D">
        <w:trPr>
          <w:trHeight w:val="50"/>
        </w:trPr>
        <w:tc>
          <w:tcPr>
            <w:tcW w:w="2852" w:type="dxa"/>
            <w:noWrap/>
          </w:tcPr>
          <w:p w14:paraId="5D82257C" w14:textId="77777777" w:rsidR="00AB1A04" w:rsidRPr="00B654C0" w:rsidRDefault="00AB1A04"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Patient weight (kg):</w:t>
            </w:r>
          </w:p>
        </w:tc>
        <w:tc>
          <w:tcPr>
            <w:tcW w:w="1963" w:type="dxa"/>
            <w:tcBorders>
              <w:right w:val="single" w:sz="4" w:space="0" w:color="auto"/>
            </w:tcBorders>
            <w:noWrap/>
          </w:tcPr>
          <w:p w14:paraId="64E4E906" w14:textId="77777777" w:rsidR="00AB1A04" w:rsidRPr="00B654C0" w:rsidRDefault="00AB1A04" w:rsidP="00983B1D">
            <w:pPr>
              <w:rPr>
                <w:rFonts w:ascii="Arial" w:eastAsia="Times New Roman" w:hAnsi="Arial" w:cs="Arial"/>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c>
          <w:tcPr>
            <w:tcW w:w="3827" w:type="dxa"/>
            <w:tcBorders>
              <w:right w:val="single" w:sz="4" w:space="0" w:color="auto"/>
            </w:tcBorders>
          </w:tcPr>
          <w:p w14:paraId="3CCC895C" w14:textId="77777777" w:rsidR="00AB1A04" w:rsidRPr="00B654C0" w:rsidRDefault="00AB1A04" w:rsidP="00983B1D">
            <w:pPr>
              <w:rPr>
                <w:rFonts w:ascii="Arial" w:hAnsi="Arial" w:cs="Arial"/>
                <w:sz w:val="18"/>
                <w:szCs w:val="18"/>
              </w:rPr>
            </w:pPr>
            <w:r w:rsidRPr="00B168C1">
              <w:rPr>
                <w:rFonts w:ascii="Arial" w:eastAsia="Times New Roman" w:hAnsi="Arial" w:cs="Arial"/>
                <w:lang w:val="en-US"/>
              </w:rPr>
              <w:t>Date of first prescription by specialist</w:t>
            </w:r>
          </w:p>
        </w:tc>
        <w:tc>
          <w:tcPr>
            <w:tcW w:w="2768" w:type="dxa"/>
            <w:tcBorders>
              <w:right w:val="single" w:sz="4" w:space="0" w:color="auto"/>
            </w:tcBorders>
          </w:tcPr>
          <w:p w14:paraId="0DBE63C5" w14:textId="77777777" w:rsidR="00AB1A04" w:rsidRPr="00B654C0" w:rsidRDefault="00AB1A04"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AB1A04" w:rsidRPr="002A2513" w14:paraId="58E7E842" w14:textId="77777777" w:rsidTr="00983B1D">
        <w:trPr>
          <w:trHeight w:val="50"/>
        </w:trPr>
        <w:tc>
          <w:tcPr>
            <w:tcW w:w="4815" w:type="dxa"/>
            <w:gridSpan w:val="2"/>
            <w:tcBorders>
              <w:right w:val="single" w:sz="4" w:space="0" w:color="auto"/>
            </w:tcBorders>
            <w:noWrap/>
          </w:tcPr>
          <w:p w14:paraId="73CA0F09" w14:textId="77777777" w:rsidR="00AB1A04" w:rsidRPr="00B168C1" w:rsidRDefault="00AB1A04" w:rsidP="00983B1D">
            <w:pPr>
              <w:rPr>
                <w:rFonts w:ascii="Arial" w:eastAsia="Times New Roman" w:hAnsi="Arial" w:cs="Arial"/>
              </w:rPr>
            </w:pPr>
            <w:r w:rsidRPr="00B654C0">
              <w:rPr>
                <w:rFonts w:ascii="Arial" w:eastAsia="Times New Roman" w:hAnsi="Arial" w:cs="Arial"/>
                <w:lang w:val="en-US"/>
              </w:rPr>
              <w:t xml:space="preserve">Next monitoring tests due and dates: </w:t>
            </w:r>
          </w:p>
        </w:tc>
        <w:tc>
          <w:tcPr>
            <w:tcW w:w="6595" w:type="dxa"/>
            <w:gridSpan w:val="2"/>
            <w:tcBorders>
              <w:right w:val="single" w:sz="4" w:space="0" w:color="auto"/>
            </w:tcBorders>
          </w:tcPr>
          <w:p w14:paraId="29AFD0BF" w14:textId="77777777" w:rsidR="00AB1A04" w:rsidRPr="002A2513" w:rsidRDefault="00AB1A04"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AB1A04" w:rsidRPr="002A2513" w14:paraId="018EE085" w14:textId="77777777" w:rsidTr="00983B1D">
        <w:trPr>
          <w:trHeight w:val="418"/>
        </w:trPr>
        <w:tc>
          <w:tcPr>
            <w:tcW w:w="4815" w:type="dxa"/>
            <w:gridSpan w:val="2"/>
            <w:tcBorders>
              <w:right w:val="single" w:sz="4" w:space="0" w:color="auto"/>
            </w:tcBorders>
            <w:noWrap/>
          </w:tcPr>
          <w:p w14:paraId="53C600A5" w14:textId="77777777" w:rsidR="00AB1A04" w:rsidRPr="00B168C1" w:rsidRDefault="00AB1A04" w:rsidP="00983B1D">
            <w:pPr>
              <w:rPr>
                <w:rFonts w:ascii="Arial" w:eastAsia="Times New Roman" w:hAnsi="Arial" w:cs="Arial"/>
              </w:rPr>
            </w:pPr>
            <w:r w:rsidRPr="00B654C0">
              <w:rPr>
                <w:rFonts w:ascii="Arial" w:eastAsia="Times New Roman" w:hAnsi="Arial" w:cs="Arial"/>
                <w:lang w:val="en-US"/>
              </w:rPr>
              <w:t>Specialist additional comments/advice:</w:t>
            </w:r>
          </w:p>
        </w:tc>
        <w:tc>
          <w:tcPr>
            <w:tcW w:w="6595" w:type="dxa"/>
            <w:gridSpan w:val="2"/>
            <w:tcBorders>
              <w:right w:val="single" w:sz="4" w:space="0" w:color="auto"/>
            </w:tcBorders>
          </w:tcPr>
          <w:p w14:paraId="6E139D85" w14:textId="77777777" w:rsidR="00AB1A04" w:rsidRPr="002A2513" w:rsidRDefault="00AB1A04" w:rsidP="00983B1D">
            <w:pPr>
              <w:rPr>
                <w:rFonts w:ascii="Arial" w:hAnsi="Arial" w:cs="Arial"/>
                <w:sz w:val="18"/>
                <w:szCs w:val="18"/>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bl>
    <w:p w14:paraId="614802B1" w14:textId="77777777" w:rsidR="00AB1A04" w:rsidRPr="00B25DFC" w:rsidRDefault="00AB1A04" w:rsidP="00AB1A04">
      <w:pPr>
        <w:spacing w:after="0" w:line="240" w:lineRule="auto"/>
        <w:rPr>
          <w:rFonts w:ascii="Arial" w:eastAsia="Times New Roman" w:hAnsi="Arial" w:cs="Arial"/>
          <w:b/>
          <w:lang w:val="en-US"/>
        </w:rPr>
      </w:pPr>
    </w:p>
    <w:tbl>
      <w:tblPr>
        <w:tblStyle w:val="TableGrid"/>
        <w:tblW w:w="11374" w:type="dxa"/>
        <w:tblInd w:w="-431" w:type="dxa"/>
        <w:tblLook w:val="04A0" w:firstRow="1" w:lastRow="0" w:firstColumn="1" w:lastColumn="0" w:noHBand="0" w:noVBand="1"/>
      </w:tblPr>
      <w:tblGrid>
        <w:gridCol w:w="5375"/>
        <w:gridCol w:w="270"/>
        <w:gridCol w:w="5729"/>
      </w:tblGrid>
      <w:tr w:rsidR="00AB1A04" w14:paraId="6EB7C3D6" w14:textId="77777777" w:rsidTr="00983B1D">
        <w:trPr>
          <w:trHeight w:val="672"/>
        </w:trPr>
        <w:tc>
          <w:tcPr>
            <w:tcW w:w="11374" w:type="dxa"/>
            <w:gridSpan w:val="3"/>
          </w:tcPr>
          <w:p w14:paraId="229C18DF" w14:textId="77777777" w:rsidR="00AB1A04" w:rsidRPr="00131AEC" w:rsidRDefault="00AB1A04" w:rsidP="00983B1D">
            <w:pPr>
              <w:rPr>
                <w:rFonts w:ascii="Arial" w:hAnsi="Arial" w:cs="Arial"/>
                <w:b/>
                <w:color w:val="000000"/>
                <w:u w:val="single"/>
                <w:lang w:eastAsia="en-GB"/>
              </w:rPr>
            </w:pPr>
            <w:r w:rsidRPr="00131AEC">
              <w:rPr>
                <w:rFonts w:ascii="Arial" w:hAnsi="Arial" w:cs="Arial"/>
                <w:b/>
                <w:color w:val="000000"/>
                <w:u w:val="single"/>
                <w:lang w:eastAsia="en-GB"/>
              </w:rPr>
              <w:t>Specialist and patient agreement</w:t>
            </w:r>
          </w:p>
          <w:p w14:paraId="5972D669" w14:textId="77777777" w:rsidR="00AB1A04" w:rsidRPr="000E0E99" w:rsidRDefault="00AB1A04" w:rsidP="00983B1D">
            <w:pPr>
              <w:rPr>
                <w:rFonts w:ascii="Arial" w:hAnsi="Arial" w:cs="Arial"/>
                <w:b/>
                <w:color w:val="000000"/>
                <w:lang w:eastAsia="en-GB"/>
              </w:rPr>
            </w:pPr>
            <w:r w:rsidRPr="000E0E99">
              <w:rPr>
                <w:rFonts w:ascii="Arial" w:hAnsi="Arial" w:cs="Arial"/>
                <w:b/>
                <w:color w:val="000000"/>
                <w:lang w:eastAsia="en-GB"/>
              </w:rPr>
              <w:t xml:space="preserve">By signing </w:t>
            </w:r>
            <w:proofErr w:type="gramStart"/>
            <w:r w:rsidRPr="000E0E99">
              <w:rPr>
                <w:rFonts w:ascii="Arial" w:hAnsi="Arial" w:cs="Arial"/>
                <w:b/>
                <w:color w:val="000000"/>
                <w:lang w:eastAsia="en-GB"/>
              </w:rPr>
              <w:t>below</w:t>
            </w:r>
            <w:proofErr w:type="gramEnd"/>
            <w:r w:rsidRPr="000E0E99">
              <w:rPr>
                <w:rFonts w:ascii="Arial" w:hAnsi="Arial" w:cs="Arial"/>
                <w:b/>
                <w:color w:val="000000"/>
                <w:lang w:eastAsia="en-GB"/>
              </w:rPr>
              <w:t xml:space="preserve"> we accept:</w:t>
            </w:r>
          </w:p>
          <w:p w14:paraId="25986B37" w14:textId="77777777" w:rsidR="00AB1A04" w:rsidRPr="00B42EA4" w:rsidRDefault="00AB1A04" w:rsidP="00AB1A04">
            <w:pPr>
              <w:numPr>
                <w:ilvl w:val="0"/>
                <w:numId w:val="2"/>
              </w:numPr>
              <w:spacing w:after="120"/>
              <w:jc w:val="both"/>
              <w:outlineLvl w:val="0"/>
              <w:rPr>
                <w:rFonts w:ascii="Arial" w:eastAsia="Times New Roman" w:hAnsi="Arial" w:cs="Arial"/>
                <w:lang w:val="en-US"/>
              </w:rPr>
            </w:pPr>
            <w:r>
              <w:rPr>
                <w:rFonts w:ascii="Arial" w:eastAsia="Times New Roman" w:hAnsi="Arial" w:cs="Arial"/>
                <w:lang w:val="en-US"/>
              </w:rPr>
              <w:t>T</w:t>
            </w:r>
            <w:r w:rsidRPr="00B42EA4">
              <w:rPr>
                <w:rFonts w:ascii="Arial" w:eastAsia="Times New Roman" w:hAnsi="Arial" w:cs="Arial"/>
                <w:lang w:val="en-US"/>
              </w:rPr>
              <w:t xml:space="preserve">he </w:t>
            </w:r>
            <w:r w:rsidRPr="00BD2343">
              <w:rPr>
                <w:rFonts w:ascii="Arial" w:eastAsia="Times New Roman" w:hAnsi="Arial" w:cs="Arial"/>
                <w:lang w:val="en-US"/>
              </w:rPr>
              <w:t xml:space="preserve">Herts and West Essex Area Prescribing Committee </w:t>
            </w:r>
            <w:hyperlink r:id="rId8" w:history="1">
              <w:r w:rsidRPr="00BD2343">
                <w:rPr>
                  <w:rStyle w:val="Hyperlink"/>
                  <w:rFonts w:ascii="Arial" w:eastAsia="Times New Roman" w:hAnsi="Arial" w:cs="Arial"/>
                  <w:lang w:val="en-US"/>
                </w:rPr>
                <w:t>shared care principles</w:t>
              </w:r>
            </w:hyperlink>
            <w:r w:rsidRPr="00BD2343">
              <w:rPr>
                <w:rFonts w:ascii="Arial" w:eastAsia="Times New Roman" w:hAnsi="Arial" w:cs="Arial"/>
                <w:lang w:val="en-US"/>
              </w:rPr>
              <w:t xml:space="preserve"> (HWE APC) and</w:t>
            </w:r>
          </w:p>
          <w:p w14:paraId="6355D420" w14:textId="77777777" w:rsidR="00AB1A04" w:rsidRPr="00131AEC" w:rsidRDefault="00AB1A04" w:rsidP="00AB1A04">
            <w:pPr>
              <w:numPr>
                <w:ilvl w:val="0"/>
                <w:numId w:val="2"/>
              </w:numPr>
              <w:spacing w:after="120"/>
              <w:jc w:val="both"/>
              <w:outlineLvl w:val="0"/>
              <w:rPr>
                <w:rFonts w:ascii="Arial" w:eastAsia="Times New Roman" w:hAnsi="Arial" w:cs="Arial"/>
                <w:b/>
                <w:lang w:val="en-US"/>
              </w:rPr>
            </w:pPr>
            <w:r>
              <w:rPr>
                <w:rFonts w:ascii="Arial" w:eastAsia="Times New Roman" w:hAnsi="Arial" w:cs="Arial"/>
                <w:lang w:val="en-US"/>
              </w:rPr>
              <w:t>T</w:t>
            </w:r>
            <w:r w:rsidRPr="00B42EA4">
              <w:rPr>
                <w:rFonts w:ascii="Arial" w:eastAsia="Times New Roman" w:hAnsi="Arial" w:cs="Arial"/>
                <w:lang w:val="en-US"/>
              </w:rPr>
              <w:t>he requirements and responsibilities defined in this drug specific shared care protocol</w:t>
            </w:r>
          </w:p>
        </w:tc>
      </w:tr>
      <w:tr w:rsidR="00AB1A04" w14:paraId="46318A0A" w14:textId="77777777" w:rsidTr="00983B1D">
        <w:trPr>
          <w:trHeight w:val="461"/>
        </w:trPr>
        <w:tc>
          <w:tcPr>
            <w:tcW w:w="5375" w:type="dxa"/>
          </w:tcPr>
          <w:p w14:paraId="1AE0DE62" w14:textId="77777777" w:rsidR="00AB1A04" w:rsidRPr="00B654C0" w:rsidRDefault="00AB1A04" w:rsidP="00983B1D">
            <w:pPr>
              <w:rPr>
                <w:rFonts w:ascii="Arial" w:hAnsi="Arial" w:cs="Arial"/>
                <w:bCs/>
                <w:color w:val="000000"/>
                <w:lang w:eastAsia="en-GB"/>
              </w:rPr>
            </w:pPr>
            <w:r w:rsidRPr="00B654C0">
              <w:rPr>
                <w:rFonts w:ascii="Arial" w:hAnsi="Arial" w:cs="Arial"/>
                <w:bCs/>
                <w:color w:val="000000"/>
                <w:lang w:eastAsia="en-GB"/>
              </w:rPr>
              <w:t>Specialist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3FC00FF9" w14:textId="77777777" w:rsidR="00AB1A04" w:rsidRPr="00B654C0" w:rsidRDefault="00AB1A04" w:rsidP="00983B1D">
            <w:pPr>
              <w:rPr>
                <w:rFonts w:ascii="Arial" w:hAnsi="Arial" w:cs="Arial"/>
                <w:bCs/>
                <w:color w:val="000000"/>
                <w:lang w:eastAsia="en-GB"/>
              </w:rPr>
            </w:pPr>
            <w:r w:rsidRPr="00B654C0">
              <w:rPr>
                <w:rFonts w:ascii="Arial" w:hAnsi="Arial" w:cs="Arial"/>
                <w:bCs/>
                <w:color w:val="000000"/>
                <w:lang w:eastAsia="en-GB"/>
              </w:rPr>
              <w:t xml:space="preserve">Specialist signature: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AB1A04" w14:paraId="5E1029F9" w14:textId="77777777" w:rsidTr="00983B1D">
        <w:trPr>
          <w:trHeight w:val="461"/>
        </w:trPr>
        <w:tc>
          <w:tcPr>
            <w:tcW w:w="5375" w:type="dxa"/>
          </w:tcPr>
          <w:p w14:paraId="75897F84" w14:textId="77777777" w:rsidR="00AB1A04" w:rsidRPr="00B654C0" w:rsidRDefault="00AB1A04" w:rsidP="00983B1D">
            <w:pPr>
              <w:rPr>
                <w:rFonts w:ascii="Arial" w:hAnsi="Arial" w:cs="Arial"/>
                <w:bCs/>
                <w:color w:val="000000"/>
                <w:lang w:eastAsia="en-GB"/>
              </w:rPr>
            </w:pPr>
            <w:r w:rsidRPr="00B654C0">
              <w:rPr>
                <w:rFonts w:ascii="Arial" w:hAnsi="Arial" w:cs="Arial"/>
                <w:bCs/>
                <w:color w:val="000000"/>
                <w:lang w:eastAsia="en-GB"/>
              </w:rPr>
              <w:t>Designation:</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36EDDBA5" w14:textId="77777777" w:rsidR="00AB1A04" w:rsidRPr="00B654C0" w:rsidRDefault="00AB1A04"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AB1A04" w14:paraId="0F203CFA" w14:textId="77777777" w:rsidTr="00983B1D">
        <w:trPr>
          <w:trHeight w:val="360"/>
        </w:trPr>
        <w:tc>
          <w:tcPr>
            <w:tcW w:w="5375" w:type="dxa"/>
          </w:tcPr>
          <w:p w14:paraId="2D2717EA" w14:textId="77777777" w:rsidR="00AB1A04" w:rsidRPr="00B654C0" w:rsidRDefault="00AB1A04" w:rsidP="00983B1D">
            <w:pPr>
              <w:rPr>
                <w:rFonts w:ascii="Arial" w:hAnsi="Arial" w:cs="Arial"/>
                <w:bCs/>
                <w:color w:val="000000"/>
                <w:lang w:eastAsia="en-GB"/>
              </w:rPr>
            </w:pPr>
            <w:r w:rsidRPr="00B654C0">
              <w:rPr>
                <w:rFonts w:ascii="Arial" w:hAnsi="Arial" w:cs="Arial"/>
                <w:bCs/>
                <w:color w:val="000000"/>
                <w:lang w:eastAsia="en-GB"/>
              </w:rPr>
              <w:t xml:space="preserve">Direct telephone: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val="restart"/>
          </w:tcPr>
          <w:p w14:paraId="4FCD3968" w14:textId="77777777" w:rsidR="00AB1A04" w:rsidRPr="00B654C0" w:rsidRDefault="00AB1A04" w:rsidP="00983B1D">
            <w:pPr>
              <w:rPr>
                <w:rFonts w:ascii="Arial" w:hAnsi="Arial" w:cs="Arial"/>
                <w:bCs/>
                <w:color w:val="000000"/>
                <w:lang w:eastAsia="en-GB"/>
              </w:rPr>
            </w:pPr>
            <w:r w:rsidRPr="00B654C0">
              <w:rPr>
                <w:rFonts w:ascii="Arial" w:hAnsi="Arial" w:cs="Arial"/>
                <w:bCs/>
                <w:color w:val="000000"/>
                <w:lang w:eastAsia="en-GB"/>
              </w:rPr>
              <w:t>Patient signature</w:t>
            </w:r>
            <w:r w:rsidRPr="00B654C0">
              <w:rPr>
                <w:rFonts w:ascii="Arial" w:hAnsi="Arial" w:cs="Arial"/>
                <w:bCs/>
              </w:rPr>
              <w:t xml:space="preserve"> or specialist confirmation of patient agreement to shared care arrangement</w:t>
            </w:r>
            <w:r w:rsidRPr="00B654C0">
              <w:rPr>
                <w:rFonts w:ascii="Arial" w:hAnsi="Arial" w:cs="Arial"/>
                <w:bCs/>
                <w:color w:val="000000"/>
                <w:lang w:eastAsia="en-GB"/>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AB1A04" w14:paraId="1158FC9C" w14:textId="77777777" w:rsidTr="00983B1D">
        <w:trPr>
          <w:trHeight w:val="360"/>
        </w:trPr>
        <w:tc>
          <w:tcPr>
            <w:tcW w:w="5375" w:type="dxa"/>
          </w:tcPr>
          <w:p w14:paraId="62CFEF67" w14:textId="77777777" w:rsidR="00AB1A04" w:rsidRPr="00B654C0" w:rsidRDefault="00AB1A04" w:rsidP="00983B1D">
            <w:pPr>
              <w:contextualSpacing/>
              <w:rPr>
                <w:rFonts w:ascii="Arial" w:eastAsia="Times New Roman" w:hAnsi="Arial" w:cs="Arial"/>
                <w:bCs/>
                <w:lang w:val="en-US"/>
              </w:rPr>
            </w:pPr>
            <w:r w:rsidRPr="00B654C0">
              <w:rPr>
                <w:rFonts w:ascii="Arial" w:eastAsia="Times New Roman" w:hAnsi="Arial" w:cs="Arial"/>
                <w:bCs/>
                <w:lang w:val="en-US"/>
              </w:rPr>
              <w:t xml:space="preserve">Provider trust: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tcPr>
          <w:p w14:paraId="5E201F2D" w14:textId="77777777" w:rsidR="00AB1A04" w:rsidRPr="00B654C0" w:rsidRDefault="00AB1A04" w:rsidP="00983B1D">
            <w:pPr>
              <w:rPr>
                <w:rFonts w:ascii="Arial" w:hAnsi="Arial" w:cs="Arial"/>
                <w:bCs/>
                <w:color w:val="000000"/>
                <w:lang w:eastAsia="en-GB"/>
              </w:rPr>
            </w:pPr>
          </w:p>
        </w:tc>
      </w:tr>
      <w:tr w:rsidR="00AB1A04" w14:paraId="3FAABDF9" w14:textId="77777777" w:rsidTr="00983B1D">
        <w:trPr>
          <w:trHeight w:val="461"/>
        </w:trPr>
        <w:tc>
          <w:tcPr>
            <w:tcW w:w="5375" w:type="dxa"/>
          </w:tcPr>
          <w:p w14:paraId="1DDF986F" w14:textId="77777777" w:rsidR="00AB1A04" w:rsidRPr="00B654C0" w:rsidRDefault="00AB1A04" w:rsidP="00983B1D">
            <w:pPr>
              <w:rPr>
                <w:rFonts w:ascii="Arial" w:hAnsi="Arial" w:cs="Arial"/>
                <w:bCs/>
                <w:color w:val="000000"/>
                <w:lang w:eastAsia="en-GB"/>
              </w:rPr>
            </w:pPr>
            <w:r w:rsidRPr="00B654C0">
              <w:rPr>
                <w:rFonts w:ascii="Arial" w:hAnsi="Arial" w:cs="Arial"/>
                <w:bCs/>
                <w:color w:val="000000"/>
                <w:lang w:eastAsia="en-GB"/>
              </w:rPr>
              <w:t xml:space="preserve">Email/ Shared care email for use by GP: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25E790CD" w14:textId="77777777" w:rsidR="00AB1A04" w:rsidRPr="00B654C0" w:rsidRDefault="00AB1A04"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AB1A04" w14:paraId="595A3612" w14:textId="77777777" w:rsidTr="00983B1D">
        <w:trPr>
          <w:trHeight w:val="147"/>
        </w:trPr>
        <w:tc>
          <w:tcPr>
            <w:tcW w:w="11374" w:type="dxa"/>
            <w:gridSpan w:val="3"/>
          </w:tcPr>
          <w:p w14:paraId="1446C776" w14:textId="77777777" w:rsidR="00AB1A04" w:rsidRDefault="00AB1A04" w:rsidP="00983B1D">
            <w:pPr>
              <w:contextualSpacing/>
              <w:jc w:val="both"/>
              <w:rPr>
                <w:rFonts w:ascii="Arial" w:hAnsi="Arial" w:cs="Arial"/>
                <w:b/>
                <w:u w:val="single"/>
              </w:rPr>
            </w:pPr>
            <w:r w:rsidRPr="000E0E99">
              <w:rPr>
                <w:rFonts w:ascii="Arial" w:hAnsi="Arial" w:cs="Arial"/>
                <w:b/>
                <w:u w:val="single"/>
              </w:rPr>
              <w:t>GP response to shared care</w:t>
            </w:r>
          </w:p>
          <w:p w14:paraId="7A5EB0B6" w14:textId="77777777" w:rsidR="00AB1A04" w:rsidRPr="00B654C0" w:rsidRDefault="00AB1A04" w:rsidP="00983B1D">
            <w:pPr>
              <w:contextualSpacing/>
              <w:jc w:val="both"/>
              <w:rPr>
                <w:rFonts w:ascii="Arial" w:hAnsi="Arial" w:cs="Arial"/>
                <w:b/>
                <w:u w:val="single"/>
              </w:rPr>
            </w:pPr>
          </w:p>
          <w:p w14:paraId="1DAE34D3" w14:textId="77777777" w:rsidR="00AB1A04" w:rsidRPr="000E0E99" w:rsidRDefault="00AB1A04" w:rsidP="00983B1D">
            <w:pPr>
              <w:contextualSpacing/>
              <w:rPr>
                <w:rFonts w:ascii="Arial" w:hAnsi="Arial" w:cs="Arial"/>
                <w:b/>
              </w:rPr>
            </w:pPr>
            <w:r w:rsidRPr="000E0E99">
              <w:rPr>
                <w:rFonts w:ascii="Arial" w:hAnsi="Arial" w:cs="Arial"/>
                <w:b/>
              </w:rPr>
              <w:t xml:space="preserve">Please return to specialist </w:t>
            </w:r>
            <w:r w:rsidRPr="000E0E99">
              <w:rPr>
                <w:rFonts w:ascii="Arial" w:hAnsi="Arial" w:cs="Arial"/>
                <w:b/>
                <w:u w:val="single"/>
              </w:rPr>
              <w:t>within two weeks</w:t>
            </w:r>
            <w:r w:rsidRPr="000E0E99">
              <w:rPr>
                <w:rFonts w:ascii="Arial" w:hAnsi="Arial" w:cs="Arial"/>
                <w:b/>
              </w:rPr>
              <w:t xml:space="preserve"> of receipt of request to share care.</w:t>
            </w:r>
          </w:p>
          <w:p w14:paraId="3F2D3C1F" w14:textId="77777777" w:rsidR="00AB1A04" w:rsidRPr="00B654C0" w:rsidRDefault="00AB1A04" w:rsidP="00983B1D">
            <w:pPr>
              <w:spacing w:after="120"/>
              <w:contextualSpacing/>
              <w:rPr>
                <w:rFonts w:ascii="Arial" w:hAnsi="Arial" w:cs="Times New Roman"/>
                <w:b/>
                <w:i/>
              </w:rPr>
            </w:pPr>
            <w:r w:rsidRPr="000E0E99">
              <w:rPr>
                <w:rFonts w:ascii="Arial" w:hAnsi="Arial"/>
                <w:b/>
                <w:i/>
              </w:rPr>
              <w:t>This form is to be completed by the GP who is requested to share care.</w:t>
            </w:r>
          </w:p>
          <w:p w14:paraId="45685750" w14:textId="77777777" w:rsidR="00AB1A04" w:rsidRPr="000E0E99" w:rsidRDefault="00AB1A04" w:rsidP="00983B1D">
            <w:pPr>
              <w:contextualSpacing/>
              <w:rPr>
                <w:rFonts w:ascii="Arial" w:hAnsi="Arial" w:cs="Arial"/>
              </w:rPr>
            </w:pPr>
            <w:r w:rsidRPr="000E0E99">
              <w:rPr>
                <w:rFonts w:ascii="Arial" w:hAnsi="Arial" w:cs="Arial"/>
              </w:rPr>
              <w:t xml:space="preserve">I agree to accept shared care for this patient as set out in this shared care protocol and APC </w:t>
            </w:r>
            <w:hyperlink r:id="rId9" w:history="1">
              <w:r w:rsidRPr="00BD2343">
                <w:rPr>
                  <w:rStyle w:val="Hyperlink"/>
                  <w:rFonts w:ascii="Arial" w:hAnsi="Arial" w:cs="Arial"/>
                </w:rPr>
                <w:t>shared care</w:t>
              </w:r>
            </w:hyperlink>
            <w:r w:rsidRPr="00BD2343">
              <w:rPr>
                <w:rFonts w:ascii="Arial" w:hAnsi="Arial" w:cs="Arial"/>
              </w:rPr>
              <w:t xml:space="preserve"> </w:t>
            </w:r>
            <w:r w:rsidRPr="000E0E99">
              <w:rPr>
                <w:rFonts w:ascii="Arial" w:hAnsi="Arial" w:cs="Arial"/>
              </w:rPr>
              <w:t>principles</w:t>
            </w:r>
            <w:r>
              <w:rPr>
                <w:rFonts w:ascii="Arial" w:hAnsi="Arial" w:cs="Arial"/>
              </w:rPr>
              <w:t xml:space="preserve"> </w:t>
            </w:r>
            <w:r w:rsidRPr="000E0E99">
              <w:rPr>
                <w:rFonts w:ascii="Arial" w:hAnsi="Arial" w:cs="Arial"/>
                <w:color w:val="FF0000"/>
              </w:rPr>
              <w:t xml:space="preserve">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4EEA8109" w14:textId="77777777" w:rsidR="00AB1A04" w:rsidRPr="000E0E99" w:rsidRDefault="00AB1A04" w:rsidP="00983B1D">
            <w:pPr>
              <w:spacing w:after="120"/>
              <w:contextualSpacing/>
              <w:rPr>
                <w:rFonts w:ascii="Arial" w:hAnsi="Arial" w:cs="Arial"/>
              </w:rPr>
            </w:pPr>
            <w:r w:rsidRPr="000E0E99">
              <w:rPr>
                <w:rFonts w:ascii="Arial" w:hAnsi="Arial" w:cs="Arial"/>
              </w:rPr>
              <w:t xml:space="preserve">I do not accept shared care for this patient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15652278" w14:textId="77777777" w:rsidR="00AB1A04" w:rsidRPr="009E68B2" w:rsidRDefault="00AB1A04" w:rsidP="00983B1D">
            <w:pPr>
              <w:contextualSpacing/>
              <w:rPr>
                <w:rFonts w:ascii="Arial" w:hAnsi="Arial" w:cs="Arial"/>
                <w:b/>
              </w:rPr>
            </w:pPr>
            <w:bookmarkStart w:id="2" w:name="_Hlk196998877"/>
            <w:r w:rsidRPr="000E0E99">
              <w:rPr>
                <w:rFonts w:ascii="Arial" w:hAnsi="Arial" w:cs="Arial"/>
              </w:rPr>
              <w:t>My reason(s) for not prescribing are given below</w:t>
            </w:r>
            <w:r>
              <w:rPr>
                <w:rFonts w:ascii="Arial" w:hAnsi="Arial" w:cs="Arial"/>
              </w:rPr>
              <w:t xml:space="preserve"> (refer to GP considerations for shared care at end of protocol)</w:t>
            </w:r>
            <w:r w:rsidRPr="000E0E99">
              <w:rPr>
                <w:rFonts w:ascii="Arial" w:hAnsi="Arial" w:cs="Arial"/>
              </w:rPr>
              <w:t>:</w:t>
            </w:r>
            <w:r w:rsidRPr="00D56106">
              <w:rPr>
                <w:rFonts w:ascii="Arial" w:hAnsi="Arial" w:cs="Arial"/>
                <w:b/>
              </w:rPr>
              <w:t xml:space="preserve"> </w:t>
            </w: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bookmarkEnd w:id="2"/>
          <w:p w14:paraId="63E81428" w14:textId="77777777" w:rsidR="00AB1A04" w:rsidRPr="000E0E99" w:rsidRDefault="00AB1A04" w:rsidP="00983B1D">
            <w:pPr>
              <w:contextualSpacing/>
              <w:rPr>
                <w:rFonts w:ascii="Arial" w:hAnsi="Arial" w:cs="Arial"/>
              </w:rPr>
            </w:pPr>
          </w:p>
        </w:tc>
      </w:tr>
      <w:tr w:rsidR="00AB1A04" w14:paraId="593040D2" w14:textId="77777777" w:rsidTr="00983B1D">
        <w:trPr>
          <w:trHeight w:val="462"/>
        </w:trPr>
        <w:tc>
          <w:tcPr>
            <w:tcW w:w="5645" w:type="dxa"/>
            <w:gridSpan w:val="2"/>
          </w:tcPr>
          <w:p w14:paraId="74D92DD2" w14:textId="77777777" w:rsidR="00AB1A04" w:rsidRPr="00B654C0" w:rsidRDefault="00AB1A04" w:rsidP="00983B1D">
            <w:pPr>
              <w:contextualSpacing/>
              <w:rPr>
                <w:rFonts w:ascii="Arial" w:hAnsi="Arial" w:cs="Arial"/>
                <w:bCs/>
              </w:rPr>
            </w:pPr>
            <w:r w:rsidRPr="00B654C0">
              <w:rPr>
                <w:rFonts w:ascii="Arial" w:hAnsi="Arial" w:cs="Arial"/>
                <w:bCs/>
              </w:rPr>
              <w:t>GP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val="restart"/>
          </w:tcPr>
          <w:p w14:paraId="4ABFD6F6" w14:textId="77777777" w:rsidR="00AB1A04" w:rsidRDefault="00AB1A04" w:rsidP="00983B1D">
            <w:pPr>
              <w:contextualSpacing/>
              <w:jc w:val="both"/>
              <w:rPr>
                <w:rFonts w:ascii="Arial" w:hAnsi="Arial" w:cs="Arial"/>
                <w:bCs/>
                <w:u w:val="single"/>
              </w:rPr>
            </w:pPr>
            <w:r w:rsidRPr="00B654C0">
              <w:rPr>
                <w:rFonts w:ascii="Arial" w:hAnsi="Arial" w:cs="Arial"/>
                <w:bCs/>
                <w:u w:val="single"/>
              </w:rPr>
              <w:t xml:space="preserve">Practice Address/Stamp: </w:t>
            </w:r>
          </w:p>
          <w:p w14:paraId="3CA67701" w14:textId="77777777" w:rsidR="00AB1A04" w:rsidRPr="00B654C0" w:rsidRDefault="00AB1A04" w:rsidP="00983B1D">
            <w:pPr>
              <w:contextualSpacing/>
              <w:jc w:val="both"/>
              <w:rPr>
                <w:rFonts w:ascii="Arial" w:hAnsi="Arial" w:cs="Arial"/>
                <w:bCs/>
                <w:sz w:val="24"/>
                <w:szCs w:val="24"/>
                <w:u w:val="single"/>
              </w:rPr>
            </w:pP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AB1A04" w14:paraId="759682D2" w14:textId="77777777" w:rsidTr="00983B1D">
        <w:trPr>
          <w:trHeight w:val="462"/>
        </w:trPr>
        <w:tc>
          <w:tcPr>
            <w:tcW w:w="5645" w:type="dxa"/>
            <w:gridSpan w:val="2"/>
          </w:tcPr>
          <w:p w14:paraId="2B33A1DD" w14:textId="77777777" w:rsidR="00AB1A04" w:rsidRPr="00B654C0" w:rsidRDefault="00AB1A04" w:rsidP="00983B1D">
            <w:pPr>
              <w:contextualSpacing/>
              <w:rPr>
                <w:rFonts w:ascii="Arial" w:hAnsi="Arial" w:cs="Arial"/>
                <w:bCs/>
              </w:rPr>
            </w:pPr>
            <w:r w:rsidRPr="00B654C0">
              <w:rPr>
                <w:rFonts w:ascii="Arial" w:hAnsi="Arial" w:cs="Arial"/>
                <w:bCs/>
              </w:rPr>
              <w:t>Direct telephone number:</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76D57280" w14:textId="77777777" w:rsidR="00AB1A04" w:rsidRPr="00B654C0" w:rsidRDefault="00AB1A04" w:rsidP="00983B1D">
            <w:pPr>
              <w:contextualSpacing/>
              <w:jc w:val="both"/>
              <w:rPr>
                <w:rFonts w:ascii="Arial" w:hAnsi="Arial" w:cs="Arial"/>
                <w:bCs/>
                <w:sz w:val="24"/>
                <w:szCs w:val="24"/>
                <w:u w:val="single"/>
              </w:rPr>
            </w:pPr>
          </w:p>
        </w:tc>
      </w:tr>
      <w:tr w:rsidR="00AB1A04" w14:paraId="4104A5AB" w14:textId="77777777" w:rsidTr="00983B1D">
        <w:trPr>
          <w:trHeight w:val="462"/>
        </w:trPr>
        <w:tc>
          <w:tcPr>
            <w:tcW w:w="5645" w:type="dxa"/>
            <w:gridSpan w:val="2"/>
          </w:tcPr>
          <w:p w14:paraId="2A25A8E7" w14:textId="77777777" w:rsidR="00AB1A04" w:rsidRPr="00B654C0" w:rsidRDefault="00AB1A04" w:rsidP="00983B1D">
            <w:pPr>
              <w:contextualSpacing/>
              <w:rPr>
                <w:rFonts w:ascii="Arial" w:hAnsi="Arial" w:cs="Arial"/>
                <w:bCs/>
              </w:rPr>
            </w:pPr>
            <w:r w:rsidRPr="00B654C0">
              <w:rPr>
                <w:rFonts w:ascii="Arial" w:hAnsi="Arial" w:cs="Arial"/>
                <w:bCs/>
              </w:rPr>
              <w:t>Email:</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01CD6E14" w14:textId="77777777" w:rsidR="00AB1A04" w:rsidRPr="00B654C0" w:rsidRDefault="00AB1A04" w:rsidP="00983B1D">
            <w:pPr>
              <w:contextualSpacing/>
              <w:jc w:val="both"/>
              <w:rPr>
                <w:rFonts w:ascii="Arial" w:hAnsi="Arial" w:cs="Arial"/>
                <w:bCs/>
                <w:sz w:val="24"/>
                <w:szCs w:val="24"/>
                <w:u w:val="single"/>
              </w:rPr>
            </w:pPr>
          </w:p>
        </w:tc>
      </w:tr>
      <w:tr w:rsidR="00AB1A04" w14:paraId="37EC974C" w14:textId="77777777" w:rsidTr="00983B1D">
        <w:trPr>
          <w:trHeight w:val="462"/>
        </w:trPr>
        <w:tc>
          <w:tcPr>
            <w:tcW w:w="5645" w:type="dxa"/>
            <w:gridSpan w:val="2"/>
          </w:tcPr>
          <w:p w14:paraId="6A5477FF" w14:textId="77777777" w:rsidR="00AB1A04" w:rsidRPr="00B654C0" w:rsidRDefault="00AB1A04" w:rsidP="00983B1D">
            <w:pPr>
              <w:contextualSpacing/>
              <w:rPr>
                <w:rFonts w:ascii="Arial" w:hAnsi="Arial" w:cs="Arial"/>
                <w:bCs/>
              </w:rPr>
            </w:pPr>
            <w:r w:rsidRPr="00B654C0">
              <w:rPr>
                <w:rFonts w:ascii="Arial" w:hAnsi="Arial" w:cs="Arial"/>
                <w:bCs/>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tcPr>
          <w:p w14:paraId="458C718A" w14:textId="77777777" w:rsidR="00AB1A04" w:rsidRPr="00B654C0" w:rsidRDefault="00AB1A04" w:rsidP="00983B1D">
            <w:pPr>
              <w:contextualSpacing/>
              <w:rPr>
                <w:rFonts w:ascii="Arial" w:hAnsi="Arial" w:cs="Arial"/>
                <w:bCs/>
              </w:rPr>
            </w:pPr>
            <w:r w:rsidRPr="00B654C0">
              <w:rPr>
                <w:rFonts w:ascii="Arial" w:hAnsi="Arial" w:cs="Arial"/>
                <w:bCs/>
              </w:rPr>
              <w:t>GP Signature</w:t>
            </w:r>
            <w:r>
              <w:rPr>
                <w:rFonts w:ascii="Arial" w:hAnsi="Arial" w:cs="Arial"/>
                <w:bCs/>
              </w:rPr>
              <w:t>:</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bl>
    <w:p w14:paraId="0AEDB273" w14:textId="65F80E14" w:rsidR="00E60DF5" w:rsidRPr="000C7F57" w:rsidRDefault="00E60DF5"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10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E60DF5" w:rsidRPr="00E60DF5" w14:paraId="61541AAC" w14:textId="77777777" w:rsidTr="002752C8">
        <w:trPr>
          <w:trHeight w:val="632"/>
        </w:trPr>
        <w:tc>
          <w:tcPr>
            <w:tcW w:w="11056" w:type="dxa"/>
            <w:shd w:val="clear" w:color="auto" w:fill="auto"/>
          </w:tcPr>
          <w:p w14:paraId="444D51DD" w14:textId="073F3D65"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10E9613C" w14:textId="798C3DB2" w:rsidR="00780FD6" w:rsidRPr="00D33599" w:rsidRDefault="00E60DF5" w:rsidP="00D33599">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60753E05" w14:textId="7265175E" w:rsidR="00E60DF5" w:rsidRPr="000C7F57" w:rsidRDefault="00E60DF5" w:rsidP="008876D9">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Consider request to shared care arrangements and prompt completion and emailed return of signed response to the </w:t>
            </w:r>
            <w:r w:rsidR="007964E3">
              <w:rPr>
                <w:rFonts w:ascii="Arial" w:eastAsia="Times New Roman" w:hAnsi="Arial" w:cs="Arial"/>
                <w:bCs/>
                <w:lang w:eastAsia="en-GB"/>
              </w:rPr>
              <w:t>S</w:t>
            </w:r>
            <w:r w:rsidRPr="000C7F57">
              <w:rPr>
                <w:rFonts w:ascii="Arial" w:eastAsia="Times New Roman" w:hAnsi="Arial" w:cs="Arial"/>
                <w:bCs/>
                <w:lang w:eastAsia="en-GB"/>
              </w:rPr>
              <w:t>pecialist using the Shared Care Agreement Form within 14 days of its receipt.</w:t>
            </w:r>
          </w:p>
          <w:p w14:paraId="18E3C265" w14:textId="77777777" w:rsidR="006E466A" w:rsidRDefault="00E60DF5" w:rsidP="004318C1">
            <w:pPr>
              <w:pStyle w:val="ListParagraph"/>
              <w:numPr>
                <w:ilvl w:val="0"/>
                <w:numId w:val="7"/>
              </w:numPr>
              <w:spacing w:after="0" w:line="240" w:lineRule="auto"/>
              <w:rPr>
                <w:rFonts w:ascii="Arial" w:eastAsia="Times New Roman" w:hAnsi="Arial" w:cs="Arial"/>
                <w:bCs/>
                <w:lang w:eastAsia="en-GB"/>
              </w:rPr>
            </w:pPr>
            <w:r w:rsidRPr="006E466A">
              <w:rPr>
                <w:rFonts w:ascii="Arial" w:eastAsia="Times New Roman" w:hAnsi="Arial" w:cs="Arial"/>
                <w:bCs/>
                <w:lang w:eastAsia="en-GB"/>
              </w:rPr>
              <w:t>If shared car</w:t>
            </w:r>
            <w:r w:rsidR="002C6A92" w:rsidRPr="006E466A">
              <w:rPr>
                <w:rFonts w:ascii="Arial" w:eastAsia="Times New Roman" w:hAnsi="Arial" w:cs="Arial"/>
                <w:bCs/>
                <w:lang w:eastAsia="en-GB"/>
              </w:rPr>
              <w:t xml:space="preserve">e accepted prescribe </w:t>
            </w:r>
            <w:r w:rsidR="00BE7632" w:rsidRPr="006E466A">
              <w:rPr>
                <w:rFonts w:ascii="Arial" w:eastAsia="Times New Roman" w:hAnsi="Arial" w:cs="Arial"/>
                <w:bCs/>
                <w:lang w:eastAsia="en-GB"/>
              </w:rPr>
              <w:t>c</w:t>
            </w:r>
            <w:r w:rsidR="00780FD6" w:rsidRPr="006E466A">
              <w:rPr>
                <w:rFonts w:ascii="Arial" w:eastAsia="Times New Roman" w:hAnsi="Arial" w:cs="Arial"/>
                <w:bCs/>
                <w:lang w:eastAsia="en-GB"/>
              </w:rPr>
              <w:t>inacalcet</w:t>
            </w:r>
            <w:r w:rsidRPr="006E466A">
              <w:rPr>
                <w:rFonts w:ascii="Arial" w:eastAsia="Times New Roman" w:hAnsi="Arial" w:cs="Arial"/>
                <w:bCs/>
                <w:lang w:eastAsia="en-GB"/>
              </w:rPr>
              <w:t xml:space="preserve"> once patient is clinically stable in line with protocol. </w:t>
            </w:r>
            <w:r w:rsidR="006E466A" w:rsidRPr="006E466A">
              <w:rPr>
                <w:rFonts w:ascii="Arial" w:eastAsia="Times New Roman" w:hAnsi="Arial" w:cs="Arial"/>
                <w:bCs/>
                <w:lang w:eastAsia="en-GB"/>
              </w:rPr>
              <w:t>This is usually within 8-12weeks after initiation of therapy.</w:t>
            </w:r>
          </w:p>
          <w:p w14:paraId="7C7E263B" w14:textId="5D5ECCCD" w:rsidR="00D33599" w:rsidRPr="006E466A" w:rsidRDefault="00D33599" w:rsidP="004318C1">
            <w:pPr>
              <w:pStyle w:val="ListParagraph"/>
              <w:numPr>
                <w:ilvl w:val="0"/>
                <w:numId w:val="7"/>
              </w:numPr>
              <w:spacing w:after="0" w:line="240" w:lineRule="auto"/>
              <w:rPr>
                <w:rFonts w:ascii="Arial" w:eastAsia="Times New Roman" w:hAnsi="Arial" w:cs="Arial"/>
                <w:bCs/>
                <w:lang w:eastAsia="en-GB"/>
              </w:rPr>
            </w:pPr>
            <w:r w:rsidRPr="006E466A">
              <w:rPr>
                <w:rFonts w:ascii="Arial" w:eastAsia="Times New Roman" w:hAnsi="Arial" w:cs="Arial"/>
                <w:bCs/>
                <w:lang w:eastAsia="en-GB"/>
              </w:rPr>
              <w:t xml:space="preserve">Prescribe as per recommendation from specialist. Ensure ongoing monitoring undertaking by specialist. </w:t>
            </w:r>
          </w:p>
          <w:p w14:paraId="0E8D9AED" w14:textId="77777777" w:rsidR="00D33599" w:rsidRPr="00D33599" w:rsidRDefault="00D33599" w:rsidP="00D33599">
            <w:pPr>
              <w:numPr>
                <w:ilvl w:val="0"/>
                <w:numId w:val="7"/>
              </w:numPr>
              <w:spacing w:after="0" w:line="240" w:lineRule="auto"/>
              <w:rPr>
                <w:rFonts w:ascii="Arial" w:eastAsia="Times New Roman" w:hAnsi="Arial" w:cs="Arial"/>
                <w:bCs/>
                <w:lang w:eastAsia="en-GB"/>
              </w:rPr>
            </w:pPr>
            <w:r w:rsidRPr="00D33599">
              <w:rPr>
                <w:rFonts w:ascii="Arial" w:eastAsia="Times New Roman" w:hAnsi="Arial" w:cs="Arial"/>
                <w:bCs/>
                <w:lang w:eastAsia="en-GB"/>
              </w:rPr>
              <w:t>There should be reciprocal sharing of blood tests between the GP and specialist.</w:t>
            </w:r>
          </w:p>
          <w:p w14:paraId="697D2261" w14:textId="77777777" w:rsidR="00D33599" w:rsidRPr="00D33599" w:rsidRDefault="00D33599" w:rsidP="00D33599">
            <w:pPr>
              <w:numPr>
                <w:ilvl w:val="0"/>
                <w:numId w:val="7"/>
              </w:numPr>
              <w:spacing w:after="0" w:line="240" w:lineRule="auto"/>
              <w:rPr>
                <w:rFonts w:ascii="Arial" w:eastAsia="Times New Roman" w:hAnsi="Arial" w:cs="Arial"/>
                <w:bCs/>
                <w:lang w:eastAsia="en-GB"/>
              </w:rPr>
            </w:pPr>
            <w:r w:rsidRPr="00D33599">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009CCA7E" w14:textId="129E7E33" w:rsidR="00D33599" w:rsidRPr="00D33599" w:rsidRDefault="00D33599" w:rsidP="00D33599">
            <w:pPr>
              <w:numPr>
                <w:ilvl w:val="0"/>
                <w:numId w:val="7"/>
              </w:numPr>
              <w:spacing w:after="0" w:line="240" w:lineRule="auto"/>
              <w:rPr>
                <w:rFonts w:ascii="Arial" w:eastAsia="Times New Roman" w:hAnsi="Arial" w:cs="Arial"/>
                <w:bCs/>
                <w:lang w:eastAsia="en-GB"/>
              </w:rPr>
            </w:pPr>
            <w:r w:rsidRPr="00D33599">
              <w:rPr>
                <w:rFonts w:ascii="Arial" w:eastAsia="Times New Roman" w:hAnsi="Arial" w:cs="Arial"/>
                <w:bCs/>
                <w:lang w:eastAsia="en-GB"/>
              </w:rPr>
              <w:t>Appropriately prompt notification to the hospital Specialist of any significant and relevant changes in the patient’s condition or of an adverse reaction, referring to Specialist should any serious side effects occur. Stop treatment on advice of the Specialist or immediately if an urgent need to stop treatment arises</w:t>
            </w:r>
            <w:r w:rsidR="006E466A">
              <w:rPr>
                <w:rFonts w:ascii="Arial" w:eastAsia="Times New Roman" w:hAnsi="Arial" w:cs="Arial"/>
                <w:bCs/>
                <w:lang w:eastAsia="en-GB"/>
              </w:rPr>
              <w:t>.</w:t>
            </w:r>
            <w:r w:rsidRPr="00D33599">
              <w:rPr>
                <w:rFonts w:ascii="Arial" w:eastAsia="Times New Roman" w:hAnsi="Arial" w:cs="Arial"/>
                <w:bCs/>
                <w:lang w:eastAsia="en-GB"/>
              </w:rPr>
              <w:t xml:space="preserve"> </w:t>
            </w:r>
          </w:p>
          <w:p w14:paraId="1A1102CA" w14:textId="469A3308" w:rsidR="00D33599" w:rsidRDefault="00D33599" w:rsidP="00D33599">
            <w:pPr>
              <w:numPr>
                <w:ilvl w:val="0"/>
                <w:numId w:val="7"/>
              </w:numPr>
              <w:spacing w:after="0" w:line="240" w:lineRule="auto"/>
              <w:rPr>
                <w:rFonts w:ascii="Arial" w:eastAsia="Times New Roman" w:hAnsi="Arial" w:cs="Arial"/>
                <w:bCs/>
                <w:lang w:eastAsia="en-GB"/>
              </w:rPr>
            </w:pPr>
            <w:r w:rsidRPr="00D33599">
              <w:rPr>
                <w:rFonts w:ascii="Arial" w:eastAsia="Times New Roman" w:hAnsi="Arial" w:cs="Arial"/>
                <w:bCs/>
                <w:lang w:eastAsia="en-GB"/>
              </w:rPr>
              <w:t>Ensure no drug interactions with other medicines.</w:t>
            </w:r>
          </w:p>
          <w:p w14:paraId="24A49180" w14:textId="5962A777" w:rsidR="006E466A" w:rsidRPr="00D33599" w:rsidRDefault="006E466A" w:rsidP="00D33599">
            <w:pPr>
              <w:numPr>
                <w:ilvl w:val="0"/>
                <w:numId w:val="7"/>
              </w:numPr>
              <w:spacing w:after="0" w:line="240" w:lineRule="auto"/>
              <w:rPr>
                <w:rFonts w:ascii="Arial" w:eastAsia="Times New Roman" w:hAnsi="Arial" w:cs="Arial"/>
                <w:bCs/>
                <w:lang w:eastAsia="en-GB"/>
              </w:rPr>
            </w:pPr>
            <w:r w:rsidRPr="006E466A">
              <w:rPr>
                <w:rFonts w:ascii="Arial" w:eastAsia="Times New Roman" w:hAnsi="Arial" w:cs="Arial"/>
                <w:bCs/>
                <w:lang w:eastAsia="en-GB"/>
              </w:rPr>
              <w:t>Advise specialist of any change in the smoking status of the patient since this may require a dose chang</w:t>
            </w:r>
            <w:r>
              <w:rPr>
                <w:rFonts w:ascii="Arial" w:eastAsia="Times New Roman" w:hAnsi="Arial" w:cs="Arial"/>
                <w:bCs/>
                <w:lang w:eastAsia="en-GB"/>
              </w:rPr>
              <w:t>e</w:t>
            </w:r>
            <w:r w:rsidR="002204C7">
              <w:rPr>
                <w:rFonts w:ascii="Arial" w:eastAsia="Times New Roman" w:hAnsi="Arial" w:cs="Arial"/>
                <w:bCs/>
                <w:lang w:eastAsia="en-GB"/>
              </w:rPr>
              <w:t>.</w:t>
            </w:r>
          </w:p>
          <w:p w14:paraId="19A4D002" w14:textId="77777777" w:rsidR="00D33599" w:rsidRPr="00D33599" w:rsidRDefault="00D33599" w:rsidP="00D33599">
            <w:pPr>
              <w:numPr>
                <w:ilvl w:val="0"/>
                <w:numId w:val="7"/>
              </w:numPr>
              <w:spacing w:after="0" w:line="240" w:lineRule="auto"/>
              <w:rPr>
                <w:rFonts w:ascii="Arial" w:eastAsia="Times New Roman" w:hAnsi="Arial" w:cs="Arial"/>
                <w:bCs/>
                <w:lang w:eastAsia="en-GB"/>
              </w:rPr>
            </w:pPr>
            <w:r w:rsidRPr="00D33599">
              <w:rPr>
                <w:rFonts w:ascii="Arial" w:eastAsia="Times New Roman" w:hAnsi="Arial" w:cs="Arial"/>
                <w:bCs/>
                <w:lang w:eastAsia="en-GB"/>
              </w:rPr>
              <w:t xml:space="preserve">Change dose or stop treatment as advised by Specialist. </w:t>
            </w:r>
          </w:p>
          <w:p w14:paraId="62CCACC9" w14:textId="00EF91BE" w:rsidR="00D33599" w:rsidRPr="00D33599" w:rsidRDefault="001F0E1F" w:rsidP="00D33599">
            <w:pPr>
              <w:numPr>
                <w:ilvl w:val="0"/>
                <w:numId w:val="7"/>
              </w:numPr>
              <w:spacing w:after="0" w:line="240" w:lineRule="auto"/>
              <w:rPr>
                <w:rFonts w:ascii="Arial" w:eastAsia="Times New Roman" w:hAnsi="Arial" w:cs="Arial"/>
                <w:bCs/>
                <w:lang w:eastAsia="en-GB"/>
              </w:rPr>
            </w:pPr>
            <w:r>
              <w:rPr>
                <w:rFonts w:ascii="Arial" w:eastAsia="Times New Roman" w:hAnsi="Arial" w:cs="Arial"/>
                <w:bCs/>
                <w:lang w:eastAsia="en-GB"/>
              </w:rPr>
              <w:t xml:space="preserve">Inform </w:t>
            </w:r>
            <w:r w:rsidR="00D33599" w:rsidRPr="00D33599">
              <w:rPr>
                <w:rFonts w:ascii="Arial" w:eastAsia="Times New Roman" w:hAnsi="Arial" w:cs="Arial"/>
                <w:bCs/>
                <w:lang w:eastAsia="en-GB"/>
              </w:rPr>
              <w:t>the specialist team if severe side effects or potential overdose is apparent.</w:t>
            </w:r>
          </w:p>
          <w:p w14:paraId="610D8B39" w14:textId="77777777" w:rsidR="00D33599" w:rsidRPr="00D33599" w:rsidRDefault="00D33599" w:rsidP="00D33599">
            <w:pPr>
              <w:numPr>
                <w:ilvl w:val="0"/>
                <w:numId w:val="7"/>
              </w:numPr>
              <w:spacing w:after="0" w:line="240" w:lineRule="auto"/>
              <w:rPr>
                <w:rFonts w:ascii="Arial" w:eastAsia="Times New Roman" w:hAnsi="Arial" w:cs="Arial"/>
                <w:bCs/>
                <w:lang w:eastAsia="en-GB"/>
              </w:rPr>
            </w:pPr>
            <w:r w:rsidRPr="00D33599">
              <w:rPr>
                <w:rFonts w:ascii="Arial" w:eastAsia="Times New Roman" w:hAnsi="Arial" w:cs="Arial"/>
                <w:bCs/>
                <w:lang w:eastAsia="en-GB"/>
              </w:rPr>
              <w:t xml:space="preserve">Report adverse events to the Specialist and MHRA/CHM. </w:t>
            </w:r>
          </w:p>
          <w:p w14:paraId="155CF085" w14:textId="77777777" w:rsidR="00DA336A" w:rsidRPr="00D33599" w:rsidRDefault="00DA336A" w:rsidP="00D33599">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ook w:val="04A0" w:firstRow="1" w:lastRow="0" w:firstColumn="1" w:lastColumn="0" w:noHBand="0" w:noVBand="1"/>
            </w:tblPr>
            <w:tblGrid>
              <w:gridCol w:w="10683"/>
            </w:tblGrid>
            <w:tr w:rsidR="0015736E" w14:paraId="4CB903B1" w14:textId="77777777" w:rsidTr="0015736E">
              <w:trPr>
                <w:trHeight w:val="3296"/>
              </w:trPr>
              <w:tc>
                <w:tcPr>
                  <w:tcW w:w="10683" w:type="dxa"/>
                </w:tcPr>
                <w:p w14:paraId="2E8A0D53" w14:textId="77777777" w:rsidR="0015736E" w:rsidRDefault="0015736E" w:rsidP="0015736E">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012DE9F8" w14:textId="77777777" w:rsidR="0015736E" w:rsidRPr="00B62EE0" w:rsidRDefault="0015736E" w:rsidP="0015736E">
                  <w:pPr>
                    <w:keepNext/>
                    <w:spacing w:after="120"/>
                    <w:contextualSpacing/>
                    <w:jc w:val="both"/>
                    <w:outlineLvl w:val="0"/>
                    <w:rPr>
                      <w:rFonts w:ascii="Arial" w:eastAsia="Times New Roman" w:hAnsi="Arial" w:cs="Times New Roman"/>
                      <w:b/>
                      <w:bCs/>
                      <w:sz w:val="12"/>
                      <w:szCs w:val="24"/>
                    </w:rPr>
                  </w:pPr>
                </w:p>
                <w:p w14:paraId="59758724" w14:textId="2C67B25A" w:rsidR="0015736E" w:rsidRPr="00843717" w:rsidRDefault="0015736E" w:rsidP="0015736E">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sidR="00710AA9">
                    <w:rPr>
                      <w:rFonts w:ascii="Arial" w:eastAsia="Times New Roman" w:hAnsi="Arial" w:cs="Arial"/>
                      <w:b/>
                      <w:bCs/>
                      <w:u w:val="single"/>
                    </w:rPr>
                    <w:t xml:space="preserve"> – see GP </w:t>
                  </w:r>
                  <w:r w:rsidR="00453CB7">
                    <w:rPr>
                      <w:rFonts w:ascii="Arial" w:eastAsia="Times New Roman" w:hAnsi="Arial" w:cs="Arial"/>
                      <w:b/>
                      <w:bCs/>
                      <w:u w:val="single"/>
                    </w:rPr>
                    <w:t>monitoring highlighted in grey</w:t>
                  </w:r>
                </w:p>
                <w:p w14:paraId="0CCE44D4" w14:textId="77777777" w:rsidR="0015736E" w:rsidRPr="00843717" w:rsidRDefault="0015736E" w:rsidP="0015736E">
                  <w:pPr>
                    <w:keepNext/>
                    <w:contextualSpacing/>
                    <w:jc w:val="both"/>
                    <w:outlineLvl w:val="0"/>
                    <w:rPr>
                      <w:rFonts w:ascii="Arial" w:eastAsia="Times New Roman" w:hAnsi="Arial" w:cs="Arial"/>
                      <w:b/>
                      <w:bCs/>
                    </w:rPr>
                  </w:pPr>
                </w:p>
                <w:tbl>
                  <w:tblPr>
                    <w:tblStyle w:val="TableGrid2"/>
                    <w:tblW w:w="9961" w:type="dxa"/>
                    <w:tblLook w:val="04A0" w:firstRow="1" w:lastRow="0" w:firstColumn="1" w:lastColumn="0" w:noHBand="0" w:noVBand="1"/>
                  </w:tblPr>
                  <w:tblGrid>
                    <w:gridCol w:w="1343"/>
                    <w:gridCol w:w="1956"/>
                    <w:gridCol w:w="1843"/>
                    <w:gridCol w:w="2268"/>
                    <w:gridCol w:w="1134"/>
                    <w:gridCol w:w="1417"/>
                  </w:tblGrid>
                  <w:tr w:rsidR="006E466A" w:rsidRPr="00843717" w14:paraId="215AA523" w14:textId="77777777" w:rsidTr="004551CF">
                    <w:tc>
                      <w:tcPr>
                        <w:tcW w:w="3299" w:type="dxa"/>
                        <w:gridSpan w:val="2"/>
                        <w:shd w:val="clear" w:color="auto" w:fill="auto"/>
                      </w:tcPr>
                      <w:p w14:paraId="66407867" w14:textId="77777777" w:rsidR="006E466A" w:rsidRPr="00843717" w:rsidRDefault="006E466A" w:rsidP="00346C38">
                        <w:pPr>
                          <w:rPr>
                            <w:rFonts w:ascii="Arial" w:hAnsi="Arial" w:cs="Arial"/>
                            <w:b/>
                          </w:rPr>
                        </w:pPr>
                        <w:r w:rsidRPr="00843717">
                          <w:rPr>
                            <w:rFonts w:ascii="Arial" w:hAnsi="Arial" w:cs="Arial"/>
                            <w:b/>
                          </w:rPr>
                          <w:t>Monitoring table</w:t>
                        </w:r>
                      </w:p>
                    </w:tc>
                    <w:tc>
                      <w:tcPr>
                        <w:tcW w:w="1843" w:type="dxa"/>
                        <w:shd w:val="clear" w:color="auto" w:fill="auto"/>
                      </w:tcPr>
                      <w:p w14:paraId="5257EAB2" w14:textId="77777777" w:rsidR="006E466A" w:rsidRPr="00843717" w:rsidRDefault="006E466A" w:rsidP="00346C38">
                        <w:pPr>
                          <w:jc w:val="center"/>
                          <w:rPr>
                            <w:rFonts w:ascii="Arial" w:hAnsi="Arial" w:cs="Arial"/>
                            <w:b/>
                          </w:rPr>
                        </w:pPr>
                        <w:r w:rsidRPr="00843717">
                          <w:rPr>
                            <w:rFonts w:ascii="Arial" w:hAnsi="Arial" w:cs="Arial"/>
                            <w:b/>
                          </w:rPr>
                          <w:t>Hospital specialist</w:t>
                        </w:r>
                      </w:p>
                    </w:tc>
                    <w:tc>
                      <w:tcPr>
                        <w:tcW w:w="2268" w:type="dxa"/>
                        <w:shd w:val="clear" w:color="auto" w:fill="auto"/>
                      </w:tcPr>
                      <w:p w14:paraId="11D3A25B" w14:textId="77777777" w:rsidR="006E466A" w:rsidRPr="004579C4" w:rsidRDefault="006E466A" w:rsidP="00346C38">
                        <w:pPr>
                          <w:jc w:val="center"/>
                          <w:rPr>
                            <w:rFonts w:ascii="Arial" w:hAnsi="Arial" w:cs="Arial"/>
                            <w:b/>
                          </w:rPr>
                        </w:pPr>
                        <w:r w:rsidRPr="004579C4">
                          <w:rPr>
                            <w:rFonts w:ascii="Arial" w:hAnsi="Arial" w:cs="Arial"/>
                            <w:b/>
                          </w:rPr>
                          <w:t>Hospital specialist</w:t>
                        </w:r>
                      </w:p>
                    </w:tc>
                    <w:tc>
                      <w:tcPr>
                        <w:tcW w:w="1134" w:type="dxa"/>
                        <w:shd w:val="clear" w:color="auto" w:fill="D9D9D9" w:themeFill="background1" w:themeFillShade="D9"/>
                      </w:tcPr>
                      <w:p w14:paraId="7AD5AB6F" w14:textId="77777777" w:rsidR="006E466A" w:rsidRPr="00A203FB" w:rsidRDefault="006E466A" w:rsidP="00346C38">
                        <w:pPr>
                          <w:jc w:val="center"/>
                          <w:rPr>
                            <w:rFonts w:ascii="Arial" w:hAnsi="Arial" w:cs="Arial"/>
                            <w:b/>
                          </w:rPr>
                        </w:pPr>
                        <w:r w:rsidRPr="00A203FB">
                          <w:rPr>
                            <w:rFonts w:ascii="Arial" w:hAnsi="Arial" w:cs="Arial"/>
                            <w:b/>
                          </w:rPr>
                          <w:t xml:space="preserve">GP </w:t>
                        </w:r>
                      </w:p>
                    </w:tc>
                    <w:tc>
                      <w:tcPr>
                        <w:tcW w:w="1417" w:type="dxa"/>
                        <w:shd w:val="clear" w:color="auto" w:fill="auto"/>
                      </w:tcPr>
                      <w:p w14:paraId="721EC439" w14:textId="77777777" w:rsidR="006E466A" w:rsidRPr="00843717" w:rsidRDefault="006E466A" w:rsidP="00346C38">
                        <w:pPr>
                          <w:jc w:val="center"/>
                          <w:rPr>
                            <w:rFonts w:ascii="Arial" w:hAnsi="Arial" w:cs="Arial"/>
                            <w:b/>
                          </w:rPr>
                        </w:pPr>
                        <w:r w:rsidRPr="00843717">
                          <w:rPr>
                            <w:rFonts w:ascii="Arial" w:hAnsi="Arial" w:cs="Arial"/>
                            <w:b/>
                          </w:rPr>
                          <w:t>Hospital specialist</w:t>
                        </w:r>
                      </w:p>
                    </w:tc>
                  </w:tr>
                  <w:tr w:rsidR="006E466A" w:rsidRPr="00843717" w14:paraId="534F39E4" w14:textId="77777777" w:rsidTr="004551CF">
                    <w:trPr>
                      <w:trHeight w:val="843"/>
                    </w:trPr>
                    <w:tc>
                      <w:tcPr>
                        <w:tcW w:w="1343" w:type="dxa"/>
                        <w:shd w:val="clear" w:color="auto" w:fill="auto"/>
                      </w:tcPr>
                      <w:p w14:paraId="2D7DEEE1" w14:textId="77777777" w:rsidR="006E466A" w:rsidRPr="00843717" w:rsidRDefault="006E466A" w:rsidP="00346C38">
                        <w:pPr>
                          <w:jc w:val="center"/>
                          <w:rPr>
                            <w:rFonts w:ascii="Arial" w:hAnsi="Arial" w:cs="Arial"/>
                            <w:b/>
                          </w:rPr>
                        </w:pPr>
                      </w:p>
                      <w:p w14:paraId="53420C4C" w14:textId="77777777" w:rsidR="006E466A" w:rsidRPr="00843717" w:rsidRDefault="006E466A" w:rsidP="00346C38">
                        <w:pPr>
                          <w:jc w:val="center"/>
                          <w:rPr>
                            <w:rFonts w:ascii="Arial" w:hAnsi="Arial" w:cs="Arial"/>
                            <w:b/>
                          </w:rPr>
                        </w:pPr>
                        <w:r w:rsidRPr="00843717">
                          <w:rPr>
                            <w:rFonts w:ascii="Arial" w:hAnsi="Arial" w:cs="Arial"/>
                            <w:b/>
                          </w:rPr>
                          <w:t>Test</w:t>
                        </w:r>
                      </w:p>
                    </w:tc>
                    <w:tc>
                      <w:tcPr>
                        <w:tcW w:w="1956" w:type="dxa"/>
                        <w:shd w:val="clear" w:color="auto" w:fill="auto"/>
                      </w:tcPr>
                      <w:p w14:paraId="27DEA24B" w14:textId="77777777" w:rsidR="006E466A" w:rsidRPr="00843717" w:rsidRDefault="006E466A" w:rsidP="00346C38">
                        <w:pPr>
                          <w:jc w:val="center"/>
                          <w:rPr>
                            <w:rFonts w:ascii="Arial" w:hAnsi="Arial" w:cs="Arial"/>
                            <w:b/>
                          </w:rPr>
                        </w:pPr>
                      </w:p>
                      <w:p w14:paraId="2304D331" w14:textId="77777777" w:rsidR="006E466A" w:rsidRPr="00843717" w:rsidRDefault="006E466A" w:rsidP="00346C38">
                        <w:pPr>
                          <w:jc w:val="center"/>
                          <w:rPr>
                            <w:rFonts w:ascii="Arial" w:hAnsi="Arial" w:cs="Arial"/>
                            <w:b/>
                          </w:rPr>
                        </w:pPr>
                        <w:r w:rsidRPr="00843717">
                          <w:rPr>
                            <w:rFonts w:ascii="Arial" w:hAnsi="Arial" w:cs="Arial"/>
                            <w:b/>
                          </w:rPr>
                          <w:t>Indication</w:t>
                        </w:r>
                      </w:p>
                    </w:tc>
                    <w:tc>
                      <w:tcPr>
                        <w:tcW w:w="1843" w:type="dxa"/>
                        <w:shd w:val="clear" w:color="auto" w:fill="auto"/>
                      </w:tcPr>
                      <w:p w14:paraId="0B26BE45" w14:textId="77777777" w:rsidR="006E466A" w:rsidRPr="00843717" w:rsidRDefault="006E466A" w:rsidP="00346C38">
                        <w:pPr>
                          <w:jc w:val="center"/>
                          <w:rPr>
                            <w:rFonts w:ascii="Arial" w:hAnsi="Arial" w:cs="Arial"/>
                          </w:rPr>
                        </w:pPr>
                        <w:r w:rsidRPr="00843717">
                          <w:rPr>
                            <w:rFonts w:ascii="Arial" w:hAnsi="Arial" w:cs="Arial"/>
                          </w:rPr>
                          <w:t>Pre-treatment baseline</w:t>
                        </w:r>
                      </w:p>
                    </w:tc>
                    <w:tc>
                      <w:tcPr>
                        <w:tcW w:w="2268" w:type="dxa"/>
                        <w:shd w:val="clear" w:color="auto" w:fill="auto"/>
                      </w:tcPr>
                      <w:p w14:paraId="1C1B2E12" w14:textId="2EA070E9" w:rsidR="006E466A" w:rsidRDefault="006E466A" w:rsidP="00346C38">
                        <w:pPr>
                          <w:jc w:val="center"/>
                          <w:rPr>
                            <w:rFonts w:ascii="Arial" w:hAnsi="Arial" w:cs="Arial"/>
                          </w:rPr>
                        </w:pPr>
                        <w:r>
                          <w:rPr>
                            <w:rFonts w:ascii="Arial" w:hAnsi="Arial" w:cs="Arial"/>
                          </w:rPr>
                          <w:t>Following</w:t>
                        </w:r>
                      </w:p>
                      <w:p w14:paraId="685E0AC5" w14:textId="43A8A18E" w:rsidR="006E466A" w:rsidRPr="004579C4" w:rsidRDefault="006E466A" w:rsidP="00346C38">
                        <w:pPr>
                          <w:jc w:val="center"/>
                          <w:rPr>
                            <w:rFonts w:ascii="Arial" w:hAnsi="Arial" w:cs="Arial"/>
                          </w:rPr>
                        </w:pPr>
                        <w:r>
                          <w:rPr>
                            <w:rFonts w:ascii="Arial" w:hAnsi="Arial" w:cs="Arial"/>
                          </w:rPr>
                          <w:t>t</w:t>
                        </w:r>
                        <w:r w:rsidRPr="004579C4">
                          <w:rPr>
                            <w:rFonts w:ascii="Arial" w:hAnsi="Arial" w:cs="Arial"/>
                          </w:rPr>
                          <w:t>reatment</w:t>
                        </w:r>
                        <w:r w:rsidRPr="004579C4">
                          <w:rPr>
                            <w:rFonts w:ascii="Arial" w:hAnsi="Arial" w:cs="Arial"/>
                            <w:b/>
                          </w:rPr>
                          <w:t xml:space="preserve"> </w:t>
                        </w:r>
                        <w:r w:rsidRPr="0011210C">
                          <w:rPr>
                            <w:rFonts w:ascii="Arial" w:hAnsi="Arial" w:cs="Arial"/>
                            <w:bCs/>
                          </w:rPr>
                          <w:t>i</w:t>
                        </w:r>
                        <w:r w:rsidRPr="004579C4">
                          <w:rPr>
                            <w:rFonts w:ascii="Arial" w:hAnsi="Arial" w:cs="Arial"/>
                          </w:rPr>
                          <w:t>nitiation</w:t>
                        </w:r>
                        <w:r>
                          <w:rPr>
                            <w:rFonts w:ascii="Arial" w:hAnsi="Arial" w:cs="Arial"/>
                          </w:rPr>
                          <w:t xml:space="preserve"> and ongoing</w:t>
                        </w:r>
                      </w:p>
                    </w:tc>
                    <w:tc>
                      <w:tcPr>
                        <w:tcW w:w="1134" w:type="dxa"/>
                        <w:shd w:val="clear" w:color="auto" w:fill="D9D9D9" w:themeFill="background1" w:themeFillShade="D9"/>
                      </w:tcPr>
                      <w:p w14:paraId="058D06B5" w14:textId="77777777" w:rsidR="006E466A" w:rsidRPr="00A203FB" w:rsidRDefault="006E466A" w:rsidP="00346C38">
                        <w:pPr>
                          <w:jc w:val="center"/>
                          <w:rPr>
                            <w:rFonts w:ascii="Arial" w:hAnsi="Arial" w:cs="Arial"/>
                          </w:rPr>
                        </w:pPr>
                        <w:r w:rsidRPr="00A203FB">
                          <w:rPr>
                            <w:rFonts w:ascii="Arial" w:hAnsi="Arial" w:cs="Arial"/>
                          </w:rPr>
                          <w:t>Ongoing</w:t>
                        </w:r>
                      </w:p>
                    </w:tc>
                    <w:tc>
                      <w:tcPr>
                        <w:tcW w:w="1417" w:type="dxa"/>
                        <w:shd w:val="clear" w:color="auto" w:fill="auto"/>
                      </w:tcPr>
                      <w:p w14:paraId="0E46F5C5" w14:textId="77777777" w:rsidR="006E466A" w:rsidRPr="00843717" w:rsidRDefault="006E466A" w:rsidP="00B87F6B">
                        <w:pPr>
                          <w:jc w:val="center"/>
                          <w:rPr>
                            <w:rFonts w:ascii="Arial" w:hAnsi="Arial" w:cs="Arial"/>
                          </w:rPr>
                        </w:pPr>
                        <w:r w:rsidRPr="00843717">
                          <w:rPr>
                            <w:rFonts w:ascii="Arial" w:hAnsi="Arial" w:cs="Arial"/>
                          </w:rPr>
                          <w:t>Annual review</w:t>
                        </w:r>
                      </w:p>
                    </w:tc>
                  </w:tr>
                  <w:tr w:rsidR="006E466A" w:rsidRPr="00491AE0" w14:paraId="415BD856" w14:textId="77777777" w:rsidTr="004551CF">
                    <w:trPr>
                      <w:trHeight w:val="224"/>
                    </w:trPr>
                    <w:tc>
                      <w:tcPr>
                        <w:tcW w:w="1343" w:type="dxa"/>
                        <w:shd w:val="clear" w:color="auto" w:fill="auto"/>
                      </w:tcPr>
                      <w:p w14:paraId="20E73694" w14:textId="77777777" w:rsidR="006E466A" w:rsidRDefault="006E466A" w:rsidP="00346C38">
                        <w:pPr>
                          <w:rPr>
                            <w:rFonts w:ascii="Arial" w:hAnsi="Arial" w:cs="Arial"/>
                          </w:rPr>
                        </w:pPr>
                        <w:r>
                          <w:rPr>
                            <w:rFonts w:ascii="Arial" w:hAnsi="Arial" w:cs="Arial"/>
                          </w:rPr>
                          <w:t>Parathyroid</w:t>
                        </w:r>
                      </w:p>
                      <w:p w14:paraId="216CC9EE" w14:textId="4A4287B5" w:rsidR="006E466A" w:rsidRPr="007C4A23" w:rsidRDefault="002752C8" w:rsidP="00346C38">
                        <w:pPr>
                          <w:rPr>
                            <w:rFonts w:ascii="Arial" w:hAnsi="Arial" w:cs="Arial"/>
                          </w:rPr>
                        </w:pPr>
                        <w:r>
                          <w:rPr>
                            <w:rFonts w:ascii="Arial" w:hAnsi="Arial" w:cs="Arial"/>
                          </w:rPr>
                          <w:t>H</w:t>
                        </w:r>
                        <w:r w:rsidR="006E466A">
                          <w:rPr>
                            <w:rFonts w:ascii="Arial" w:hAnsi="Arial" w:cs="Arial"/>
                          </w:rPr>
                          <w:t>ormone</w:t>
                        </w:r>
                        <w:r>
                          <w:rPr>
                            <w:rFonts w:ascii="Arial" w:hAnsi="Arial" w:cs="Arial"/>
                          </w:rPr>
                          <w:t xml:space="preserve"> (PTH)</w:t>
                        </w:r>
                      </w:p>
                    </w:tc>
                    <w:tc>
                      <w:tcPr>
                        <w:tcW w:w="1956" w:type="dxa"/>
                        <w:shd w:val="clear" w:color="auto" w:fill="auto"/>
                      </w:tcPr>
                      <w:p w14:paraId="7AB7AFD3" w14:textId="77777777" w:rsidR="004551CF" w:rsidRDefault="006E466A" w:rsidP="00346C38">
                        <w:pPr>
                          <w:rPr>
                            <w:rFonts w:ascii="Arial" w:hAnsi="Arial" w:cs="Arial"/>
                          </w:rPr>
                        </w:pPr>
                        <w:r w:rsidRPr="007C4A23">
                          <w:rPr>
                            <w:rFonts w:ascii="Arial" w:hAnsi="Arial" w:cs="Arial"/>
                          </w:rPr>
                          <w:t>To assess suitability for treatment</w:t>
                        </w:r>
                        <w:r>
                          <w:rPr>
                            <w:rFonts w:ascii="Arial" w:hAnsi="Arial" w:cs="Arial"/>
                          </w:rPr>
                          <w:t xml:space="preserve">, disease and drug monitoring. </w:t>
                        </w:r>
                      </w:p>
                      <w:p w14:paraId="1FD8409A" w14:textId="77777777" w:rsidR="004551CF" w:rsidRDefault="004551CF" w:rsidP="00346C38">
                        <w:pPr>
                          <w:rPr>
                            <w:rFonts w:ascii="Arial" w:hAnsi="Arial" w:cs="Arial"/>
                          </w:rPr>
                        </w:pPr>
                      </w:p>
                      <w:p w14:paraId="5065165E" w14:textId="73E12869" w:rsidR="006E466A" w:rsidRDefault="006E466A" w:rsidP="00346C38">
                        <w:pPr>
                          <w:rPr>
                            <w:rFonts w:ascii="Arial" w:hAnsi="Arial" w:cs="Arial"/>
                          </w:rPr>
                        </w:pPr>
                        <w:r w:rsidRPr="000830D5">
                          <w:rPr>
                            <w:rFonts w:ascii="Arial" w:hAnsi="Arial" w:cs="Arial"/>
                          </w:rPr>
                          <w:t>Dose to be titrated according to response to achieve</w:t>
                        </w:r>
                        <w:r w:rsidRPr="00A203FB">
                          <w:rPr>
                            <w:rFonts w:ascii="Arial" w:hAnsi="Arial" w:cs="Arial"/>
                          </w:rPr>
                          <w:t xml:space="preserve"> </w:t>
                        </w:r>
                        <w:r>
                          <w:rPr>
                            <w:rFonts w:ascii="Arial" w:hAnsi="Arial" w:cs="Arial"/>
                          </w:rPr>
                          <w:t>t</w:t>
                        </w:r>
                        <w:r w:rsidRPr="00A203FB">
                          <w:rPr>
                            <w:rFonts w:ascii="Arial" w:hAnsi="Arial" w:cs="Arial"/>
                          </w:rPr>
                          <w:t>arget PTH</w:t>
                        </w:r>
                      </w:p>
                      <w:p w14:paraId="658B6ABA" w14:textId="533AFC22" w:rsidR="006E466A" w:rsidRPr="007C4A23" w:rsidRDefault="006E466A" w:rsidP="00346C38">
                        <w:pPr>
                          <w:rPr>
                            <w:rFonts w:ascii="Arial" w:hAnsi="Arial" w:cs="Arial"/>
                          </w:rPr>
                        </w:pPr>
                        <w:r>
                          <w:rPr>
                            <w:rFonts w:ascii="Arial" w:hAnsi="Arial" w:cs="Arial"/>
                          </w:rPr>
                          <w:t>(</w:t>
                        </w:r>
                        <w:r w:rsidRPr="007813A5">
                          <w:rPr>
                            <w:rFonts w:ascii="Arial" w:hAnsi="Arial" w:cs="Arial"/>
                          </w:rPr>
                          <w:t>15.9-31.8pmol/L)</w:t>
                        </w:r>
                      </w:p>
                    </w:tc>
                    <w:tc>
                      <w:tcPr>
                        <w:tcW w:w="1843" w:type="dxa"/>
                        <w:shd w:val="clear" w:color="auto" w:fill="auto"/>
                      </w:tcPr>
                      <w:p w14:paraId="308A5569" w14:textId="77777777" w:rsidR="006E466A" w:rsidRPr="007C4A23" w:rsidRDefault="006E466A" w:rsidP="00346C38">
                        <w:pPr>
                          <w:jc w:val="center"/>
                          <w:rPr>
                            <w:rFonts w:ascii="Arial" w:hAnsi="Arial" w:cs="Arial"/>
                          </w:rPr>
                        </w:pPr>
                      </w:p>
                      <w:p w14:paraId="45FB6FF1" w14:textId="77777777" w:rsidR="006E466A" w:rsidRPr="007C4A23" w:rsidRDefault="006E466A" w:rsidP="00346C38">
                        <w:pPr>
                          <w:jc w:val="center"/>
                          <w:rPr>
                            <w:rFonts w:ascii="Arial" w:hAnsi="Arial" w:cs="Arial"/>
                          </w:rPr>
                        </w:pPr>
                        <w:r w:rsidRPr="007C4A23">
                          <w:rPr>
                            <w:rFonts w:ascii="Arial" w:hAnsi="Arial" w:cs="Arial"/>
                          </w:rPr>
                          <w:t>√</w:t>
                        </w:r>
                      </w:p>
                    </w:tc>
                    <w:tc>
                      <w:tcPr>
                        <w:tcW w:w="2268" w:type="dxa"/>
                        <w:shd w:val="clear" w:color="auto" w:fill="auto"/>
                      </w:tcPr>
                      <w:p w14:paraId="4A2A823C" w14:textId="77777777" w:rsidR="004551CF" w:rsidRDefault="004551CF" w:rsidP="004551CF">
                        <w:pPr>
                          <w:jc w:val="center"/>
                          <w:rPr>
                            <w:rFonts w:ascii="Arial" w:hAnsi="Arial" w:cs="Arial"/>
                          </w:rPr>
                        </w:pPr>
                        <w:r w:rsidRPr="004551CF">
                          <w:rPr>
                            <w:rFonts w:ascii="Arial" w:hAnsi="Arial" w:cs="Arial"/>
                          </w:rPr>
                          <w:t xml:space="preserve">*Monthly monitoring at initiation or dose adjustment </w:t>
                        </w:r>
                      </w:p>
                      <w:p w14:paraId="5A023F60" w14:textId="1452DE65" w:rsidR="006E466A" w:rsidRPr="007C4A23" w:rsidRDefault="004551CF" w:rsidP="004551CF">
                        <w:pPr>
                          <w:jc w:val="center"/>
                          <w:rPr>
                            <w:rFonts w:ascii="Arial" w:hAnsi="Arial" w:cs="Arial"/>
                          </w:rPr>
                        </w:pPr>
                        <w:r w:rsidRPr="004551CF">
                          <w:rPr>
                            <w:rFonts w:ascii="Arial" w:hAnsi="Arial" w:cs="Arial"/>
                          </w:rPr>
                          <w:t>then every 3 months during maintenance</w:t>
                        </w:r>
                      </w:p>
                    </w:tc>
                    <w:tc>
                      <w:tcPr>
                        <w:tcW w:w="1134" w:type="dxa"/>
                        <w:tcBorders>
                          <w:bottom w:val="single" w:sz="4" w:space="0" w:color="auto"/>
                        </w:tcBorders>
                        <w:shd w:val="clear" w:color="auto" w:fill="D9D9D9" w:themeFill="background1" w:themeFillShade="D9"/>
                      </w:tcPr>
                      <w:p w14:paraId="7DF0C1BE" w14:textId="04D30858" w:rsidR="006E466A" w:rsidRPr="00A203FB" w:rsidRDefault="006E466A" w:rsidP="00346C38">
                        <w:pPr>
                          <w:shd w:val="clear" w:color="auto" w:fill="D9D9D9" w:themeFill="background1" w:themeFillShade="D9"/>
                          <w:jc w:val="center"/>
                          <w:rPr>
                            <w:rFonts w:ascii="Arial" w:hAnsi="Arial" w:cs="Arial"/>
                          </w:rPr>
                        </w:pPr>
                        <w:r w:rsidRPr="00A203FB">
                          <w:rPr>
                            <w:rFonts w:ascii="Arial" w:hAnsi="Arial" w:cs="Arial"/>
                          </w:rPr>
                          <w:t>Not required by GP</w:t>
                        </w:r>
                      </w:p>
                    </w:tc>
                    <w:tc>
                      <w:tcPr>
                        <w:tcW w:w="1417" w:type="dxa"/>
                        <w:shd w:val="clear" w:color="auto" w:fill="auto"/>
                      </w:tcPr>
                      <w:p w14:paraId="18459B19" w14:textId="3535C040" w:rsidR="006E466A" w:rsidRPr="007C4A23" w:rsidRDefault="006E466A" w:rsidP="00B87F6B">
                        <w:pPr>
                          <w:jc w:val="center"/>
                          <w:rPr>
                            <w:rFonts w:ascii="Arial" w:hAnsi="Arial" w:cs="Arial"/>
                          </w:rPr>
                        </w:pPr>
                        <w:r>
                          <w:rPr>
                            <w:rFonts w:ascii="Arial" w:hAnsi="Arial" w:cs="Arial"/>
                          </w:rPr>
                          <w:t>√</w:t>
                        </w:r>
                      </w:p>
                    </w:tc>
                  </w:tr>
                  <w:tr w:rsidR="006E466A" w:rsidRPr="00491AE0" w14:paraId="7655502D" w14:textId="77777777" w:rsidTr="004551CF">
                    <w:trPr>
                      <w:trHeight w:val="224"/>
                    </w:trPr>
                    <w:tc>
                      <w:tcPr>
                        <w:tcW w:w="1343" w:type="dxa"/>
                        <w:shd w:val="clear" w:color="auto" w:fill="auto"/>
                      </w:tcPr>
                      <w:p w14:paraId="7B87354D" w14:textId="77777777" w:rsidR="006E466A" w:rsidRPr="007C4A23" w:rsidRDefault="006E466A" w:rsidP="00346C38">
                        <w:pPr>
                          <w:rPr>
                            <w:rFonts w:ascii="Arial" w:hAnsi="Arial" w:cs="Arial"/>
                          </w:rPr>
                        </w:pPr>
                        <w:r w:rsidRPr="007C4A23">
                          <w:rPr>
                            <w:rFonts w:ascii="Arial" w:hAnsi="Arial" w:cs="Arial"/>
                          </w:rPr>
                          <w:t xml:space="preserve">Calcium and phosphate </w:t>
                        </w:r>
                      </w:p>
                    </w:tc>
                    <w:tc>
                      <w:tcPr>
                        <w:tcW w:w="1956" w:type="dxa"/>
                        <w:shd w:val="clear" w:color="auto" w:fill="auto"/>
                      </w:tcPr>
                      <w:p w14:paraId="0D14D7EB" w14:textId="08D23FE8" w:rsidR="006E466A" w:rsidRPr="007C4A23" w:rsidRDefault="006E466A" w:rsidP="00346C38">
                        <w:pPr>
                          <w:rPr>
                            <w:rFonts w:ascii="Arial" w:hAnsi="Arial" w:cs="Arial"/>
                          </w:rPr>
                        </w:pPr>
                        <w:r w:rsidRPr="004551CF">
                          <w:rPr>
                            <w:rFonts w:ascii="Arial" w:hAnsi="Arial" w:cs="Arial"/>
                          </w:rPr>
                          <w:t>Baseline and ongoing assessment for disease and drug monitoring</w:t>
                        </w:r>
                        <w:r>
                          <w:rPr>
                            <w:rFonts w:ascii="Arial" w:hAnsi="Arial" w:cs="Arial"/>
                          </w:rPr>
                          <w:t xml:space="preserve"> </w:t>
                        </w:r>
                        <w:r w:rsidRPr="007C4A23">
                          <w:rPr>
                            <w:rFonts w:ascii="Arial" w:hAnsi="Arial" w:cs="Arial"/>
                          </w:rPr>
                          <w:t xml:space="preserve"> </w:t>
                        </w:r>
                      </w:p>
                    </w:tc>
                    <w:tc>
                      <w:tcPr>
                        <w:tcW w:w="1843" w:type="dxa"/>
                        <w:shd w:val="clear" w:color="auto" w:fill="auto"/>
                      </w:tcPr>
                      <w:p w14:paraId="73ABF91B" w14:textId="77777777" w:rsidR="006E466A" w:rsidRPr="007C4A23" w:rsidRDefault="006E466A" w:rsidP="00346C38">
                        <w:pPr>
                          <w:jc w:val="center"/>
                          <w:rPr>
                            <w:rFonts w:ascii="Arial" w:hAnsi="Arial" w:cs="Arial"/>
                          </w:rPr>
                        </w:pPr>
                      </w:p>
                      <w:p w14:paraId="27807D7E" w14:textId="77777777" w:rsidR="006E466A" w:rsidRPr="007C4A23" w:rsidRDefault="006E466A" w:rsidP="00346C38">
                        <w:pPr>
                          <w:jc w:val="center"/>
                          <w:rPr>
                            <w:rFonts w:ascii="Arial" w:hAnsi="Arial" w:cs="Arial"/>
                          </w:rPr>
                        </w:pPr>
                        <w:r w:rsidRPr="007C4A23">
                          <w:rPr>
                            <w:rFonts w:ascii="Arial" w:hAnsi="Arial" w:cs="Arial"/>
                          </w:rPr>
                          <w:t>√</w:t>
                        </w:r>
                      </w:p>
                    </w:tc>
                    <w:tc>
                      <w:tcPr>
                        <w:tcW w:w="2268" w:type="dxa"/>
                        <w:shd w:val="clear" w:color="auto" w:fill="auto"/>
                      </w:tcPr>
                      <w:p w14:paraId="075B07D8" w14:textId="0DD5E719" w:rsidR="006E466A" w:rsidRPr="007C4A23" w:rsidRDefault="004551CF" w:rsidP="00346C38">
                        <w:pPr>
                          <w:jc w:val="center"/>
                          <w:rPr>
                            <w:rFonts w:ascii="Arial" w:hAnsi="Arial" w:cs="Arial"/>
                          </w:rPr>
                        </w:pPr>
                        <w:r w:rsidRPr="004551CF">
                          <w:rPr>
                            <w:rFonts w:ascii="Arial" w:hAnsi="Arial" w:cs="Arial"/>
                          </w:rPr>
                          <w:t>Measure within a week of initiation or dose adjustment then measure monthly</w:t>
                        </w:r>
                      </w:p>
                    </w:tc>
                    <w:tc>
                      <w:tcPr>
                        <w:tcW w:w="1134" w:type="dxa"/>
                        <w:shd w:val="clear" w:color="auto" w:fill="D9D9D9" w:themeFill="background1" w:themeFillShade="D9"/>
                      </w:tcPr>
                      <w:p w14:paraId="5EF05F21" w14:textId="11C34C28" w:rsidR="006E466A" w:rsidRPr="00A53BF3" w:rsidRDefault="006E466A" w:rsidP="00BE7632">
                        <w:pPr>
                          <w:shd w:val="clear" w:color="auto" w:fill="D9D9D9" w:themeFill="background1" w:themeFillShade="D9"/>
                          <w:jc w:val="center"/>
                          <w:rPr>
                            <w:rFonts w:ascii="Arial" w:hAnsi="Arial" w:cs="Arial"/>
                            <w:highlight w:val="yellow"/>
                          </w:rPr>
                        </w:pPr>
                        <w:r w:rsidRPr="00A203FB">
                          <w:rPr>
                            <w:rFonts w:ascii="Arial" w:hAnsi="Arial" w:cs="Arial"/>
                          </w:rPr>
                          <w:t>Not required by GP</w:t>
                        </w:r>
                      </w:p>
                    </w:tc>
                    <w:tc>
                      <w:tcPr>
                        <w:tcW w:w="1417" w:type="dxa"/>
                        <w:shd w:val="clear" w:color="auto" w:fill="auto"/>
                      </w:tcPr>
                      <w:p w14:paraId="467E4CCE" w14:textId="3FCFC22B" w:rsidR="006E466A" w:rsidRPr="007C4A23" w:rsidRDefault="006E466A" w:rsidP="00A203FB">
                        <w:pPr>
                          <w:jc w:val="center"/>
                          <w:rPr>
                            <w:rFonts w:ascii="Arial" w:hAnsi="Arial" w:cs="Arial"/>
                          </w:rPr>
                        </w:pPr>
                        <w:r w:rsidRPr="00A203FB">
                          <w:rPr>
                            <w:rFonts w:ascii="Arial" w:hAnsi="Arial" w:cs="Arial"/>
                          </w:rPr>
                          <w:t>√</w:t>
                        </w:r>
                      </w:p>
                    </w:tc>
                  </w:tr>
                </w:tbl>
                <w:p w14:paraId="10589F58" w14:textId="77777777" w:rsidR="0015736E" w:rsidRDefault="0015736E" w:rsidP="0015736E">
                  <w:pPr>
                    <w:spacing w:after="40"/>
                    <w:rPr>
                      <w:rFonts w:ascii="Arial" w:hAnsi="Arial" w:cs="Arial"/>
                      <w:b/>
                      <w:u w:val="single"/>
                    </w:rPr>
                  </w:pPr>
                  <w:r w:rsidRPr="00843717">
                    <w:rPr>
                      <w:rFonts w:ascii="Arial" w:hAnsi="Arial" w:cs="Arial"/>
                      <w:b/>
                      <w:u w:val="single"/>
                    </w:rPr>
                    <w:t>Action to be taken if Abnormal Result</w:t>
                  </w:r>
                </w:p>
                <w:p w14:paraId="589610BF" w14:textId="77777777" w:rsidR="009D299F" w:rsidRPr="009D299F" w:rsidRDefault="009D299F" w:rsidP="009D299F">
                  <w:pPr>
                    <w:spacing w:after="120"/>
                    <w:rPr>
                      <w:rFonts w:ascii="Arial" w:hAnsi="Arial" w:cs="Arial"/>
                    </w:rPr>
                  </w:pPr>
                  <w:r w:rsidRPr="009D299F">
                    <w:rPr>
                      <w:rFonts w:ascii="Arial" w:hAnsi="Arial" w:cs="Arial"/>
                    </w:rPr>
                    <w:t>GP will be informed by specialist via letter.</w:t>
                  </w:r>
                </w:p>
                <w:p w14:paraId="1F0CE4FA" w14:textId="100D596A" w:rsidR="0015736E" w:rsidRPr="009D299F" w:rsidRDefault="009D299F" w:rsidP="009D299F">
                  <w:pPr>
                    <w:spacing w:after="120"/>
                    <w:rPr>
                      <w:rFonts w:ascii="Arial" w:hAnsi="Arial" w:cs="Arial"/>
                      <w:b/>
                      <w:sz w:val="18"/>
                      <w:szCs w:val="18"/>
                      <w:u w:val="single"/>
                    </w:rPr>
                  </w:pPr>
                  <w:r w:rsidRPr="009D299F">
                    <w:rPr>
                      <w:rFonts w:ascii="Arial" w:hAnsi="Arial" w:cs="Arial"/>
                      <w:sz w:val="18"/>
                      <w:szCs w:val="18"/>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471FF8FE" w14:textId="77777777" w:rsidR="00F976BC" w:rsidRPr="005430C6" w:rsidRDefault="00F976BC" w:rsidP="008522DD">
      <w:pPr>
        <w:spacing w:after="0" w:line="240" w:lineRule="auto"/>
        <w:contextualSpacing/>
        <w:jc w:val="both"/>
        <w:rPr>
          <w:rFonts w:ascii="Arial" w:eastAsia="Times New Roman" w:hAnsi="Arial" w:cs="Arial"/>
          <w:bCs/>
          <w:sz w:val="12"/>
          <w:szCs w:val="24"/>
          <w:lang w:val="en-US"/>
        </w:rPr>
      </w:pPr>
    </w:p>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02B2CBE8"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lastRenderedPageBreak/>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22DF6075" w:rsidR="00E85B9D" w:rsidRPr="00CB147C" w:rsidRDefault="005D1B7A" w:rsidP="00CB147C">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form</w:t>
      </w:r>
      <w:r w:rsidR="00265C56">
        <w:rPr>
          <w:rFonts w:ascii="Arial" w:hAnsi="Arial" w:cs="Arial"/>
        </w:rPr>
        <w:t xml:space="preserve"> (page </w:t>
      </w:r>
      <w:r w:rsidR="00AB1A04">
        <w:rPr>
          <w:rFonts w:ascii="Arial" w:hAnsi="Arial" w:cs="Arial"/>
        </w:rPr>
        <w:t>1</w:t>
      </w:r>
      <w:r>
        <w:rPr>
          <w:rFonts w:ascii="Arial" w:hAnsi="Arial" w:cs="Arial"/>
        </w:rPr>
        <w:t>)</w:t>
      </w:r>
      <w:r w:rsidRPr="002E5B12">
        <w:rPr>
          <w:rFonts w:ascii="Arial" w:hAnsi="Arial" w:cs="Arial"/>
        </w:rPr>
        <w:t xml:space="preserve">. </w:t>
      </w:r>
    </w:p>
    <w:p w14:paraId="48B534A9" w14:textId="77777777"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0FB7F23C" w14:textId="77777777" w:rsidR="00662C59" w:rsidRDefault="00662C59" w:rsidP="00662C59">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Cinacalcet for Use in Secondary Hyperparathyroidism in Adults with </w:t>
      </w:r>
    </w:p>
    <w:p w14:paraId="1ED4AF48" w14:textId="77777777" w:rsidR="00662C59" w:rsidRDefault="00662C59" w:rsidP="00662C59">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End Stage Kidney Disease (ESKD) Requiring R</w:t>
      </w:r>
      <w:r w:rsidRPr="00D66CD8">
        <w:rPr>
          <w:rFonts w:ascii="Arial" w:eastAsia="Times New Roman" w:hAnsi="Arial" w:cs="Times New Roman"/>
          <w:b/>
          <w:szCs w:val="24"/>
          <w:lang w:val="en-US"/>
        </w:rPr>
        <w:t xml:space="preserve">enal </w:t>
      </w:r>
      <w:r>
        <w:rPr>
          <w:rFonts w:ascii="Arial" w:eastAsia="Times New Roman" w:hAnsi="Arial" w:cs="Times New Roman"/>
          <w:b/>
          <w:szCs w:val="24"/>
          <w:lang w:val="en-US"/>
        </w:rPr>
        <w:t>Replacement T</w:t>
      </w:r>
      <w:r w:rsidRPr="00D66CD8">
        <w:rPr>
          <w:rFonts w:ascii="Arial" w:eastAsia="Times New Roman" w:hAnsi="Arial" w:cs="Times New Roman"/>
          <w:b/>
          <w:szCs w:val="24"/>
          <w:lang w:val="en-US"/>
        </w:rPr>
        <w:t>herapy</w:t>
      </w:r>
      <w:r>
        <w:rPr>
          <w:rFonts w:ascii="Arial" w:eastAsia="Times New Roman" w:hAnsi="Arial" w:cs="Times New Roman"/>
          <w:b/>
          <w:szCs w:val="24"/>
          <w:lang w:val="en-US"/>
        </w:rPr>
        <w:t>:</w:t>
      </w:r>
    </w:p>
    <w:p w14:paraId="60551B92" w14:textId="1ABFF4E1" w:rsidR="00662C59" w:rsidRPr="00F20CE5" w:rsidRDefault="00662C59" w:rsidP="00662C59">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F20CE5">
        <w:rPr>
          <w:rFonts w:ascii="Arial" w:eastAsia="Times New Roman" w:hAnsi="Arial" w:cs="Times New Roman"/>
          <w:b/>
          <w:szCs w:val="24"/>
          <w:lang w:val="en-US"/>
        </w:rPr>
        <w:t>Shared Care Protocol: Guideline No 1</w:t>
      </w:r>
      <w:r w:rsidR="00B52682">
        <w:rPr>
          <w:rFonts w:ascii="Arial" w:eastAsia="Times New Roman" w:hAnsi="Arial" w:cs="Times New Roman"/>
          <w:b/>
          <w:szCs w:val="24"/>
          <w:lang w:val="en-US"/>
        </w:rPr>
        <w:t>5</w:t>
      </w:r>
      <w:r w:rsidRPr="00F20CE5">
        <w:rPr>
          <w:rFonts w:ascii="Arial" w:eastAsia="Times New Roman" w:hAnsi="Arial" w:cs="Times New Roman"/>
          <w:b/>
          <w:szCs w:val="24"/>
          <w:lang w:val="en-US"/>
        </w:rPr>
        <w:t>; Version 2</w:t>
      </w:r>
      <w:r w:rsidR="00B52682">
        <w:rPr>
          <w:rFonts w:ascii="Arial" w:eastAsia="Times New Roman" w:hAnsi="Arial" w:cs="Times New Roman"/>
          <w:b/>
          <w:szCs w:val="24"/>
          <w:lang w:val="en-US"/>
        </w:rPr>
        <w:t>.</w:t>
      </w:r>
      <w:r w:rsidR="00AB1A04">
        <w:rPr>
          <w:rFonts w:ascii="Arial" w:eastAsia="Times New Roman" w:hAnsi="Arial" w:cs="Times New Roman"/>
          <w:b/>
          <w:szCs w:val="24"/>
          <w:lang w:val="en-US"/>
        </w:rPr>
        <w:t>2</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77777777"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Pr>
          <w:rFonts w:ascii="Arial" w:eastAsia="Times New Roman" w:hAnsi="Arial" w:cs="Times New Roman"/>
          <w:b/>
          <w:lang w:val="en-US" w:eastAsia="en-GB"/>
        </w:rPr>
        <w:t xml:space="preserve">HMMC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0"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1"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77777777" w:rsidR="00004CD4" w:rsidRPr="00004CD4" w:rsidRDefault="00004CD4" w:rsidP="007C4A23">
      <w:pPr>
        <w:pBdr>
          <w:top w:val="single" w:sz="4" w:space="1" w:color="auto"/>
          <w:left w:val="single" w:sz="4" w:space="1"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4C6EE68" w14:textId="7D21AC29" w:rsidR="003B7C66" w:rsidRPr="003B7C66" w:rsidRDefault="003B7C66" w:rsidP="007C4A23">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rPr>
      </w:pPr>
      <w:r w:rsidRPr="003B7C66">
        <w:rPr>
          <w:rFonts w:ascii="Arial" w:hAnsi="Arial" w:cs="Arial"/>
        </w:rPr>
        <w:t xml:space="preserve">Secondary hyperparathyroidism occurs in patients with chronic kidney disease (CKD), where increasing serum phosphate and decreasing active vitamin D </w:t>
      </w:r>
      <w:r w:rsidR="00A8015D">
        <w:rPr>
          <w:rFonts w:ascii="Arial" w:hAnsi="Arial" w:cs="Arial"/>
        </w:rPr>
        <w:t xml:space="preserve">levels </w:t>
      </w:r>
      <w:r w:rsidRPr="003B7C66">
        <w:rPr>
          <w:rFonts w:ascii="Arial" w:hAnsi="Arial" w:cs="Arial"/>
        </w:rPr>
        <w:t xml:space="preserve">result in a reduction in serum calcium. Parathyroid hormone (PTH) production is increased to </w:t>
      </w:r>
      <w:r w:rsidR="00A8015D">
        <w:rPr>
          <w:rFonts w:ascii="Arial" w:hAnsi="Arial" w:cs="Arial"/>
        </w:rPr>
        <w:t>correct the low calcium level</w:t>
      </w:r>
      <w:r w:rsidRPr="003B7C66">
        <w:rPr>
          <w:rFonts w:ascii="Arial" w:hAnsi="Arial" w:cs="Arial"/>
        </w:rPr>
        <w:t>. Due to renal failure, vitamin D levels remain low and PTH levels continue to rise. PTH causes phosphate and calcium to be released from the bone. Over a prolonged period</w:t>
      </w:r>
      <w:r w:rsidR="00B26581">
        <w:rPr>
          <w:rFonts w:ascii="Arial" w:hAnsi="Arial" w:cs="Arial"/>
        </w:rPr>
        <w:t>,</w:t>
      </w:r>
      <w:r w:rsidRPr="003B7C66">
        <w:rPr>
          <w:rFonts w:ascii="Arial" w:hAnsi="Arial" w:cs="Arial"/>
        </w:rPr>
        <w:t xml:space="preserve"> this leads to renal osteodystrophy, bone pain and fracture, soft tissue and vascular calcification and cardiovascular complications. If the calcium x phosphate product (obtained by multiplying serum phosphate and calcium levels) and PTH are raised, this has been shown to be a poor prognostic marker.</w:t>
      </w:r>
    </w:p>
    <w:p w14:paraId="002BB286" w14:textId="3D2DDC22" w:rsidR="003B7C66" w:rsidRDefault="003B7C66" w:rsidP="007C4A23">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rPr>
      </w:pPr>
      <w:r w:rsidRPr="003B7C66">
        <w:rPr>
          <w:rFonts w:ascii="Arial" w:hAnsi="Arial" w:cs="Arial"/>
        </w:rPr>
        <w:t>Current treatment options for second</w:t>
      </w:r>
      <w:r>
        <w:rPr>
          <w:rFonts w:ascii="Arial" w:hAnsi="Arial" w:cs="Arial"/>
        </w:rPr>
        <w:t>ary hyperparathyroidism include</w:t>
      </w:r>
      <w:r w:rsidR="007C4A23">
        <w:rPr>
          <w:rFonts w:ascii="Arial" w:hAnsi="Arial" w:cs="Arial"/>
        </w:rPr>
        <w:t xml:space="preserve">: </w:t>
      </w:r>
    </w:p>
    <w:p w14:paraId="1185D500" w14:textId="77777777" w:rsidR="007C4A23" w:rsidRDefault="007C4A23" w:rsidP="007C4A23">
      <w:pPr>
        <w:pBdr>
          <w:top w:val="single" w:sz="4" w:space="1" w:color="auto"/>
          <w:left w:val="single" w:sz="4" w:space="1" w:color="auto"/>
          <w:bottom w:val="single" w:sz="4" w:space="1" w:color="auto"/>
          <w:right w:val="single" w:sz="4" w:space="4" w:color="auto"/>
        </w:pBdr>
        <w:spacing w:after="0" w:line="240" w:lineRule="auto"/>
        <w:ind w:firstLine="357"/>
        <w:jc w:val="both"/>
        <w:rPr>
          <w:rFonts w:ascii="Arial" w:hAnsi="Arial" w:cs="Arial"/>
        </w:rPr>
      </w:pPr>
      <w:r w:rsidRPr="007C4A23">
        <w:rPr>
          <w:rFonts w:ascii="Arial" w:hAnsi="Arial" w:cs="Arial"/>
        </w:rPr>
        <w:t>-</w:t>
      </w:r>
      <w:r>
        <w:rPr>
          <w:rFonts w:ascii="Arial" w:hAnsi="Arial" w:cs="Arial"/>
        </w:rPr>
        <w:t xml:space="preserve"> </w:t>
      </w:r>
      <w:r w:rsidR="003B7C66" w:rsidRPr="007C4A23">
        <w:rPr>
          <w:rFonts w:ascii="Arial" w:hAnsi="Arial" w:cs="Arial"/>
        </w:rPr>
        <w:t>Dietary phosphate restriction</w:t>
      </w:r>
    </w:p>
    <w:p w14:paraId="5F5B3BEE" w14:textId="77777777" w:rsidR="007C4A23" w:rsidRDefault="007C4A23" w:rsidP="007C4A23">
      <w:pPr>
        <w:pBdr>
          <w:top w:val="single" w:sz="4" w:space="1" w:color="auto"/>
          <w:left w:val="single" w:sz="4" w:space="1" w:color="auto"/>
          <w:bottom w:val="single" w:sz="4" w:space="1" w:color="auto"/>
          <w:right w:val="single" w:sz="4" w:space="4" w:color="auto"/>
        </w:pBdr>
        <w:spacing w:after="0" w:line="240" w:lineRule="auto"/>
        <w:ind w:firstLine="357"/>
        <w:jc w:val="both"/>
        <w:rPr>
          <w:rFonts w:ascii="Arial" w:hAnsi="Arial" w:cs="Arial"/>
        </w:rPr>
      </w:pPr>
      <w:r>
        <w:rPr>
          <w:rFonts w:ascii="Arial" w:hAnsi="Arial" w:cs="Arial"/>
        </w:rPr>
        <w:t xml:space="preserve">- </w:t>
      </w:r>
      <w:r w:rsidR="003B7C66" w:rsidRPr="007C4A23">
        <w:rPr>
          <w:rFonts w:ascii="Arial" w:hAnsi="Arial" w:cs="Arial"/>
        </w:rPr>
        <w:t>Phosphate binders</w:t>
      </w:r>
    </w:p>
    <w:p w14:paraId="0082F1B7" w14:textId="38BF74BF" w:rsidR="003B7C66" w:rsidRDefault="007C4A23" w:rsidP="007C4A23">
      <w:pPr>
        <w:pBdr>
          <w:top w:val="single" w:sz="4" w:space="1" w:color="auto"/>
          <w:left w:val="single" w:sz="4" w:space="1" w:color="auto"/>
          <w:bottom w:val="single" w:sz="4" w:space="1" w:color="auto"/>
          <w:right w:val="single" w:sz="4" w:space="4" w:color="auto"/>
        </w:pBdr>
        <w:spacing w:after="0" w:line="240" w:lineRule="auto"/>
        <w:ind w:firstLine="357"/>
        <w:jc w:val="both"/>
        <w:rPr>
          <w:rFonts w:ascii="Arial" w:hAnsi="Arial" w:cs="Arial"/>
        </w:rPr>
      </w:pPr>
      <w:r>
        <w:rPr>
          <w:rFonts w:ascii="Arial" w:hAnsi="Arial" w:cs="Arial"/>
        </w:rPr>
        <w:t xml:space="preserve">- </w:t>
      </w:r>
      <w:r w:rsidR="003B7C66" w:rsidRPr="007C4A23">
        <w:rPr>
          <w:rFonts w:ascii="Arial" w:hAnsi="Arial" w:cs="Arial"/>
        </w:rPr>
        <w:t>1-alfacalcidol</w:t>
      </w:r>
    </w:p>
    <w:p w14:paraId="23EE882C" w14:textId="6D66E31B" w:rsidR="002204C7" w:rsidRPr="002204C7" w:rsidRDefault="002204C7" w:rsidP="007C4A23">
      <w:pPr>
        <w:pBdr>
          <w:top w:val="single" w:sz="4" w:space="1" w:color="auto"/>
          <w:left w:val="single" w:sz="4" w:space="1" w:color="auto"/>
          <w:bottom w:val="single" w:sz="4" w:space="1" w:color="auto"/>
          <w:right w:val="single" w:sz="4" w:space="4" w:color="auto"/>
        </w:pBdr>
        <w:spacing w:after="0" w:line="240" w:lineRule="auto"/>
        <w:ind w:firstLine="357"/>
        <w:jc w:val="both"/>
        <w:rPr>
          <w:rFonts w:ascii="Arial" w:hAnsi="Arial" w:cs="Arial"/>
          <w:b/>
          <w:bCs/>
        </w:rPr>
      </w:pPr>
      <w:r>
        <w:rPr>
          <w:rFonts w:ascii="Arial" w:hAnsi="Arial" w:cs="Arial"/>
        </w:rPr>
        <w:t xml:space="preserve">- </w:t>
      </w:r>
      <w:r w:rsidRPr="002204C7">
        <w:rPr>
          <w:rFonts w:ascii="Arial" w:hAnsi="Arial" w:cs="Arial"/>
          <w:b/>
          <w:bCs/>
        </w:rPr>
        <w:t>Cinacalcet</w:t>
      </w:r>
    </w:p>
    <w:p w14:paraId="6EB4F20E" w14:textId="0C0C7966" w:rsidR="003B7C66" w:rsidRPr="007C4A23" w:rsidRDefault="007C4A23" w:rsidP="007C4A23">
      <w:pPr>
        <w:pBdr>
          <w:top w:val="single" w:sz="4" w:space="1" w:color="auto"/>
          <w:left w:val="single" w:sz="4" w:space="1" w:color="auto"/>
          <w:bottom w:val="single" w:sz="4" w:space="1" w:color="auto"/>
          <w:right w:val="single" w:sz="4" w:space="4" w:color="auto"/>
        </w:pBdr>
        <w:spacing w:after="0" w:line="240" w:lineRule="auto"/>
        <w:ind w:firstLine="357"/>
        <w:jc w:val="both"/>
        <w:rPr>
          <w:rFonts w:ascii="Arial" w:hAnsi="Arial" w:cs="Arial"/>
        </w:rPr>
      </w:pPr>
      <w:r>
        <w:rPr>
          <w:rFonts w:ascii="Arial" w:hAnsi="Arial" w:cs="Arial"/>
        </w:rPr>
        <w:t xml:space="preserve">- </w:t>
      </w:r>
      <w:r w:rsidR="003B7C66" w:rsidRPr="007C4A23">
        <w:rPr>
          <w:rFonts w:ascii="Arial" w:hAnsi="Arial" w:cs="Arial"/>
        </w:rPr>
        <w:t>Parathyroidectomy</w:t>
      </w:r>
    </w:p>
    <w:p w14:paraId="2EB700F8" w14:textId="77777777" w:rsidR="003B7C66" w:rsidRDefault="003B7C66" w:rsidP="007C4A23">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u w:val="single"/>
        </w:rPr>
      </w:pPr>
    </w:p>
    <w:p w14:paraId="1534A4C3" w14:textId="71365069" w:rsidR="003711DA" w:rsidRPr="003711DA" w:rsidRDefault="003B7C66" w:rsidP="007C4A23">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u w:val="single"/>
        </w:rPr>
      </w:pPr>
      <w:r>
        <w:rPr>
          <w:rFonts w:ascii="Arial" w:hAnsi="Arial" w:cs="Arial"/>
          <w:u w:val="single"/>
        </w:rPr>
        <w:t>Cinacalcet</w:t>
      </w:r>
    </w:p>
    <w:p w14:paraId="62401945" w14:textId="77777777" w:rsidR="008D1B32" w:rsidRPr="00662C59" w:rsidRDefault="008D1B32" w:rsidP="008D1B32">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rPr>
      </w:pPr>
      <w:r>
        <w:rPr>
          <w:rFonts w:ascii="Arial" w:hAnsi="Arial" w:cs="Arial"/>
          <w:b/>
        </w:rPr>
        <w:t>Cinacalcet is approved for use in line with the recommendations from  (</w:t>
      </w:r>
      <w:hyperlink r:id="rId12" w:history="1">
        <w:r w:rsidRPr="008A16CE">
          <w:rPr>
            <w:rStyle w:val="Hyperlink"/>
            <w:rFonts w:ascii="Arial" w:hAnsi="Arial" w:cs="Arial"/>
            <w:b/>
          </w:rPr>
          <w:t>NICE TA117</w:t>
        </w:r>
      </w:hyperlink>
      <w:r>
        <w:rPr>
          <w:rFonts w:ascii="Arial" w:hAnsi="Arial" w:cs="Arial"/>
          <w:b/>
        </w:rPr>
        <w:t>)</w:t>
      </w:r>
      <w:r w:rsidRPr="00843717">
        <w:rPr>
          <w:rFonts w:ascii="Arial" w:hAnsi="Arial" w:cs="Arial"/>
          <w:b/>
        </w:rPr>
        <w:t xml:space="preserve">:  </w:t>
      </w:r>
      <w:r>
        <w:rPr>
          <w:rFonts w:ascii="Arial" w:hAnsi="Arial" w:cs="Arial"/>
          <w:b/>
        </w:rPr>
        <w:t>‘</w:t>
      </w:r>
      <w:r w:rsidRPr="004865F1">
        <w:rPr>
          <w:rFonts w:ascii="Arial" w:hAnsi="Arial" w:cs="Arial"/>
          <w:b/>
        </w:rPr>
        <w:t>Cinacalcet for the treatment of secondary hyperparathyroidism in patients with end-stage renal disease on maintenance dialysis therapy</w:t>
      </w:r>
      <w:r>
        <w:rPr>
          <w:rFonts w:ascii="Arial" w:hAnsi="Arial" w:cs="Arial"/>
          <w:b/>
        </w:rPr>
        <w:t xml:space="preserve">’ </w:t>
      </w:r>
      <w:r>
        <w:rPr>
          <w:rFonts w:ascii="Arial" w:hAnsi="Arial" w:cs="Arial"/>
          <w:bCs/>
        </w:rPr>
        <w:t xml:space="preserve">and is </w:t>
      </w:r>
      <w:r w:rsidRPr="00B76274">
        <w:rPr>
          <w:rFonts w:ascii="Arial" w:hAnsi="Arial" w:cs="Arial"/>
        </w:rPr>
        <w:t xml:space="preserve">recommended for the treatment of refractory secondary hyperparathyroidism in patients with </w:t>
      </w:r>
      <w:r>
        <w:rPr>
          <w:rFonts w:ascii="Arial" w:hAnsi="Arial" w:cs="Arial"/>
        </w:rPr>
        <w:t>end-stage</w:t>
      </w:r>
      <w:r w:rsidRPr="00B76274">
        <w:rPr>
          <w:rFonts w:ascii="Arial" w:hAnsi="Arial" w:cs="Arial"/>
        </w:rPr>
        <w:t xml:space="preserve"> kidney disease (including those with calciphylaxis) only for those</w:t>
      </w:r>
      <w:r>
        <w:rPr>
          <w:rFonts w:ascii="Arial" w:hAnsi="Arial" w:cs="Arial"/>
        </w:rPr>
        <w:t xml:space="preserve"> w</w:t>
      </w:r>
      <w:r w:rsidRPr="00662C59">
        <w:rPr>
          <w:rFonts w:ascii="Arial" w:hAnsi="Arial" w:cs="Arial"/>
        </w:rPr>
        <w:t>ho have ‘very uncontrolled’ plasma levels of intact parathyroid hormone (defined as greater than 85     pmol/litre [800 pg/ml]) that are refractory to standard therapy, and a normal or high adjusted serum calcium level, and</w:t>
      </w:r>
      <w:r>
        <w:rPr>
          <w:rFonts w:ascii="Arial" w:hAnsi="Arial" w:cs="Arial"/>
        </w:rPr>
        <w:t xml:space="preserve"> i</w:t>
      </w:r>
      <w:r w:rsidRPr="00662C59">
        <w:rPr>
          <w:rFonts w:ascii="Arial" w:hAnsi="Arial" w:cs="Arial"/>
        </w:rPr>
        <w:t>n whom surgical parathyroidectomy is contraindicated, in that the risks of surgery are considered to outweigh the benefits.</w:t>
      </w:r>
    </w:p>
    <w:p w14:paraId="501661A1" w14:textId="77777777" w:rsidR="008D1B32" w:rsidRDefault="008D1B32" w:rsidP="008D1B32">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rPr>
      </w:pPr>
      <w:r w:rsidRPr="008D1B32">
        <w:rPr>
          <w:rFonts w:ascii="Arial" w:hAnsi="Arial" w:cs="Arial"/>
        </w:rPr>
        <w:t>Response to treatment should be monitored regularly and treatment should be continued only if a reduction in the plasma levels of intact parathyroid hormone of 30% or more is seen within 4 months of treatment</w:t>
      </w:r>
      <w:r w:rsidRPr="00662C59">
        <w:rPr>
          <w:rFonts w:ascii="Arial" w:hAnsi="Arial" w:cs="Arial"/>
        </w:rPr>
        <w:t>, including dose escalation as appropriate</w:t>
      </w:r>
      <w:r>
        <w:rPr>
          <w:rFonts w:ascii="Arial" w:hAnsi="Arial" w:cs="Arial"/>
        </w:rPr>
        <w:t xml:space="preserve"> (NICE TA117)</w:t>
      </w:r>
      <w:r w:rsidRPr="00662C59">
        <w:rPr>
          <w:rFonts w:ascii="Arial" w:hAnsi="Arial" w:cs="Arial"/>
        </w:rPr>
        <w:t>.</w:t>
      </w:r>
    </w:p>
    <w:p w14:paraId="5D6308E3" w14:textId="77777777" w:rsidR="00E406CA" w:rsidRDefault="00E406CA" w:rsidP="00E406CA">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rPr>
      </w:pP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752C8">
      <w:pPr>
        <w:pBdr>
          <w:top w:val="single" w:sz="4" w:space="1" w:color="auto"/>
          <w:left w:val="single" w:sz="4" w:space="1"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5B9D0A2F" w14:textId="77777777" w:rsidR="002A009B" w:rsidRPr="00843717" w:rsidRDefault="002A009B" w:rsidP="002752C8">
      <w:pPr>
        <w:pBdr>
          <w:top w:val="single" w:sz="4" w:space="1" w:color="auto"/>
          <w:left w:val="single" w:sz="4" w:space="1" w:color="auto"/>
          <w:bottom w:val="single" w:sz="4" w:space="1"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5700A731" w14:textId="28F1FF2C" w:rsidR="00E406CA" w:rsidRPr="00E406CA" w:rsidRDefault="00E406CA" w:rsidP="002752C8">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b/>
        </w:rPr>
      </w:pPr>
      <w:r w:rsidRPr="00E406CA">
        <w:rPr>
          <w:rFonts w:ascii="Arial" w:hAnsi="Arial" w:cs="Arial"/>
          <w:b/>
        </w:rPr>
        <w:t>The starting dose for all patients is 30mg once a day.</w:t>
      </w:r>
    </w:p>
    <w:p w14:paraId="55F980F4" w14:textId="1C3AB14E" w:rsidR="00E406CA" w:rsidRPr="00E406CA" w:rsidRDefault="00E406CA" w:rsidP="002752C8">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rPr>
      </w:pPr>
      <w:r w:rsidRPr="00E406CA">
        <w:rPr>
          <w:rFonts w:ascii="Arial" w:hAnsi="Arial" w:cs="Arial"/>
        </w:rPr>
        <w:t xml:space="preserve">This will be titrated according to </w:t>
      </w:r>
      <w:r w:rsidRPr="008D1B32">
        <w:rPr>
          <w:rFonts w:ascii="Arial" w:hAnsi="Arial" w:cs="Arial"/>
        </w:rPr>
        <w:t>response every 4 weeks to</w:t>
      </w:r>
      <w:r w:rsidRPr="00E406CA">
        <w:rPr>
          <w:rFonts w:ascii="Arial" w:hAnsi="Arial" w:cs="Arial"/>
        </w:rPr>
        <w:t xml:space="preserve"> achieve a t</w:t>
      </w:r>
      <w:r>
        <w:rPr>
          <w:rFonts w:ascii="Arial" w:hAnsi="Arial" w:cs="Arial"/>
        </w:rPr>
        <w:t xml:space="preserve">arget PTH of </w:t>
      </w:r>
      <w:r w:rsidRPr="00E406CA">
        <w:rPr>
          <w:rFonts w:ascii="Arial" w:hAnsi="Arial" w:cs="Arial"/>
        </w:rPr>
        <w:t>15</w:t>
      </w:r>
      <w:r w:rsidR="004030E8">
        <w:rPr>
          <w:rFonts w:ascii="Arial" w:hAnsi="Arial" w:cs="Arial"/>
        </w:rPr>
        <w:t>.</w:t>
      </w:r>
      <w:r w:rsidRPr="00E406CA">
        <w:rPr>
          <w:rFonts w:ascii="Arial" w:hAnsi="Arial" w:cs="Arial"/>
        </w:rPr>
        <w:t>9 – 31</w:t>
      </w:r>
      <w:r w:rsidR="004030E8">
        <w:rPr>
          <w:rFonts w:ascii="Arial" w:hAnsi="Arial" w:cs="Arial"/>
        </w:rPr>
        <w:t>.</w:t>
      </w:r>
      <w:r w:rsidRPr="00E406CA">
        <w:rPr>
          <w:rFonts w:ascii="Arial" w:hAnsi="Arial" w:cs="Arial"/>
        </w:rPr>
        <w:t>8pmol/L. M</w:t>
      </w:r>
      <w:r>
        <w:rPr>
          <w:rFonts w:ascii="Arial" w:hAnsi="Arial" w:cs="Arial"/>
        </w:rPr>
        <w:t>aximum dose is 180mg once a day</w:t>
      </w:r>
      <w:r w:rsidRPr="00E406CA">
        <w:rPr>
          <w:rFonts w:ascii="Arial" w:hAnsi="Arial" w:cs="Arial"/>
        </w:rPr>
        <w:t>.</w:t>
      </w:r>
    </w:p>
    <w:p w14:paraId="4BF24B9B" w14:textId="103320F1" w:rsidR="00E406CA" w:rsidRDefault="00E406CA" w:rsidP="002752C8">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rPr>
      </w:pPr>
      <w:r w:rsidRPr="00E406CA">
        <w:rPr>
          <w:rFonts w:ascii="Arial" w:hAnsi="Arial" w:cs="Arial"/>
        </w:rPr>
        <w:t>The dose should be taken with the evening mea</w:t>
      </w:r>
      <w:r>
        <w:rPr>
          <w:rFonts w:ascii="Arial" w:hAnsi="Arial" w:cs="Arial"/>
        </w:rPr>
        <w:t xml:space="preserve">l. PTH assay should be assessed </w:t>
      </w:r>
      <w:r w:rsidRPr="00E406CA">
        <w:rPr>
          <w:rFonts w:ascii="Arial" w:hAnsi="Arial" w:cs="Arial"/>
        </w:rPr>
        <w:t>at least 12 hours after taking cinacalcet.</w:t>
      </w:r>
    </w:p>
    <w:p w14:paraId="1E560A99" w14:textId="20F90E9B" w:rsidR="005E21BE" w:rsidRDefault="002A009B" w:rsidP="002752C8">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Preparations available:</w:t>
      </w:r>
      <w:r w:rsidRPr="00843717">
        <w:rPr>
          <w:rFonts w:ascii="Arial" w:hAnsi="Arial" w:cs="Arial"/>
        </w:rPr>
        <w:t xml:space="preserve"> </w:t>
      </w:r>
      <w:r w:rsidR="00E406CA">
        <w:rPr>
          <w:rFonts w:ascii="Arial" w:hAnsi="Arial" w:cs="Arial"/>
        </w:rPr>
        <w:t>Cina</w:t>
      </w:r>
      <w:r w:rsidR="00BE7632">
        <w:rPr>
          <w:rFonts w:ascii="Arial" w:hAnsi="Arial" w:cs="Arial"/>
        </w:rPr>
        <w:t>calcet 30mg, 60mg, 90mg tablets</w:t>
      </w:r>
    </w:p>
    <w:p w14:paraId="08310B75" w14:textId="77777777" w:rsidR="004E5B0B" w:rsidRDefault="004E5B0B" w:rsidP="002752C8">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rPr>
      </w:pPr>
    </w:p>
    <w:p w14:paraId="4D7723BB" w14:textId="77777777" w:rsidR="004E5B0B" w:rsidRPr="004E5B0B" w:rsidRDefault="004E5B0B" w:rsidP="004E5B0B">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u w:val="single"/>
        </w:rPr>
      </w:pPr>
      <w:bookmarkStart w:id="3" w:name="_Hlk178167891"/>
      <w:r w:rsidRPr="004E5B0B">
        <w:rPr>
          <w:rFonts w:ascii="Arial" w:hAnsi="Arial" w:cs="Arial"/>
          <w:u w:val="single"/>
        </w:rPr>
        <w:t>Swallowing difficulties</w:t>
      </w:r>
    </w:p>
    <w:p w14:paraId="0E1A1BBC" w14:textId="5C914BC3" w:rsidR="004E5B0B" w:rsidRPr="004E5B0B" w:rsidRDefault="004E5B0B" w:rsidP="002752C8">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b/>
          <w:bCs/>
        </w:rPr>
      </w:pPr>
      <w:r w:rsidRPr="004E5B0B">
        <w:rPr>
          <w:rFonts w:ascii="Arial" w:hAnsi="Arial" w:cs="Arial"/>
        </w:rPr>
        <w:t xml:space="preserve">Please refer to the </w:t>
      </w:r>
      <w:hyperlink r:id="rId13" w:history="1">
        <w:r w:rsidRPr="004E5B0B">
          <w:rPr>
            <w:rStyle w:val="Hyperlink"/>
            <w:rFonts w:ascii="Arial" w:hAnsi="Arial" w:cs="Arial"/>
          </w:rPr>
          <w:t>‘specials’ alternative guidance</w:t>
        </w:r>
      </w:hyperlink>
      <w:r w:rsidRPr="004E5B0B">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4E5B0B">
        <w:rPr>
          <w:rFonts w:ascii="Arial" w:hAnsi="Arial" w:cs="Arial"/>
        </w:rPr>
        <w:t>takes into account</w:t>
      </w:r>
      <w:proofErr w:type="gramEnd"/>
      <w:r w:rsidRPr="004E5B0B">
        <w:rPr>
          <w:rFonts w:ascii="Arial" w:hAnsi="Arial" w:cs="Arial"/>
        </w:rPr>
        <w:t xml:space="preserve"> alternative medicines, formulations, cost and </w:t>
      </w:r>
      <w:r w:rsidRPr="004E5B0B">
        <w:rPr>
          <w:rFonts w:ascii="Arial" w:hAnsi="Arial" w:cs="Arial"/>
        </w:rPr>
        <w:lastRenderedPageBreak/>
        <w:t>licensing. This list is not exhaustive. As not all medicines are listed, please contact the initiating specialist if required for individual patient advice if a patient has a swallowing difficulty.</w:t>
      </w:r>
    </w:p>
    <w:bookmarkEnd w:id="3"/>
    <w:p w14:paraId="533CE545" w14:textId="77777777" w:rsidR="004E5B0B" w:rsidRDefault="004E5B0B"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2"/>
      </w:tblGrid>
      <w:tr w:rsidR="0057501A" w:rsidRPr="0057501A" w14:paraId="02A36541" w14:textId="77777777" w:rsidTr="002752C8">
        <w:trPr>
          <w:trHeight w:val="632"/>
        </w:trPr>
        <w:tc>
          <w:tcPr>
            <w:tcW w:w="10802"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2D3AF044" w14:textId="1A139344" w:rsidR="00E406CA" w:rsidRPr="004030E8" w:rsidRDefault="00E406CA" w:rsidP="008876D9">
            <w:pPr>
              <w:numPr>
                <w:ilvl w:val="0"/>
                <w:numId w:val="6"/>
              </w:numPr>
              <w:shd w:val="clear" w:color="auto" w:fill="FFFFFF"/>
              <w:spacing w:after="0" w:line="240" w:lineRule="auto"/>
              <w:rPr>
                <w:rFonts w:ascii="Arial" w:eastAsia="Times New Roman" w:hAnsi="Arial" w:cs="Arial"/>
                <w:color w:val="000000"/>
                <w:lang w:eastAsia="en-GB"/>
              </w:rPr>
            </w:pPr>
            <w:r w:rsidRPr="004030E8">
              <w:rPr>
                <w:rFonts w:ascii="Arial" w:eastAsia="Times New Roman" w:hAnsi="Arial" w:cs="Arial"/>
                <w:color w:val="000000"/>
                <w:lang w:eastAsia="en-GB"/>
              </w:rPr>
              <w:t xml:space="preserve">Diagnose and select appropriate patients for treatment </w:t>
            </w:r>
            <w:r w:rsidR="004030E8" w:rsidRPr="004030E8">
              <w:rPr>
                <w:rFonts w:ascii="Arial" w:eastAsia="Times New Roman" w:hAnsi="Arial" w:cs="Arial"/>
                <w:color w:val="000000"/>
                <w:lang w:eastAsia="en-GB"/>
              </w:rPr>
              <w:t xml:space="preserve">in line with the recommendations from </w:t>
            </w:r>
            <w:r w:rsidRPr="004030E8">
              <w:rPr>
                <w:rFonts w:ascii="Arial" w:eastAsia="Times New Roman" w:hAnsi="Arial" w:cs="Arial"/>
                <w:color w:val="000000"/>
                <w:lang w:eastAsia="en-GB"/>
              </w:rPr>
              <w:t>NICE</w:t>
            </w:r>
            <w:r w:rsidR="004030E8" w:rsidRPr="004030E8">
              <w:rPr>
                <w:rFonts w:ascii="Arial" w:eastAsia="Times New Roman" w:hAnsi="Arial" w:cs="Arial"/>
                <w:color w:val="000000"/>
                <w:lang w:eastAsia="en-GB"/>
              </w:rPr>
              <w:t xml:space="preserve"> TA 117</w:t>
            </w:r>
            <w:r w:rsidR="008A16CE">
              <w:rPr>
                <w:rFonts w:ascii="Arial" w:eastAsia="Times New Roman" w:hAnsi="Arial" w:cs="Arial"/>
                <w:color w:val="000000"/>
                <w:lang w:eastAsia="en-GB"/>
              </w:rPr>
              <w:t xml:space="preserve"> ‘</w:t>
            </w:r>
            <w:r w:rsidR="008A16CE" w:rsidRPr="008A16CE">
              <w:rPr>
                <w:rFonts w:ascii="Arial" w:eastAsia="Times New Roman" w:hAnsi="Arial" w:cs="Arial"/>
                <w:color w:val="000000"/>
                <w:lang w:eastAsia="en-GB"/>
              </w:rPr>
              <w:t xml:space="preserve">Cinacalcet for the treatment of secondary hyperparathyroidism in patients with end-stage renal disease on maintenance dialysis </w:t>
            </w:r>
            <w:r w:rsidR="007E78CD" w:rsidRPr="008A16CE">
              <w:rPr>
                <w:rFonts w:ascii="Arial" w:eastAsia="Times New Roman" w:hAnsi="Arial" w:cs="Arial"/>
                <w:color w:val="000000"/>
                <w:lang w:eastAsia="en-GB"/>
              </w:rPr>
              <w:t>therapy</w:t>
            </w:r>
            <w:r w:rsidR="007E78CD">
              <w:rPr>
                <w:rFonts w:ascii="Arial" w:eastAsia="Times New Roman" w:hAnsi="Arial" w:cs="Arial"/>
                <w:color w:val="000000"/>
                <w:lang w:eastAsia="en-GB"/>
              </w:rPr>
              <w:t>. ‘</w:t>
            </w:r>
          </w:p>
          <w:p w14:paraId="49202902" w14:textId="615E9E40" w:rsidR="00E406CA" w:rsidRPr="004030E8" w:rsidRDefault="00E406CA" w:rsidP="008876D9">
            <w:pPr>
              <w:numPr>
                <w:ilvl w:val="0"/>
                <w:numId w:val="6"/>
              </w:numPr>
              <w:shd w:val="clear" w:color="auto" w:fill="FFFFFF"/>
              <w:spacing w:after="0" w:line="240" w:lineRule="auto"/>
              <w:rPr>
                <w:rFonts w:ascii="Arial" w:eastAsia="Times New Roman" w:hAnsi="Arial" w:cs="Arial"/>
                <w:color w:val="000000"/>
                <w:lang w:eastAsia="en-GB"/>
              </w:rPr>
            </w:pPr>
            <w:r w:rsidRPr="004030E8">
              <w:rPr>
                <w:rFonts w:ascii="Arial" w:eastAsia="Times New Roman" w:hAnsi="Arial" w:cs="Arial"/>
                <w:color w:val="000000"/>
                <w:lang w:eastAsia="en-GB"/>
              </w:rPr>
              <w:t>Confirm with the GP that the patient fulfils</w:t>
            </w:r>
            <w:r w:rsidR="004030E8" w:rsidRPr="004030E8">
              <w:rPr>
                <w:rFonts w:ascii="Arial" w:eastAsia="Times New Roman" w:hAnsi="Arial" w:cs="Arial"/>
                <w:color w:val="000000"/>
                <w:lang w:eastAsia="en-GB"/>
              </w:rPr>
              <w:t xml:space="preserve"> criteria from</w:t>
            </w:r>
            <w:r w:rsidRPr="004030E8">
              <w:rPr>
                <w:rFonts w:ascii="Arial" w:eastAsia="Times New Roman" w:hAnsi="Arial" w:cs="Arial"/>
                <w:color w:val="000000"/>
                <w:lang w:eastAsia="en-GB"/>
              </w:rPr>
              <w:t xml:space="preserve"> NICE </w:t>
            </w:r>
            <w:r w:rsidR="004030E8" w:rsidRPr="004030E8">
              <w:rPr>
                <w:rFonts w:ascii="Arial" w:eastAsia="Times New Roman" w:hAnsi="Arial" w:cs="Arial"/>
                <w:color w:val="000000"/>
                <w:lang w:eastAsia="en-GB"/>
              </w:rPr>
              <w:t>TA117</w:t>
            </w:r>
            <w:r w:rsidRPr="004030E8">
              <w:rPr>
                <w:rFonts w:ascii="Arial" w:eastAsia="Times New Roman" w:hAnsi="Arial" w:cs="Arial"/>
                <w:color w:val="000000"/>
                <w:lang w:eastAsia="en-GB"/>
              </w:rPr>
              <w:t xml:space="preserve"> for initiation</w:t>
            </w:r>
            <w:r w:rsidR="008D1B32">
              <w:rPr>
                <w:rFonts w:ascii="Arial" w:eastAsia="Times New Roman" w:hAnsi="Arial" w:cs="Arial"/>
                <w:color w:val="000000"/>
                <w:lang w:eastAsia="en-GB"/>
              </w:rPr>
              <w:t xml:space="preserve"> and ongoing treatment</w:t>
            </w:r>
            <w:r w:rsidRPr="004030E8">
              <w:rPr>
                <w:rFonts w:ascii="Arial" w:eastAsia="Times New Roman" w:hAnsi="Arial" w:cs="Arial"/>
                <w:color w:val="000000"/>
                <w:lang w:eastAsia="en-GB"/>
              </w:rPr>
              <w:t>.</w:t>
            </w:r>
          </w:p>
          <w:p w14:paraId="71D2166D" w14:textId="2EDAF8D6" w:rsidR="00E406CA" w:rsidRDefault="00E406CA" w:rsidP="008876D9">
            <w:pPr>
              <w:numPr>
                <w:ilvl w:val="0"/>
                <w:numId w:val="6"/>
              </w:numPr>
              <w:shd w:val="clear" w:color="auto" w:fill="FFFFFF"/>
              <w:spacing w:after="0" w:line="240" w:lineRule="auto"/>
              <w:rPr>
                <w:rFonts w:ascii="Arial" w:eastAsia="Times New Roman" w:hAnsi="Arial" w:cs="Arial"/>
                <w:color w:val="000000"/>
                <w:lang w:eastAsia="en-GB"/>
              </w:rPr>
            </w:pPr>
            <w:r w:rsidRPr="00E406CA">
              <w:rPr>
                <w:rFonts w:ascii="Arial" w:eastAsia="Times New Roman" w:hAnsi="Arial" w:cs="Arial"/>
                <w:color w:val="000000"/>
                <w:lang w:eastAsia="en-GB"/>
              </w:rPr>
              <w:t>Discuss the potential benefits and side effects of treatment with the patient.</w:t>
            </w:r>
          </w:p>
          <w:p w14:paraId="6F85994F" w14:textId="3CA834CF" w:rsidR="004030E8" w:rsidRPr="004030E8" w:rsidRDefault="004030E8" w:rsidP="00A156D9">
            <w:pPr>
              <w:pStyle w:val="ListParagraph"/>
              <w:numPr>
                <w:ilvl w:val="0"/>
                <w:numId w:val="6"/>
              </w:numPr>
              <w:shd w:val="clear" w:color="auto" w:fill="FFFFFF"/>
              <w:spacing w:after="0" w:line="240" w:lineRule="auto"/>
              <w:rPr>
                <w:rFonts w:ascii="Arial" w:eastAsia="Times New Roman" w:hAnsi="Arial" w:cs="Arial"/>
                <w:color w:val="000000"/>
                <w:lang w:eastAsia="en-GB"/>
              </w:rPr>
            </w:pPr>
            <w:r w:rsidRPr="004030E8">
              <w:rPr>
                <w:rFonts w:ascii="Arial" w:eastAsia="Times New Roman" w:hAnsi="Arial" w:cs="Arial"/>
                <w:color w:val="000000"/>
                <w:lang w:eastAsia="en-GB"/>
              </w:rPr>
              <w:t>Undertake pre-treatment counselling and document discussion in patient’s records. Provide patient/carer with relevant (preferably written) information on use, side effects, need for monitoring of medication and precautions including that no new medicines are started (including over the counter preparations) unless this has been discussed with the GP, specialist or pharmacist.</w:t>
            </w:r>
            <w:r w:rsidR="007E78CD">
              <w:rPr>
                <w:rFonts w:ascii="Arial" w:eastAsia="Times New Roman" w:hAnsi="Arial" w:cs="Arial"/>
                <w:color w:val="000000"/>
                <w:lang w:eastAsia="en-GB"/>
              </w:rPr>
              <w:t xml:space="preserve"> </w:t>
            </w:r>
            <w:r w:rsidR="007E78CD" w:rsidRPr="007E78CD">
              <w:rPr>
                <w:rFonts w:ascii="Arial" w:eastAsia="Times New Roman" w:hAnsi="Arial" w:cs="Arial"/>
                <w:i/>
                <w:iCs/>
                <w:color w:val="000000"/>
                <w:lang w:eastAsia="en-GB"/>
              </w:rPr>
              <w:t>(cont. page 5/</w:t>
            </w:r>
            <w:r w:rsidR="00A97578">
              <w:rPr>
                <w:rFonts w:ascii="Arial" w:eastAsia="Times New Roman" w:hAnsi="Arial" w:cs="Arial"/>
                <w:i/>
                <w:iCs/>
                <w:color w:val="000000"/>
                <w:lang w:eastAsia="en-GB"/>
              </w:rPr>
              <w:t>9</w:t>
            </w:r>
            <w:r w:rsidR="007E78CD" w:rsidRPr="007E78CD">
              <w:rPr>
                <w:rFonts w:ascii="Arial" w:eastAsia="Times New Roman" w:hAnsi="Arial" w:cs="Arial"/>
                <w:i/>
                <w:iCs/>
                <w:color w:val="000000"/>
                <w:lang w:eastAsia="en-GB"/>
              </w:rPr>
              <w:t>)</w:t>
            </w:r>
          </w:p>
          <w:p w14:paraId="7CBBD08C" w14:textId="77777777" w:rsidR="004030E8" w:rsidRPr="0018705A" w:rsidRDefault="004030E8" w:rsidP="004030E8">
            <w:pPr>
              <w:pStyle w:val="ListParagraph"/>
              <w:numPr>
                <w:ilvl w:val="0"/>
                <w:numId w:val="6"/>
              </w:numPr>
              <w:spacing w:after="0" w:line="240" w:lineRule="auto"/>
              <w:rPr>
                <w:rFonts w:ascii="Arial" w:eastAsia="Times New Roman" w:hAnsi="Arial" w:cs="Arial"/>
                <w:bCs/>
                <w:lang w:eastAsia="en-GB"/>
              </w:rPr>
            </w:pPr>
            <w:r w:rsidRPr="0018705A">
              <w:rPr>
                <w:rFonts w:ascii="Arial" w:eastAsia="Times New Roman" w:hAnsi="Arial" w:cs="Arial"/>
                <w:bCs/>
                <w:lang w:eastAsia="en-GB"/>
              </w:rPr>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omplete and sign Specialist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p>
          <w:p w14:paraId="4C3C7CE6" w14:textId="77777777" w:rsidR="004030E8" w:rsidRPr="00173E2E" w:rsidRDefault="004030E8" w:rsidP="004030E8">
            <w:pPr>
              <w:numPr>
                <w:ilvl w:val="0"/>
                <w:numId w:val="6"/>
              </w:numPr>
              <w:spacing w:after="0" w:line="240" w:lineRule="auto"/>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47906F14" w14:textId="77777777" w:rsidR="004030E8" w:rsidRDefault="004030E8" w:rsidP="004030E8">
            <w:pPr>
              <w:pStyle w:val="ListParagraph"/>
              <w:numPr>
                <w:ilvl w:val="0"/>
                <w:numId w:val="6"/>
              </w:numPr>
              <w:spacing w:after="0" w:line="240" w:lineRule="auto"/>
              <w:rPr>
                <w:rFonts w:ascii="Arial" w:eastAsia="Times New Roman" w:hAnsi="Arial" w:cs="Arial"/>
                <w:bCs/>
                <w:lang w:eastAsia="en-GB"/>
              </w:rPr>
            </w:pPr>
            <w:r w:rsidRPr="0018705A">
              <w:rPr>
                <w:rFonts w:ascii="Arial" w:eastAsia="Times New Roman" w:hAnsi="Arial" w:cs="Arial"/>
                <w:bCs/>
                <w:lang w:eastAsia="en-GB"/>
              </w:rPr>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Pr>
                <w:rFonts w:ascii="Arial" w:eastAsia="Times New Roman" w:hAnsi="Arial" w:cs="Arial"/>
                <w:bCs/>
                <w:lang w:eastAsia="en-GB"/>
              </w:rPr>
              <w:t>.</w:t>
            </w:r>
          </w:p>
          <w:p w14:paraId="7D981961" w14:textId="49D9B8D0" w:rsidR="004030E8" w:rsidRDefault="004030E8" w:rsidP="002752C8">
            <w:pPr>
              <w:numPr>
                <w:ilvl w:val="0"/>
                <w:numId w:val="6"/>
              </w:numPr>
              <w:spacing w:after="0" w:line="240" w:lineRule="auto"/>
              <w:ind w:right="-107"/>
              <w:rPr>
                <w:rFonts w:ascii="Arial" w:eastAsia="Times New Roman" w:hAnsi="Arial" w:cs="Arial"/>
                <w:bCs/>
                <w:lang w:eastAsia="en-GB"/>
              </w:rPr>
            </w:pPr>
            <w:r w:rsidRPr="00C36EB0">
              <w:rPr>
                <w:rFonts w:ascii="Arial" w:eastAsia="Times New Roman" w:hAnsi="Arial" w:cs="Arial"/>
                <w:bCs/>
                <w:lang w:eastAsia="en-GB"/>
              </w:rPr>
              <w:t>Prescribe for initial stabilisation period</w:t>
            </w:r>
            <w:r w:rsidR="002752C8">
              <w:rPr>
                <w:rFonts w:ascii="Arial" w:eastAsia="Times New Roman" w:hAnsi="Arial" w:cs="Arial"/>
                <w:bCs/>
                <w:lang w:eastAsia="en-GB"/>
              </w:rPr>
              <w:t>, usually 8-12 weeks.</w:t>
            </w:r>
          </w:p>
          <w:p w14:paraId="50983B93" w14:textId="77777777" w:rsidR="004030E8" w:rsidRPr="00275F77" w:rsidRDefault="004030E8" w:rsidP="004030E8">
            <w:pPr>
              <w:numPr>
                <w:ilvl w:val="0"/>
                <w:numId w:val="6"/>
              </w:numPr>
              <w:spacing w:after="0" w:line="240" w:lineRule="auto"/>
              <w:rPr>
                <w:rFonts w:ascii="Arial" w:eastAsia="Times New Roman" w:hAnsi="Arial" w:cs="Arial"/>
                <w:bCs/>
                <w:lang w:eastAsia="en-GB"/>
              </w:rPr>
            </w:pPr>
            <w:r w:rsidRPr="00275F77">
              <w:rPr>
                <w:rFonts w:ascii="Arial" w:eastAsia="Times New Roman" w:hAnsi="Arial" w:cs="Arial"/>
                <w:color w:val="000000"/>
                <w:lang w:eastAsia="en-GB"/>
              </w:rPr>
              <w:t xml:space="preserve">Undertake baseline </w:t>
            </w:r>
            <w:r w:rsidRPr="0018705A">
              <w:rPr>
                <w:rFonts w:ascii="Arial" w:eastAsia="Times New Roman" w:hAnsi="Arial" w:cs="Arial"/>
                <w:color w:val="000000"/>
                <w:lang w:eastAsia="en-GB"/>
              </w:rPr>
              <w:t xml:space="preserve">and ongoing </w:t>
            </w:r>
            <w:r w:rsidRPr="00275F77">
              <w:rPr>
                <w:rFonts w:ascii="Arial" w:eastAsia="Times New Roman" w:hAnsi="Arial" w:cs="Arial"/>
                <w:color w:val="000000"/>
                <w:lang w:eastAsia="en-GB"/>
              </w:rPr>
              <w:t>tests as indicated in the monitoring table.</w:t>
            </w:r>
            <w:r w:rsidRPr="0018705A">
              <w:rPr>
                <w:rFonts w:ascii="Arial" w:eastAsia="Times New Roman" w:hAnsi="Arial" w:cs="Arial"/>
                <w:color w:val="000000"/>
                <w:lang w:eastAsia="en-GB"/>
              </w:rPr>
              <w:t xml:space="preserve"> </w:t>
            </w:r>
            <w:r w:rsidRPr="00275F77">
              <w:rPr>
                <w:rFonts w:ascii="Arial" w:eastAsia="Times New Roman" w:hAnsi="Arial" w:cs="Arial"/>
                <w:color w:val="000000"/>
                <w:lang w:eastAsia="en-GB"/>
              </w:rPr>
              <w:t>Review results of safety monitoring and request additional tests as required. </w:t>
            </w:r>
          </w:p>
          <w:p w14:paraId="7B3246CC" w14:textId="77777777" w:rsidR="004030E8" w:rsidRPr="0018705A" w:rsidRDefault="004030E8" w:rsidP="002752C8">
            <w:pPr>
              <w:numPr>
                <w:ilvl w:val="0"/>
                <w:numId w:val="6"/>
              </w:numPr>
              <w:shd w:val="clear" w:color="auto" w:fill="FFFFFF"/>
              <w:spacing w:after="0" w:line="240" w:lineRule="auto"/>
              <w:ind w:right="13"/>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52D2FC7D" w14:textId="77777777" w:rsidR="004030E8" w:rsidRDefault="004030E8" w:rsidP="004030E8">
            <w:pPr>
              <w:numPr>
                <w:ilvl w:val="0"/>
                <w:numId w:val="6"/>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Monitor</w:t>
            </w:r>
            <w:r w:rsidRPr="00275F77">
              <w:rPr>
                <w:rFonts w:ascii="Arial" w:eastAsia="Times New Roman" w:hAnsi="Arial" w:cs="Arial"/>
                <w:color w:val="000000"/>
                <w:lang w:eastAsia="en-GB"/>
              </w:rPr>
              <w:t xml:space="preserve"> response</w:t>
            </w:r>
            <w:r w:rsidRPr="0018705A">
              <w:rPr>
                <w:rFonts w:ascii="Arial" w:eastAsia="Times New Roman" w:hAnsi="Arial" w:cs="Arial"/>
                <w:color w:val="000000"/>
                <w:lang w:eastAsia="en-GB"/>
              </w:rPr>
              <w:t xml:space="preserve"> and adverse effects</w:t>
            </w:r>
            <w:r w:rsidRPr="00275F77">
              <w:rPr>
                <w:rFonts w:ascii="Arial" w:eastAsia="Times New Roman" w:hAnsi="Arial" w:cs="Arial"/>
                <w:color w:val="000000"/>
                <w:lang w:eastAsia="en-GB"/>
              </w:rPr>
              <w:t xml:space="preserve"> to treatment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032D3556" w14:textId="77777777" w:rsidR="004030E8" w:rsidRDefault="004030E8" w:rsidP="004030E8">
            <w:pPr>
              <w:numPr>
                <w:ilvl w:val="0"/>
                <w:numId w:val="6"/>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Advise the GP on when to adjust the dose or to stop treatment. </w:t>
            </w:r>
          </w:p>
          <w:p w14:paraId="7863C342" w14:textId="77777777" w:rsidR="004030E8" w:rsidRPr="005736CF" w:rsidRDefault="004030E8" w:rsidP="004030E8">
            <w:pPr>
              <w:numPr>
                <w:ilvl w:val="0"/>
                <w:numId w:val="6"/>
              </w:numPr>
              <w:shd w:val="clear" w:color="auto" w:fill="FFFFFF"/>
              <w:spacing w:after="0" w:line="240" w:lineRule="auto"/>
              <w:rPr>
                <w:rFonts w:ascii="Arial" w:eastAsia="Times New Roman" w:hAnsi="Arial" w:cs="Arial"/>
                <w:color w:val="000000"/>
                <w:lang w:eastAsia="en-GB"/>
              </w:rPr>
            </w:pPr>
            <w:r w:rsidRPr="005736CF">
              <w:rPr>
                <w:rFonts w:ascii="Arial" w:eastAsia="Times New Roman" w:hAnsi="Arial" w:cs="Arial"/>
                <w:color w:val="000000"/>
                <w:lang w:eastAsia="en-GB"/>
              </w:rPr>
              <w:t xml:space="preserve">Notify GP if patient does not attend clinic repeatedly and advise on action to take. </w:t>
            </w:r>
          </w:p>
          <w:p w14:paraId="03ACEF33" w14:textId="77777777" w:rsidR="004030E8" w:rsidRDefault="004030E8" w:rsidP="004030E8">
            <w:pPr>
              <w:numPr>
                <w:ilvl w:val="0"/>
                <w:numId w:val="6"/>
              </w:numPr>
              <w:shd w:val="clear" w:color="auto" w:fill="FFFFFF"/>
              <w:spacing w:after="0" w:line="240" w:lineRule="auto"/>
              <w:rPr>
                <w:rFonts w:ascii="Arial" w:eastAsia="Times New Roman" w:hAnsi="Arial" w:cs="Arial"/>
                <w:color w:val="000000"/>
                <w:lang w:eastAsia="en-GB"/>
              </w:rPr>
            </w:pPr>
            <w:r w:rsidRPr="0030269A">
              <w:rPr>
                <w:rFonts w:ascii="Arial" w:eastAsia="Times New Roman" w:hAnsi="Arial" w:cs="Arial"/>
                <w:color w:val="000000"/>
                <w:lang w:eastAsia="en-GB"/>
              </w:rPr>
              <w:t>Provide any other advice, information or support for the GP if required. Communicate any clinically important issues and action</w:t>
            </w:r>
            <w:r>
              <w:rPr>
                <w:rFonts w:ascii="Arial" w:eastAsia="Times New Roman" w:hAnsi="Arial" w:cs="Arial"/>
                <w:color w:val="000000"/>
                <w:lang w:eastAsia="en-GB"/>
              </w:rPr>
              <w:t xml:space="preserve"> to be taken and ensure clear back-up arrangements exist for GPs to obtain advice and support. </w:t>
            </w:r>
          </w:p>
          <w:p w14:paraId="1C612323" w14:textId="77777777" w:rsidR="004030E8" w:rsidRDefault="004030E8" w:rsidP="004030E8">
            <w:pPr>
              <w:numPr>
                <w:ilvl w:val="0"/>
                <w:numId w:val="6"/>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Report any adverse events to MHRA/CHM and the GP. </w:t>
            </w:r>
          </w:p>
          <w:p w14:paraId="558DC49D" w14:textId="66E8617A" w:rsidR="004030E8" w:rsidRDefault="004030E8" w:rsidP="004030E8">
            <w:pPr>
              <w:numPr>
                <w:ilvl w:val="0"/>
                <w:numId w:val="6"/>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Support any training arrangements to ensure that GPs have the skills to ensure safe practice</w:t>
            </w:r>
            <w:r w:rsidR="00C26E21">
              <w:rPr>
                <w:rFonts w:ascii="Arial" w:eastAsia="Times New Roman" w:hAnsi="Arial" w:cs="Arial"/>
                <w:color w:val="000000"/>
                <w:lang w:eastAsia="en-GB"/>
              </w:rPr>
              <w:t>.</w:t>
            </w:r>
          </w:p>
          <w:p w14:paraId="7CF94A46" w14:textId="2B826D13" w:rsidR="0057501A" w:rsidRPr="00C26E21" w:rsidRDefault="0057501A" w:rsidP="00C26E21">
            <w:pPr>
              <w:spacing w:after="0" w:line="240" w:lineRule="auto"/>
              <w:rPr>
                <w:rFonts w:ascii="Arial" w:eastAsia="Times New Roman" w:hAnsi="Arial" w:cs="Arial"/>
                <w:bCs/>
                <w:lang w:eastAsia="en-GB"/>
              </w:rPr>
            </w:pP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2752C8">
      <w:pPr>
        <w:keepNext/>
        <w:pBdr>
          <w:top w:val="single" w:sz="4" w:space="1" w:color="auto"/>
          <w:left w:val="single" w:sz="4" w:space="4" w:color="auto"/>
          <w:bottom w:val="single" w:sz="4" w:space="1" w:color="auto"/>
          <w:right w:val="single" w:sz="4" w:space="6" w:color="auto"/>
        </w:pBdr>
        <w:spacing w:after="0" w:line="240" w:lineRule="auto"/>
        <w:ind w:left="56" w:right="-158"/>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5E20D31F" w:rsidR="005E21BE" w:rsidRDefault="005E21BE" w:rsidP="002752C8">
      <w:pPr>
        <w:keepNext/>
        <w:pBdr>
          <w:top w:val="single" w:sz="4" w:space="1" w:color="auto"/>
          <w:left w:val="single" w:sz="4" w:space="4" w:color="auto"/>
          <w:bottom w:val="single" w:sz="4" w:space="1" w:color="auto"/>
          <w:right w:val="single" w:sz="4" w:space="6" w:color="auto"/>
        </w:pBdr>
        <w:tabs>
          <w:tab w:val="left" w:pos="357"/>
        </w:tabs>
        <w:spacing w:after="0" w:line="240" w:lineRule="auto"/>
        <w:ind w:left="56" w:right="-158"/>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B1A04">
        <w:rPr>
          <w:rFonts w:ascii="Arial" w:eastAsia="Times New Roman" w:hAnsi="Arial" w:cs="Arial"/>
          <w:bCs/>
          <w:szCs w:val="24"/>
        </w:rPr>
        <w:t>2</w:t>
      </w:r>
      <w:r w:rsidR="00AF6D3E">
        <w:rPr>
          <w:rFonts w:ascii="Arial" w:eastAsia="Times New Roman" w:hAnsi="Arial" w:cs="Arial"/>
          <w:bCs/>
          <w:szCs w:val="24"/>
        </w:rPr>
        <w:t xml:space="preserve"> and </w:t>
      </w:r>
      <w:r w:rsidR="00AF6D3E" w:rsidRPr="00AF6D3E">
        <w:rPr>
          <w:rFonts w:ascii="Arial" w:eastAsia="Times New Roman" w:hAnsi="Arial" w:cs="Arial"/>
          <w:bCs/>
          <w:szCs w:val="24"/>
        </w:rPr>
        <w:t>GP Considerations for Shared Care</w:t>
      </w:r>
      <w:r w:rsidR="0081622D">
        <w:rPr>
          <w:rFonts w:ascii="Arial" w:eastAsia="Times New Roman" w:hAnsi="Arial" w:cs="Arial"/>
          <w:bCs/>
          <w:szCs w:val="24"/>
        </w:rPr>
        <w:t xml:space="preserve"> page </w:t>
      </w:r>
      <w:r w:rsidR="00A97578">
        <w:rPr>
          <w:rFonts w:ascii="Arial" w:eastAsia="Times New Roman" w:hAnsi="Arial" w:cs="Arial"/>
          <w:bCs/>
          <w:szCs w:val="24"/>
        </w:rPr>
        <w:t>8</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2752C8">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459EAD88" w14:textId="77777777" w:rsidR="00C26E21" w:rsidRPr="00C26E21" w:rsidRDefault="00C26E21" w:rsidP="00C26E21">
            <w:pPr>
              <w:numPr>
                <w:ilvl w:val="0"/>
                <w:numId w:val="8"/>
              </w:numPr>
              <w:spacing w:after="0" w:line="240" w:lineRule="auto"/>
              <w:rPr>
                <w:rFonts w:ascii="Arial" w:eastAsia="Times New Roman" w:hAnsi="Arial" w:cs="Arial"/>
                <w:bCs/>
                <w:lang w:eastAsia="en-GB"/>
              </w:rPr>
            </w:pPr>
            <w:r w:rsidRPr="00C26E21">
              <w:rPr>
                <w:rFonts w:ascii="Arial" w:eastAsia="Times New Roman" w:hAnsi="Arial" w:cs="Arial"/>
                <w:bCs/>
                <w:lang w:eastAsia="en-GB"/>
              </w:rPr>
              <w:t>Confirm their agreement with the decision to move to a shared care model for their ongoing care and their understanding of the shared care agreement.</w:t>
            </w:r>
          </w:p>
          <w:p w14:paraId="776607DD" w14:textId="7FEF464E" w:rsidR="00C26E21" w:rsidRPr="00C26E21" w:rsidRDefault="00C26E21" w:rsidP="00C26E21">
            <w:pPr>
              <w:numPr>
                <w:ilvl w:val="0"/>
                <w:numId w:val="8"/>
              </w:numPr>
              <w:spacing w:after="0" w:line="240" w:lineRule="auto"/>
              <w:rPr>
                <w:rFonts w:ascii="Arial" w:eastAsia="Times New Roman" w:hAnsi="Arial" w:cs="Arial"/>
                <w:bCs/>
                <w:lang w:eastAsia="en-GB"/>
              </w:rPr>
            </w:pPr>
            <w:r w:rsidRPr="00C26E21">
              <w:rPr>
                <w:rFonts w:ascii="Arial" w:eastAsia="Times New Roman" w:hAnsi="Arial" w:cs="Arial"/>
                <w:bCs/>
                <w:lang w:eastAsia="en-GB"/>
              </w:rPr>
              <w:t>Consent to share care and complete/sign Specialist and patient agreement section of Shared Care</w:t>
            </w:r>
          </w:p>
          <w:p w14:paraId="477348F2" w14:textId="535E2834" w:rsidR="00E406CA" w:rsidRDefault="00E406CA" w:rsidP="008876D9">
            <w:pPr>
              <w:numPr>
                <w:ilvl w:val="0"/>
                <w:numId w:val="8"/>
              </w:numPr>
              <w:spacing w:after="0" w:line="240" w:lineRule="auto"/>
              <w:rPr>
                <w:rFonts w:ascii="Arial" w:eastAsia="Times New Roman" w:hAnsi="Arial" w:cs="Arial"/>
                <w:bCs/>
                <w:lang w:eastAsia="en-GB"/>
              </w:rPr>
            </w:pPr>
            <w:r w:rsidRPr="00E406CA">
              <w:rPr>
                <w:rFonts w:ascii="Arial" w:eastAsia="Times New Roman" w:hAnsi="Arial" w:cs="Arial"/>
                <w:bCs/>
                <w:lang w:eastAsia="en-GB"/>
              </w:rPr>
              <w:t>Take the cinacalcet as prescribed.</w:t>
            </w:r>
          </w:p>
          <w:p w14:paraId="49915B9B" w14:textId="77777777" w:rsidR="00C26E21" w:rsidRPr="007D20CF" w:rsidRDefault="00C26E21" w:rsidP="00C26E21">
            <w:pPr>
              <w:pStyle w:val="ListParagraph"/>
              <w:numPr>
                <w:ilvl w:val="0"/>
                <w:numId w:val="8"/>
              </w:numPr>
              <w:spacing w:after="0" w:line="240" w:lineRule="auto"/>
              <w:rPr>
                <w:rFonts w:ascii="Arial" w:eastAsia="Times New Roman" w:hAnsi="Arial" w:cs="Arial"/>
                <w:bCs/>
                <w:lang w:eastAsia="en-GB"/>
              </w:rPr>
            </w:pPr>
            <w:r w:rsidRPr="007D20CF">
              <w:rPr>
                <w:rFonts w:ascii="Arial" w:eastAsia="Times New Roman" w:hAnsi="Arial" w:cs="Arial"/>
                <w:bCs/>
                <w:lang w:eastAsia="en-GB"/>
              </w:rPr>
              <w:t xml:space="preserve">Attending for blood monitoring and follow up hospital or GP appointments. </w:t>
            </w:r>
          </w:p>
          <w:p w14:paraId="68741E6D" w14:textId="77777777" w:rsidR="00C26E21" w:rsidRDefault="00C26E21" w:rsidP="00C26E21">
            <w:pPr>
              <w:numPr>
                <w:ilvl w:val="0"/>
                <w:numId w:val="8"/>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Report to the Specialist or GP if </w:t>
            </w:r>
            <w:r>
              <w:rPr>
                <w:rFonts w:ascii="Arial" w:eastAsia="Times New Roman" w:hAnsi="Arial" w:cs="Arial"/>
                <w:bCs/>
                <w:lang w:eastAsia="en-GB"/>
              </w:rPr>
              <w:t xml:space="preserve">they subsequently do not </w:t>
            </w:r>
            <w:r w:rsidRPr="001467F4">
              <w:rPr>
                <w:rFonts w:ascii="Arial" w:eastAsia="Times New Roman" w:hAnsi="Arial" w:cs="Arial"/>
                <w:bCs/>
                <w:lang w:eastAsia="en-GB"/>
              </w:rPr>
              <w:t>have a clear understanding of the treatment.</w:t>
            </w:r>
          </w:p>
          <w:p w14:paraId="49C022A0" w14:textId="720DD649" w:rsidR="00C26E21" w:rsidRPr="00061E36" w:rsidRDefault="00C26E21" w:rsidP="00C26E21">
            <w:pPr>
              <w:pStyle w:val="ListParagraph"/>
              <w:numPr>
                <w:ilvl w:val="0"/>
                <w:numId w:val="8"/>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w:t>
            </w:r>
            <w:r>
              <w:rPr>
                <w:rFonts w:ascii="Arial" w:eastAsia="Times New Roman" w:hAnsi="Arial" w:cs="Arial"/>
                <w:bCs/>
                <w:lang w:eastAsia="en-GB"/>
              </w:rPr>
              <w:t xml:space="preserve">is </w:t>
            </w:r>
            <w:r w:rsidRPr="00061E36">
              <w:rPr>
                <w:rFonts w:ascii="Arial" w:eastAsia="Times New Roman" w:hAnsi="Arial" w:cs="Arial"/>
                <w:bCs/>
                <w:lang w:eastAsia="en-GB"/>
              </w:rPr>
              <w:t xml:space="preserve">brought to all GP surgery, outpatient and A&amp;E consultations. </w:t>
            </w:r>
          </w:p>
          <w:p w14:paraId="6AFD2498" w14:textId="77777777" w:rsidR="00C26E21" w:rsidRPr="00CA1BB1" w:rsidRDefault="00C26E21" w:rsidP="00C26E21">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0C71DE92" w14:textId="77777777" w:rsidR="00C26E21" w:rsidRPr="00630281" w:rsidRDefault="00C26E21" w:rsidP="00C26E21">
            <w:pPr>
              <w:pStyle w:val="ListParagraph"/>
              <w:numPr>
                <w:ilvl w:val="0"/>
                <w:numId w:val="8"/>
              </w:numPr>
              <w:spacing w:after="0" w:line="240" w:lineRule="auto"/>
              <w:rPr>
                <w:rFonts w:ascii="Arial" w:eastAsia="Times New Roman" w:hAnsi="Arial" w:cs="Arial"/>
                <w:bCs/>
                <w:lang w:eastAsia="en-GB"/>
              </w:rPr>
            </w:pPr>
            <w:r w:rsidRPr="007D20CF">
              <w:rPr>
                <w:rFonts w:ascii="Arial" w:eastAsia="Times New Roman" w:hAnsi="Arial" w:cs="Arial"/>
                <w:bCs/>
                <w:lang w:eastAsia="en-GB"/>
              </w:rPr>
              <w:t>Confirm that no new medicines are started (including over the counter preparations) unless this has been discussed with the GP, specialist or pharmacist.</w:t>
            </w:r>
          </w:p>
          <w:p w14:paraId="07744A8E" w14:textId="18CACE73" w:rsidR="00C26E21" w:rsidRPr="001467F4" w:rsidRDefault="00C26E21" w:rsidP="00C26E21">
            <w:pPr>
              <w:numPr>
                <w:ilvl w:val="0"/>
                <w:numId w:val="8"/>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Share any concerns in relation to treatment with </w:t>
            </w:r>
            <w:r>
              <w:rPr>
                <w:rFonts w:ascii="Arial" w:eastAsia="Times New Roman" w:hAnsi="Arial" w:cs="Arial"/>
                <w:bCs/>
                <w:lang w:eastAsia="en-GB"/>
              </w:rPr>
              <w:t xml:space="preserve">cinacalcet </w:t>
            </w:r>
            <w:r w:rsidRPr="001467F4">
              <w:rPr>
                <w:rFonts w:ascii="Arial" w:eastAsia="Times New Roman" w:hAnsi="Arial" w:cs="Arial"/>
                <w:bCs/>
                <w:lang w:eastAsia="en-GB"/>
              </w:rPr>
              <w:t>with the Specialist or GP.</w:t>
            </w:r>
          </w:p>
          <w:p w14:paraId="135CCFF4" w14:textId="77777777" w:rsidR="00C26E21" w:rsidRDefault="00C26E21" w:rsidP="00C26E21">
            <w:pPr>
              <w:numPr>
                <w:ilvl w:val="0"/>
                <w:numId w:val="8"/>
              </w:numPr>
              <w:spacing w:after="0" w:line="240" w:lineRule="auto"/>
              <w:rPr>
                <w:rFonts w:ascii="Arial" w:eastAsia="Times New Roman" w:hAnsi="Arial" w:cs="Arial"/>
                <w:bCs/>
                <w:lang w:eastAsia="en-GB"/>
              </w:rPr>
            </w:pPr>
            <w:r w:rsidRPr="001467F4">
              <w:rPr>
                <w:rFonts w:ascii="Arial" w:eastAsia="Times New Roman" w:hAnsi="Arial" w:cs="Arial"/>
                <w:bCs/>
                <w:lang w:eastAsia="en-GB"/>
              </w:rPr>
              <w:t>Inform Specialist, or GP, of any other medication being taken, including over-the-counter products.</w:t>
            </w:r>
          </w:p>
          <w:p w14:paraId="0F7E2EA2" w14:textId="0A5F1173" w:rsidR="00C26E21" w:rsidRPr="00C26E21" w:rsidRDefault="00C26E21" w:rsidP="00434839">
            <w:pPr>
              <w:numPr>
                <w:ilvl w:val="0"/>
                <w:numId w:val="8"/>
              </w:numPr>
              <w:spacing w:after="0" w:line="240" w:lineRule="auto"/>
              <w:rPr>
                <w:rFonts w:ascii="Arial" w:eastAsia="Times New Roman" w:hAnsi="Arial" w:cs="Arial"/>
                <w:bCs/>
                <w:lang w:eastAsia="en-GB"/>
              </w:rPr>
            </w:pPr>
            <w:r w:rsidRPr="00C26E21">
              <w:rPr>
                <w:rFonts w:ascii="Arial" w:eastAsia="Times New Roman" w:hAnsi="Arial" w:cs="Arial"/>
                <w:bCs/>
                <w:lang w:eastAsia="en-GB"/>
              </w:rPr>
              <w:t>Alert GP/specialist of any changes of circumstance which could affect management of disease e.g. plans for pregnancy, plans to move/change GP practice</w:t>
            </w:r>
          </w:p>
          <w:p w14:paraId="19B6562E" w14:textId="24FDF6DE" w:rsidR="00CA1BB1" w:rsidRPr="00CA1BB1" w:rsidRDefault="00E406CA" w:rsidP="008876D9">
            <w:pPr>
              <w:numPr>
                <w:ilvl w:val="0"/>
                <w:numId w:val="8"/>
              </w:numPr>
              <w:spacing w:after="0" w:line="240" w:lineRule="auto"/>
              <w:rPr>
                <w:rFonts w:ascii="Arial" w:eastAsia="Times New Roman" w:hAnsi="Arial" w:cs="Arial"/>
                <w:bCs/>
                <w:lang w:eastAsia="en-GB"/>
              </w:rPr>
            </w:pPr>
            <w:r w:rsidRPr="00E406CA">
              <w:rPr>
                <w:rFonts w:ascii="Arial" w:eastAsia="Times New Roman" w:hAnsi="Arial" w:cs="Arial"/>
                <w:bCs/>
                <w:lang w:eastAsia="en-GB"/>
              </w:rPr>
              <w:t>Inform Specialist</w:t>
            </w:r>
            <w:r w:rsidR="008D1B32">
              <w:rPr>
                <w:rFonts w:ascii="Arial" w:eastAsia="Times New Roman" w:hAnsi="Arial" w:cs="Arial"/>
                <w:bCs/>
                <w:lang w:eastAsia="en-GB"/>
              </w:rPr>
              <w:t xml:space="preserve"> and GP</w:t>
            </w:r>
            <w:r w:rsidRPr="00E406CA">
              <w:rPr>
                <w:rFonts w:ascii="Arial" w:eastAsia="Times New Roman" w:hAnsi="Arial" w:cs="Arial"/>
                <w:bCs/>
                <w:lang w:eastAsia="en-GB"/>
              </w:rPr>
              <w:t xml:space="preserve"> if there is a change in smoking status.</w:t>
            </w:r>
            <w:r w:rsidR="00CA1BB1" w:rsidRPr="00710AA9">
              <w:rPr>
                <w:rFonts w:ascii="Arial" w:eastAsia="Times New Roman" w:hAnsi="Arial" w:cs="Arial"/>
                <w:bCs/>
                <w:lang w:eastAsia="en-GB"/>
              </w:rPr>
              <w:t xml:space="preserve"> </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6CA864A8" w14:textId="77777777" w:rsidR="00C26E21" w:rsidRPr="00C26E21" w:rsidRDefault="00C26E21" w:rsidP="00C26E21">
            <w:pPr>
              <w:pStyle w:val="ListParagraph"/>
              <w:numPr>
                <w:ilvl w:val="0"/>
                <w:numId w:val="9"/>
              </w:numPr>
              <w:spacing w:after="0" w:line="240" w:lineRule="auto"/>
              <w:rPr>
                <w:rFonts w:ascii="Arial" w:eastAsia="Times New Roman" w:hAnsi="Arial" w:cs="Arial"/>
                <w:bCs/>
                <w:lang w:eastAsia="en-GB"/>
              </w:rPr>
            </w:pPr>
            <w:r w:rsidRPr="00C26E21">
              <w:rPr>
                <w:rFonts w:ascii="Arial" w:eastAsia="Times New Roman" w:hAnsi="Arial" w:cs="Arial"/>
                <w:bCs/>
                <w:lang w:eastAsia="en-GB"/>
              </w:rPr>
              <w:t>Confirming that the patient has received verbal and written patient counselling / information and provide additional counselling should this be required. · Check the patient is being monitored regularly to ensure that it is safe before issuing or dispensing prescriptions.</w:t>
            </w:r>
          </w:p>
          <w:p w14:paraId="64512CE0" w14:textId="132A5FE5" w:rsidR="00E406CA" w:rsidRPr="00E406CA" w:rsidRDefault="00C26E21" w:rsidP="00C26E21">
            <w:pPr>
              <w:pStyle w:val="ListParagraph"/>
              <w:numPr>
                <w:ilvl w:val="0"/>
                <w:numId w:val="9"/>
              </w:numPr>
              <w:autoSpaceDE w:val="0"/>
              <w:autoSpaceDN w:val="0"/>
              <w:adjustRightInd w:val="0"/>
              <w:spacing w:after="0" w:line="240" w:lineRule="auto"/>
              <w:rPr>
                <w:rFonts w:ascii="Arial" w:hAnsi="Arial" w:cs="Arial"/>
                <w:color w:val="000000"/>
              </w:rPr>
            </w:pPr>
            <w:r w:rsidRPr="00C26E21">
              <w:rPr>
                <w:rFonts w:ascii="Arial" w:eastAsia="Times New Roman" w:hAnsi="Arial" w:cs="Arial"/>
                <w:bCs/>
                <w:lang w:eastAsia="en-GB"/>
              </w:rPr>
              <w:t>Confirming that the patient has received verbal and written patient counselling / information and provide additional counselling should this be required</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31673548" w:rsidR="00CA1BB1" w:rsidRPr="00CA1BB1" w:rsidRDefault="00DD1664" w:rsidP="008876D9">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7400F9">
              <w:rPr>
                <w:rFonts w:ascii="Arial" w:eastAsia="Times New Roman" w:hAnsi="Arial" w:cs="Arial"/>
                <w:bCs/>
                <w:lang w:eastAsia="en-GB"/>
              </w:rPr>
              <w:t xml:space="preserve">. </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3BFC3992" w:rsidR="008C60E5" w:rsidRPr="008C60E5" w:rsidRDefault="008C60E5" w:rsidP="008C60E5">
            <w:pPr>
              <w:spacing w:after="0"/>
              <w:rPr>
                <w:rFonts w:ascii="Arial" w:hAnsi="Arial" w:cs="Arial"/>
                <w:b/>
                <w:bCs/>
                <w:sz w:val="2"/>
              </w:rPr>
            </w:pPr>
          </w:p>
          <w:p w14:paraId="1E67A0F8" w14:textId="50ED74CC" w:rsidR="00D73BA6" w:rsidRPr="007400F9" w:rsidRDefault="00CA1BB1" w:rsidP="007400F9">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4"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5"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360C99FA" w14:textId="6451C9F3" w:rsidR="007400F9" w:rsidRDefault="007400F9" w:rsidP="007400F9">
            <w:pPr>
              <w:spacing w:after="0" w:line="240" w:lineRule="auto"/>
              <w:rPr>
                <w:rFonts w:ascii="Arial" w:hAnsi="Arial" w:cs="Arial"/>
                <w:b/>
                <w:bCs/>
              </w:rPr>
            </w:pPr>
            <w:r w:rsidRPr="007400F9">
              <w:rPr>
                <w:rFonts w:ascii="Arial" w:hAnsi="Arial" w:cs="Arial"/>
                <w:b/>
                <w:bCs/>
              </w:rPr>
              <w:t xml:space="preserve">Side effects: </w:t>
            </w:r>
          </w:p>
          <w:p w14:paraId="30BD5F5F" w14:textId="77777777" w:rsidR="008D1B32" w:rsidRDefault="008D1B32" w:rsidP="007400F9">
            <w:pPr>
              <w:spacing w:after="0" w:line="240" w:lineRule="auto"/>
              <w:rPr>
                <w:rFonts w:ascii="Arial" w:hAnsi="Arial" w:cs="Arial"/>
                <w:b/>
                <w:bCs/>
              </w:rPr>
            </w:pPr>
          </w:p>
          <w:tbl>
            <w:tblPr>
              <w:tblStyle w:val="TableGrid"/>
              <w:tblW w:w="10314" w:type="dxa"/>
              <w:tblLook w:val="04A0" w:firstRow="1" w:lastRow="0" w:firstColumn="1" w:lastColumn="0" w:noHBand="0" w:noVBand="1"/>
            </w:tblPr>
            <w:tblGrid>
              <w:gridCol w:w="4644"/>
              <w:gridCol w:w="5670"/>
            </w:tblGrid>
            <w:tr w:rsidR="008D1B32" w:rsidRPr="00190D36" w14:paraId="176B9BFB" w14:textId="77777777" w:rsidTr="00F25D33">
              <w:trPr>
                <w:trHeight w:val="223"/>
              </w:trPr>
              <w:tc>
                <w:tcPr>
                  <w:tcW w:w="4644" w:type="dxa"/>
                </w:tcPr>
                <w:p w14:paraId="72CB264F" w14:textId="77777777" w:rsidR="008D1B32" w:rsidRPr="00843717" w:rsidRDefault="008D1B32" w:rsidP="008D1B32">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768996D0" w14:textId="77777777" w:rsidR="008D1B32" w:rsidRPr="00843717" w:rsidRDefault="008D1B32" w:rsidP="008D1B32">
                  <w:pPr>
                    <w:pStyle w:val="Default"/>
                    <w:jc w:val="center"/>
                    <w:rPr>
                      <w:b/>
                      <w:color w:val="auto"/>
                      <w:sz w:val="22"/>
                      <w:szCs w:val="22"/>
                    </w:rPr>
                  </w:pPr>
                  <w:r w:rsidRPr="00843717">
                    <w:rPr>
                      <w:b/>
                      <w:color w:val="auto"/>
                      <w:sz w:val="22"/>
                      <w:szCs w:val="22"/>
                    </w:rPr>
                    <w:t>Action to be taken by GP</w:t>
                  </w:r>
                </w:p>
              </w:tc>
            </w:tr>
            <w:tr w:rsidR="008D1B32" w14:paraId="4AB94818" w14:textId="77777777" w:rsidTr="00F25D33">
              <w:trPr>
                <w:trHeight w:val="497"/>
              </w:trPr>
              <w:tc>
                <w:tcPr>
                  <w:tcW w:w="4644" w:type="dxa"/>
                </w:tcPr>
                <w:p w14:paraId="164BADC0" w14:textId="77777777" w:rsidR="008D1B32" w:rsidRPr="00843717" w:rsidRDefault="008D1B32" w:rsidP="008D1B32">
                  <w:pPr>
                    <w:pStyle w:val="Default"/>
                    <w:rPr>
                      <w:sz w:val="22"/>
                      <w:szCs w:val="22"/>
                    </w:rPr>
                  </w:pPr>
                  <w:r>
                    <w:rPr>
                      <w:sz w:val="22"/>
                      <w:szCs w:val="22"/>
                    </w:rPr>
                    <w:t xml:space="preserve">Gastro-intestinal e.g. nausea, vomiting </w:t>
                  </w:r>
                </w:p>
              </w:tc>
              <w:tc>
                <w:tcPr>
                  <w:tcW w:w="5670" w:type="dxa"/>
                  <w:shd w:val="pct10" w:color="auto" w:fill="auto"/>
                </w:tcPr>
                <w:p w14:paraId="70554FC0" w14:textId="77777777" w:rsidR="008D1B32" w:rsidRPr="002752C8" w:rsidRDefault="008D1B32" w:rsidP="008D1B32">
                  <w:pPr>
                    <w:pStyle w:val="Default"/>
                    <w:rPr>
                      <w:b/>
                      <w:bCs/>
                      <w:sz w:val="22"/>
                      <w:szCs w:val="22"/>
                    </w:rPr>
                  </w:pPr>
                  <w:r w:rsidRPr="002752C8">
                    <w:rPr>
                      <w:b/>
                      <w:bCs/>
                      <w:sz w:val="22"/>
                      <w:szCs w:val="22"/>
                    </w:rPr>
                    <w:t xml:space="preserve">Very Common - Monitor and inform specialist if symptoms become significant. </w:t>
                  </w:r>
                </w:p>
                <w:p w14:paraId="13E17103" w14:textId="77777777" w:rsidR="008D1B32" w:rsidRPr="002752C8" w:rsidRDefault="008D1B32" w:rsidP="008D1B32">
                  <w:pPr>
                    <w:pStyle w:val="Default"/>
                    <w:rPr>
                      <w:b/>
                      <w:bCs/>
                      <w:sz w:val="22"/>
                      <w:szCs w:val="22"/>
                    </w:rPr>
                  </w:pPr>
                </w:p>
              </w:tc>
            </w:tr>
            <w:tr w:rsidR="008D1B32" w14:paraId="50455CFD" w14:textId="77777777" w:rsidTr="00F25D33">
              <w:trPr>
                <w:trHeight w:val="497"/>
              </w:trPr>
              <w:tc>
                <w:tcPr>
                  <w:tcW w:w="4644" w:type="dxa"/>
                </w:tcPr>
                <w:p w14:paraId="410FAFEA" w14:textId="77777777" w:rsidR="008D1B32" w:rsidRDefault="008D1B32" w:rsidP="008D1B32">
                  <w:pPr>
                    <w:pStyle w:val="Default"/>
                    <w:rPr>
                      <w:sz w:val="22"/>
                      <w:szCs w:val="22"/>
                    </w:rPr>
                  </w:pPr>
                  <w:r>
                    <w:rPr>
                      <w:sz w:val="22"/>
                      <w:szCs w:val="22"/>
                    </w:rPr>
                    <w:t>Hypocalcaemia</w:t>
                  </w:r>
                </w:p>
              </w:tc>
              <w:tc>
                <w:tcPr>
                  <w:tcW w:w="5670" w:type="dxa"/>
                  <w:shd w:val="pct10" w:color="auto" w:fill="auto"/>
                </w:tcPr>
                <w:p w14:paraId="11DC6CC4" w14:textId="77777777" w:rsidR="008D1B32" w:rsidRPr="002752C8" w:rsidRDefault="008D1B32" w:rsidP="008D1B32">
                  <w:pPr>
                    <w:pStyle w:val="Default"/>
                    <w:rPr>
                      <w:b/>
                      <w:bCs/>
                      <w:sz w:val="22"/>
                      <w:szCs w:val="22"/>
                    </w:rPr>
                  </w:pPr>
                  <w:r w:rsidRPr="002752C8">
                    <w:rPr>
                      <w:b/>
                      <w:bCs/>
                      <w:sz w:val="22"/>
                      <w:szCs w:val="22"/>
                    </w:rPr>
                    <w:t xml:space="preserve">Common – This will be picked up by specialist reviewing the bloods   </w:t>
                  </w:r>
                </w:p>
              </w:tc>
            </w:tr>
            <w:tr w:rsidR="008D1B32" w14:paraId="04598BBB" w14:textId="77777777" w:rsidTr="00F25D33">
              <w:trPr>
                <w:trHeight w:val="497"/>
              </w:trPr>
              <w:tc>
                <w:tcPr>
                  <w:tcW w:w="4644" w:type="dxa"/>
                </w:tcPr>
                <w:p w14:paraId="100D422F" w14:textId="77777777" w:rsidR="008D1B32" w:rsidRDefault="008D1B32" w:rsidP="008D1B32">
                  <w:pPr>
                    <w:pStyle w:val="Default"/>
                    <w:rPr>
                      <w:sz w:val="22"/>
                      <w:szCs w:val="22"/>
                    </w:rPr>
                  </w:pPr>
                  <w:r>
                    <w:rPr>
                      <w:sz w:val="22"/>
                      <w:szCs w:val="22"/>
                    </w:rPr>
                    <w:t>Seizures</w:t>
                  </w:r>
                </w:p>
              </w:tc>
              <w:tc>
                <w:tcPr>
                  <w:tcW w:w="5670" w:type="dxa"/>
                  <w:shd w:val="pct10" w:color="auto" w:fill="auto"/>
                </w:tcPr>
                <w:p w14:paraId="03C3FDA3" w14:textId="376554EE" w:rsidR="008D1B32" w:rsidRDefault="00C364EF" w:rsidP="00C364EF">
                  <w:pPr>
                    <w:pStyle w:val="Default"/>
                    <w:rPr>
                      <w:b/>
                      <w:bCs/>
                      <w:sz w:val="22"/>
                      <w:szCs w:val="22"/>
                    </w:rPr>
                  </w:pPr>
                  <w:r>
                    <w:rPr>
                      <w:b/>
                      <w:bCs/>
                      <w:sz w:val="22"/>
                      <w:szCs w:val="22"/>
                    </w:rPr>
                    <w:t>*SPC states ‘c</w:t>
                  </w:r>
                  <w:r w:rsidR="008D1B32" w:rsidRPr="002752C8">
                    <w:rPr>
                      <w:b/>
                      <w:bCs/>
                      <w:sz w:val="22"/>
                      <w:szCs w:val="22"/>
                    </w:rPr>
                    <w:t>ommon</w:t>
                  </w:r>
                  <w:r>
                    <w:rPr>
                      <w:b/>
                      <w:bCs/>
                      <w:sz w:val="22"/>
                      <w:szCs w:val="22"/>
                    </w:rPr>
                    <w:t>’</w:t>
                  </w:r>
                  <w:r w:rsidR="008D1B32" w:rsidRPr="002752C8">
                    <w:rPr>
                      <w:b/>
                      <w:bCs/>
                      <w:sz w:val="22"/>
                      <w:szCs w:val="22"/>
                    </w:rPr>
                    <w:t xml:space="preserve"> – </w:t>
                  </w:r>
                  <w:r w:rsidR="002752C8">
                    <w:rPr>
                      <w:b/>
                      <w:bCs/>
                      <w:sz w:val="22"/>
                      <w:szCs w:val="22"/>
                    </w:rPr>
                    <w:t>S</w:t>
                  </w:r>
                  <w:r w:rsidR="008D1B32" w:rsidRPr="002752C8">
                    <w:rPr>
                      <w:b/>
                      <w:bCs/>
                      <w:sz w:val="22"/>
                      <w:szCs w:val="22"/>
                    </w:rPr>
                    <w:t>top cinacalcet and inform specialist if new seizures or increase in frequency</w:t>
                  </w:r>
                  <w:r>
                    <w:rPr>
                      <w:b/>
                      <w:bCs/>
                      <w:sz w:val="22"/>
                      <w:szCs w:val="22"/>
                    </w:rPr>
                    <w:t>.</w:t>
                  </w:r>
                </w:p>
                <w:p w14:paraId="26A3DEC7" w14:textId="77777777" w:rsidR="00C364EF" w:rsidRDefault="00C364EF" w:rsidP="00C364EF">
                  <w:pPr>
                    <w:pStyle w:val="Default"/>
                    <w:rPr>
                      <w:b/>
                      <w:bCs/>
                      <w:sz w:val="22"/>
                      <w:szCs w:val="22"/>
                    </w:rPr>
                  </w:pPr>
                </w:p>
                <w:p w14:paraId="286114EF" w14:textId="77777777" w:rsidR="0093695D" w:rsidRDefault="00C364EF" w:rsidP="00C364EF">
                  <w:pPr>
                    <w:pStyle w:val="Default"/>
                    <w:rPr>
                      <w:i/>
                      <w:iCs/>
                      <w:sz w:val="22"/>
                      <w:szCs w:val="22"/>
                    </w:rPr>
                  </w:pPr>
                  <w:r>
                    <w:rPr>
                      <w:i/>
                      <w:iCs/>
                      <w:sz w:val="22"/>
                      <w:szCs w:val="22"/>
                    </w:rPr>
                    <w:t>Renal local experts confirmed</w:t>
                  </w:r>
                  <w:r w:rsidRPr="00C364EF">
                    <w:rPr>
                      <w:i/>
                      <w:iCs/>
                      <w:sz w:val="22"/>
                      <w:szCs w:val="22"/>
                    </w:rPr>
                    <w:t xml:space="preserve"> this has not been observed in a non-epileptic patient. Where a patient has a history of epilepsy or is on treatment as such, the renal team would not select cinacalcet for that reason.</w:t>
                  </w:r>
                </w:p>
                <w:p w14:paraId="17E1401D" w14:textId="41B719AF" w:rsidR="00C364EF" w:rsidRPr="00C364EF" w:rsidRDefault="00C364EF" w:rsidP="00C364EF">
                  <w:pPr>
                    <w:pStyle w:val="Default"/>
                    <w:rPr>
                      <w:i/>
                      <w:iCs/>
                      <w:sz w:val="22"/>
                      <w:szCs w:val="22"/>
                    </w:rPr>
                  </w:pPr>
                  <w:r w:rsidRPr="00C364EF">
                    <w:rPr>
                      <w:i/>
                      <w:iCs/>
                      <w:sz w:val="22"/>
                      <w:szCs w:val="22"/>
                    </w:rPr>
                    <w:t>(local experience</w:t>
                  </w:r>
                  <w:r w:rsidR="0093695D">
                    <w:rPr>
                      <w:i/>
                      <w:iCs/>
                      <w:sz w:val="22"/>
                      <w:szCs w:val="22"/>
                    </w:rPr>
                    <w:t xml:space="preserve"> and feedback noted by </w:t>
                  </w:r>
                  <w:r w:rsidRPr="00C364EF">
                    <w:rPr>
                      <w:i/>
                      <w:iCs/>
                      <w:sz w:val="22"/>
                      <w:szCs w:val="22"/>
                    </w:rPr>
                    <w:t>Renal Team, East and North Herts)</w:t>
                  </w:r>
                </w:p>
                <w:p w14:paraId="67B0CA9B" w14:textId="3DAD680D" w:rsidR="00C364EF" w:rsidRPr="002752C8" w:rsidRDefault="00C364EF" w:rsidP="008D1B32">
                  <w:pPr>
                    <w:pStyle w:val="Default"/>
                    <w:rPr>
                      <w:b/>
                      <w:bCs/>
                      <w:sz w:val="22"/>
                      <w:szCs w:val="22"/>
                    </w:rPr>
                  </w:pPr>
                </w:p>
              </w:tc>
            </w:tr>
          </w:tbl>
          <w:p w14:paraId="7C7E13BA" w14:textId="77777777" w:rsidR="007400F9" w:rsidRDefault="007400F9" w:rsidP="007400F9">
            <w:pPr>
              <w:spacing w:after="0" w:line="240" w:lineRule="auto"/>
              <w:rPr>
                <w:rFonts w:ascii="Arial" w:hAnsi="Arial" w:cs="Arial"/>
                <w:bCs/>
              </w:rPr>
            </w:pPr>
          </w:p>
          <w:p w14:paraId="34E31759" w14:textId="43FB9851" w:rsidR="007400F9" w:rsidRPr="007400F9" w:rsidRDefault="007400F9" w:rsidP="008876D9">
            <w:pPr>
              <w:pStyle w:val="ListParagraph"/>
              <w:numPr>
                <w:ilvl w:val="0"/>
                <w:numId w:val="9"/>
              </w:numPr>
              <w:spacing w:after="0" w:line="240" w:lineRule="auto"/>
              <w:rPr>
                <w:rFonts w:ascii="Arial" w:hAnsi="Arial" w:cs="Arial"/>
                <w:bCs/>
              </w:rPr>
            </w:pPr>
            <w:r w:rsidRPr="007400F9">
              <w:rPr>
                <w:rFonts w:ascii="Arial" w:hAnsi="Arial" w:cs="Arial"/>
                <w:bCs/>
              </w:rPr>
              <w:t>GP to liaise with specialist if any side effects are a cause for concern</w:t>
            </w:r>
            <w:r w:rsidR="00DD6C84">
              <w:rPr>
                <w:rFonts w:ascii="Arial" w:hAnsi="Arial" w:cs="Arial"/>
                <w:bCs/>
              </w:rPr>
              <w:t>.</w:t>
            </w:r>
          </w:p>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13ECE6B1" w14:textId="77777777" w:rsidR="00265C56" w:rsidRPr="005430C6" w:rsidRDefault="00265C56" w:rsidP="00004CD4">
      <w:pPr>
        <w:keepNext/>
        <w:spacing w:after="0" w:line="240" w:lineRule="auto"/>
        <w:contextualSpacing/>
        <w:jc w:val="both"/>
        <w:outlineLvl w:val="0"/>
        <w:rPr>
          <w:rFonts w:ascii="Arial" w:eastAsia="Times New Roman" w:hAnsi="Arial" w:cs="Times New Roman"/>
          <w:b/>
          <w:bCs/>
          <w:sz w:val="18"/>
          <w:szCs w:val="24"/>
        </w:rPr>
      </w:pPr>
    </w:p>
    <w:p w14:paraId="2D5CA417" w14:textId="2FD2485B" w:rsidR="00A23128" w:rsidRDefault="00004CD4" w:rsidP="00B10C94">
      <w:pPr>
        <w:pBdr>
          <w:top w:val="single" w:sz="4" w:space="1" w:color="auto"/>
          <w:left w:val="single" w:sz="4" w:space="4" w:color="auto"/>
          <w:bottom w:val="single" w:sz="4" w:space="0" w:color="auto"/>
          <w:right w:val="single" w:sz="4" w:space="5" w:color="auto"/>
        </w:pBdr>
        <w:spacing w:after="0"/>
        <w:rPr>
          <w:rFonts w:ascii="Arial" w:hAnsi="Arial" w:cs="Arial"/>
          <w:b/>
          <w:bCs/>
        </w:rPr>
      </w:pPr>
      <w:r w:rsidRPr="00004CD4">
        <w:rPr>
          <w:rFonts w:ascii="Arial" w:eastAsia="Times New Roman" w:hAnsi="Arial" w:cs="Times New Roman"/>
          <w:b/>
          <w:bCs/>
          <w:szCs w:val="24"/>
        </w:rPr>
        <w:t xml:space="preserve">CONTRAINDICATIONS AND </w:t>
      </w:r>
      <w:proofErr w:type="gramStart"/>
      <w:r w:rsidRPr="00004CD4">
        <w:rPr>
          <w:rFonts w:ascii="Arial" w:eastAsia="Times New Roman" w:hAnsi="Arial" w:cs="Times New Roman"/>
          <w:b/>
          <w:bCs/>
          <w:szCs w:val="24"/>
        </w:rPr>
        <w:t>PRECAUTIONS</w:t>
      </w:r>
      <w:r w:rsidR="00A23128" w:rsidRPr="00A23128">
        <w:t xml:space="preserve"> </w:t>
      </w:r>
      <w:r w:rsidR="00A543B5">
        <w:rPr>
          <w:rFonts w:ascii="Arial" w:hAnsi="Arial" w:cs="Arial"/>
          <w:b/>
          <w:bCs/>
        </w:rPr>
        <w:t xml:space="preserve"> </w:t>
      </w:r>
      <w:r w:rsidR="00A543B5" w:rsidRPr="00D73BA6">
        <w:rPr>
          <w:rFonts w:ascii="Arial" w:hAnsi="Arial" w:cs="Arial"/>
          <w:b/>
          <w:bCs/>
        </w:rPr>
        <w:t>(</w:t>
      </w:r>
      <w:proofErr w:type="gramEnd"/>
      <w:r w:rsidR="00A543B5" w:rsidRPr="00D73BA6">
        <w:rPr>
          <w:rFonts w:ascii="Arial" w:hAnsi="Arial" w:cs="Arial"/>
          <w:b/>
          <w:bCs/>
        </w:rPr>
        <w:t xml:space="preserve">REFER TO </w:t>
      </w:r>
      <w:hyperlink r:id="rId16"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7"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3E4C6AB9" w14:textId="3112E801" w:rsidR="007400F9" w:rsidRDefault="007400F9" w:rsidP="002752C8">
      <w:pPr>
        <w:pBdr>
          <w:top w:val="single" w:sz="4" w:space="1" w:color="auto"/>
          <w:left w:val="single" w:sz="4" w:space="4" w:color="auto"/>
          <w:bottom w:val="single" w:sz="4" w:space="0" w:color="auto"/>
          <w:right w:val="single" w:sz="4" w:space="5" w:color="auto"/>
        </w:pBdr>
        <w:spacing w:after="0" w:line="240" w:lineRule="auto"/>
        <w:contextualSpacing/>
        <w:rPr>
          <w:rFonts w:ascii="Arial" w:hAnsi="Arial" w:cs="Arial"/>
          <w:b/>
          <w:bCs/>
        </w:rPr>
      </w:pPr>
      <w:r>
        <w:rPr>
          <w:rFonts w:ascii="Arial" w:hAnsi="Arial" w:cs="Arial"/>
          <w:b/>
          <w:bCs/>
        </w:rPr>
        <w:t xml:space="preserve">Hypocalcaemia: </w:t>
      </w:r>
      <w:r w:rsidRPr="007400F9">
        <w:rPr>
          <w:rFonts w:ascii="Arial" w:hAnsi="Arial" w:cs="Arial"/>
          <w:bCs/>
        </w:rPr>
        <w:t>Cinacalcet reduces parathyroid hormone which leads to a decrease in serum calcium concentrations.</w:t>
      </w:r>
    </w:p>
    <w:p w14:paraId="14A72070" w14:textId="2E6CFB40" w:rsidR="007400F9" w:rsidRDefault="007400F9" w:rsidP="002752C8">
      <w:pPr>
        <w:pBdr>
          <w:top w:val="single" w:sz="4" w:space="1" w:color="auto"/>
          <w:left w:val="single" w:sz="4" w:space="4" w:color="auto"/>
          <w:bottom w:val="single" w:sz="4" w:space="0" w:color="auto"/>
          <w:right w:val="single" w:sz="4" w:space="5" w:color="auto"/>
        </w:pBdr>
        <w:spacing w:after="0" w:line="240" w:lineRule="auto"/>
        <w:contextualSpacing/>
        <w:rPr>
          <w:rFonts w:ascii="Arial" w:hAnsi="Arial" w:cs="Arial"/>
          <w:bCs/>
        </w:rPr>
      </w:pPr>
      <w:r>
        <w:rPr>
          <w:rFonts w:ascii="Arial" w:hAnsi="Arial" w:cs="Arial"/>
          <w:b/>
          <w:bCs/>
        </w:rPr>
        <w:t xml:space="preserve">Hypersensitivity to the active substance or any of the excipients: </w:t>
      </w:r>
      <w:r w:rsidRPr="007400F9">
        <w:rPr>
          <w:rFonts w:ascii="Arial" w:hAnsi="Arial" w:cs="Arial"/>
          <w:bCs/>
        </w:rPr>
        <w:t xml:space="preserve">see the Summary of Product Characteristics (SPC) for further information. </w:t>
      </w:r>
    </w:p>
    <w:p w14:paraId="320D424C" w14:textId="11094E3C" w:rsidR="005A7174" w:rsidRDefault="005A7174" w:rsidP="002752C8">
      <w:pPr>
        <w:pBdr>
          <w:top w:val="single" w:sz="4" w:space="1" w:color="auto"/>
          <w:left w:val="single" w:sz="4" w:space="4" w:color="auto"/>
          <w:bottom w:val="single" w:sz="4" w:space="0" w:color="auto"/>
          <w:right w:val="single" w:sz="4" w:space="5" w:color="auto"/>
        </w:pBdr>
        <w:spacing w:after="0" w:line="240" w:lineRule="auto"/>
        <w:contextualSpacing/>
        <w:rPr>
          <w:rFonts w:ascii="Arial" w:hAnsi="Arial" w:cs="Arial"/>
        </w:rPr>
      </w:pPr>
      <w:r w:rsidRPr="005A7174">
        <w:rPr>
          <w:rFonts w:ascii="Arial" w:hAnsi="Arial" w:cs="Arial"/>
          <w:b/>
        </w:rPr>
        <w:t>Conditions that may worsen with a decrease in serum-calcium con</w:t>
      </w:r>
      <w:r>
        <w:rPr>
          <w:rFonts w:ascii="Arial" w:hAnsi="Arial" w:cs="Arial"/>
          <w:b/>
        </w:rPr>
        <w:t xml:space="preserve">centrations: </w:t>
      </w:r>
      <w:r w:rsidRPr="005A7174">
        <w:rPr>
          <w:rFonts w:ascii="Arial" w:hAnsi="Arial" w:cs="Arial"/>
        </w:rPr>
        <w:t>Manufacturer advises caution with use in patients with conditions that may worsen with a decrease in serum-calcium concentrations, including predisposition to QT-interval prolongation, history of seizures, and history of impaired cardiac functio</w:t>
      </w:r>
      <w:r w:rsidR="009652D5">
        <w:rPr>
          <w:rFonts w:ascii="Arial" w:hAnsi="Arial" w:cs="Arial"/>
        </w:rPr>
        <w:t>n.</w:t>
      </w:r>
    </w:p>
    <w:p w14:paraId="2D0B1D14" w14:textId="0CBC8E75" w:rsidR="008D1B32" w:rsidRDefault="008D1B32" w:rsidP="009652D5">
      <w:pPr>
        <w:pBdr>
          <w:top w:val="single" w:sz="4" w:space="1" w:color="auto"/>
          <w:left w:val="single" w:sz="4" w:space="4" w:color="auto"/>
          <w:bottom w:val="single" w:sz="4" w:space="0" w:color="auto"/>
          <w:right w:val="single" w:sz="4" w:space="5" w:color="auto"/>
        </w:pBdr>
        <w:spacing w:after="0"/>
        <w:rPr>
          <w:rFonts w:ascii="Arial" w:hAnsi="Arial" w:cs="Arial"/>
        </w:rPr>
      </w:pPr>
      <w:r w:rsidRPr="006712C3">
        <w:rPr>
          <w:rFonts w:ascii="Arial" w:hAnsi="Arial" w:cs="Arial"/>
          <w:b/>
          <w:bCs/>
        </w:rPr>
        <w:t>Pregnancy and breastfeeding:</w:t>
      </w:r>
      <w:r>
        <w:rPr>
          <w:rFonts w:ascii="Arial" w:hAnsi="Arial" w:cs="Arial"/>
        </w:rPr>
        <w:t xml:space="preserve"> Only use in pregnancy if benefit outweighs the risk.</w:t>
      </w:r>
    </w:p>
    <w:p w14:paraId="44E0B320" w14:textId="77777777" w:rsidR="00004CD4" w:rsidRPr="007400F9" w:rsidRDefault="00004CD4" w:rsidP="00004CD4">
      <w:pPr>
        <w:spacing w:after="0"/>
        <w:rPr>
          <w:sz w:val="18"/>
        </w:rPr>
      </w:pP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18"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19"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169E8BA0" w14:textId="77777777" w:rsidR="00E97C1A" w:rsidRDefault="00E97C1A"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Common drug interactions</w:t>
      </w:r>
    </w:p>
    <w:p w14:paraId="5AC2640D" w14:textId="673FD685" w:rsidR="005A7174" w:rsidRDefault="005A7174"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Pr>
          <w:rFonts w:ascii="Arial" w:eastAsia="Times New Roman" w:hAnsi="Arial" w:cs="Arial"/>
          <w:b/>
          <w:bCs/>
        </w:rPr>
        <w:t xml:space="preserve">Rifampicin: </w:t>
      </w:r>
      <w:r>
        <w:rPr>
          <w:rFonts w:ascii="Arial" w:eastAsia="Times New Roman" w:hAnsi="Arial" w:cs="Arial"/>
          <w:bCs/>
        </w:rPr>
        <w:t>Cinacalcet levels may be reduced</w:t>
      </w:r>
    </w:p>
    <w:p w14:paraId="1715997D" w14:textId="2379B018" w:rsidR="005A7174" w:rsidRDefault="005A7174"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5A7174">
        <w:rPr>
          <w:rFonts w:ascii="Arial" w:eastAsia="Times New Roman" w:hAnsi="Arial" w:cs="Arial"/>
          <w:b/>
          <w:bCs/>
        </w:rPr>
        <w:t>Ritonavir:</w:t>
      </w:r>
      <w:r>
        <w:rPr>
          <w:rFonts w:ascii="Arial" w:eastAsia="Times New Roman" w:hAnsi="Arial" w:cs="Arial"/>
          <w:bCs/>
        </w:rPr>
        <w:t xml:space="preserve"> Cinacalcet levels may</w:t>
      </w:r>
      <w:r w:rsidR="007964E3">
        <w:rPr>
          <w:rFonts w:ascii="Arial" w:eastAsia="Times New Roman" w:hAnsi="Arial" w:cs="Arial"/>
          <w:bCs/>
        </w:rPr>
        <w:t xml:space="preserve"> </w:t>
      </w:r>
      <w:r>
        <w:rPr>
          <w:rFonts w:ascii="Arial" w:eastAsia="Times New Roman" w:hAnsi="Arial" w:cs="Arial"/>
          <w:bCs/>
        </w:rPr>
        <w:t xml:space="preserve">increase </w:t>
      </w:r>
    </w:p>
    <w:p w14:paraId="5C952212" w14:textId="68F9FA8E" w:rsidR="005A7174" w:rsidRDefault="005A7174"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5A7174">
        <w:rPr>
          <w:rFonts w:ascii="Arial" w:eastAsia="Times New Roman" w:hAnsi="Arial" w:cs="Arial"/>
          <w:b/>
          <w:bCs/>
        </w:rPr>
        <w:t>Ketoconazole/Itraconazole:</w:t>
      </w:r>
      <w:r>
        <w:rPr>
          <w:rFonts w:ascii="Arial" w:eastAsia="Times New Roman" w:hAnsi="Arial" w:cs="Arial"/>
          <w:bCs/>
        </w:rPr>
        <w:t xml:space="preserve"> Cinacalcet levels may increase</w:t>
      </w:r>
    </w:p>
    <w:p w14:paraId="6048EEB2" w14:textId="62022854" w:rsidR="005A7174" w:rsidRDefault="005A7174"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5A7174">
        <w:rPr>
          <w:rFonts w:ascii="Arial" w:eastAsia="Times New Roman" w:hAnsi="Arial" w:cs="Arial"/>
          <w:b/>
          <w:bCs/>
        </w:rPr>
        <w:t>Smoking:</w:t>
      </w:r>
      <w:r>
        <w:rPr>
          <w:rFonts w:ascii="Arial" w:eastAsia="Times New Roman" w:hAnsi="Arial" w:cs="Arial"/>
          <w:bCs/>
        </w:rPr>
        <w:t xml:space="preserve"> Cinacalcet levels may be reduced in patients who smoke</w:t>
      </w:r>
      <w:r w:rsidR="008D1B32">
        <w:rPr>
          <w:rFonts w:ascii="Arial" w:eastAsia="Times New Roman" w:hAnsi="Arial" w:cs="Arial"/>
          <w:bCs/>
        </w:rPr>
        <w:t>. Dose may need adjusting if the patient starts or stops smoking.</w:t>
      </w:r>
    </w:p>
    <w:p w14:paraId="6E853DC8" w14:textId="254D7B6C" w:rsidR="005A7174" w:rsidRPr="005A7174" w:rsidRDefault="005A7174"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5A7174">
        <w:rPr>
          <w:rFonts w:ascii="Arial" w:eastAsia="Times New Roman" w:hAnsi="Arial" w:cs="Arial"/>
          <w:b/>
          <w:bCs/>
        </w:rPr>
        <w:t>Metoprolol/tricyclic antidepressants:</w:t>
      </w:r>
      <w:r>
        <w:rPr>
          <w:rFonts w:ascii="Arial" w:eastAsia="Times New Roman" w:hAnsi="Arial" w:cs="Arial"/>
          <w:bCs/>
        </w:rPr>
        <w:t xml:space="preserve"> Cinacalcet may possibly increase blood levels of these drugs (this is not an important interaction in the BNF).</w:t>
      </w:r>
    </w:p>
    <w:p w14:paraId="3BAE97B1" w14:textId="4C43CCB7" w:rsidR="008C60E5" w:rsidRDefault="00A97578" w:rsidP="00AB1A04">
      <w:pPr>
        <w:rPr>
          <w:rFonts w:ascii="Arial" w:hAnsi="Arial" w:cs="Arial"/>
          <w:b/>
          <w:sz w:val="18"/>
        </w:rPr>
      </w:pPr>
      <w:r>
        <w:rPr>
          <w:rFonts w:ascii="Arial" w:hAnsi="Arial" w:cs="Arial"/>
          <w:b/>
          <w:sz w:val="18"/>
        </w:rPr>
        <w:br w:type="page"/>
      </w:r>
    </w:p>
    <w:p w14:paraId="7DE742FC" w14:textId="77777777" w:rsidR="008C60E5" w:rsidRPr="00CA1BB1" w:rsidRDefault="008C60E5" w:rsidP="008C60E5">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8C60E5" w:rsidRPr="00CA1BB1" w14:paraId="3D6A8811" w14:textId="77777777" w:rsidTr="008C60E5">
        <w:trPr>
          <w:trHeight w:val="632"/>
        </w:trPr>
        <w:tc>
          <w:tcPr>
            <w:tcW w:w="10774" w:type="dxa"/>
            <w:shd w:val="clear" w:color="auto" w:fill="auto"/>
          </w:tcPr>
          <w:p w14:paraId="2C01B403" w14:textId="77777777" w:rsidR="008C60E5" w:rsidRPr="008C60E5" w:rsidRDefault="008C60E5" w:rsidP="008C60E5">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863A83C" w14:textId="77777777" w:rsidR="008C60E5" w:rsidRDefault="008C60E5" w:rsidP="008C60E5">
            <w:pPr>
              <w:spacing w:after="0" w:line="240" w:lineRule="auto"/>
              <w:rPr>
                <w:rFonts w:ascii="Arial" w:eastAsia="Times New Roman" w:hAnsi="Arial" w:cs="Arial"/>
                <w:b/>
                <w:bCs/>
                <w:lang w:eastAsia="en-GB"/>
              </w:rPr>
            </w:pPr>
          </w:p>
          <w:p w14:paraId="192809CE" w14:textId="39B7FCFD" w:rsidR="00376393" w:rsidRPr="00D43187" w:rsidRDefault="00376393" w:rsidP="00376393">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Style w:val="TableGrid"/>
              <w:tblW w:w="0" w:type="auto"/>
              <w:tblLook w:val="04A0" w:firstRow="1" w:lastRow="0" w:firstColumn="1" w:lastColumn="0" w:noHBand="0" w:noVBand="1"/>
            </w:tblPr>
            <w:tblGrid>
              <w:gridCol w:w="1880"/>
              <w:gridCol w:w="1835"/>
              <w:gridCol w:w="3349"/>
              <w:gridCol w:w="1972"/>
              <w:gridCol w:w="1512"/>
            </w:tblGrid>
            <w:tr w:rsidR="00C74787" w:rsidRPr="00D43187" w14:paraId="5A5430DD" w14:textId="77777777" w:rsidTr="00DA336A">
              <w:tc>
                <w:tcPr>
                  <w:tcW w:w="1880" w:type="dxa"/>
                </w:tcPr>
                <w:p w14:paraId="300CF390" w14:textId="30B745E6" w:rsidR="003F2A47" w:rsidRPr="00D43187" w:rsidRDefault="00B7750C" w:rsidP="003F2A47">
                  <w:pPr>
                    <w:spacing w:after="40"/>
                    <w:rPr>
                      <w:rFonts w:ascii="Arial" w:eastAsia="Times New Roman" w:hAnsi="Arial" w:cs="Arial"/>
                      <w:b/>
                      <w:bCs/>
                      <w:lang w:eastAsia="en-GB"/>
                    </w:rPr>
                  </w:pPr>
                  <w:r>
                    <w:rPr>
                      <w:rFonts w:ascii="Arial" w:eastAsia="Times New Roman" w:hAnsi="Arial" w:cs="Arial"/>
                      <w:b/>
                      <w:bCs/>
                      <w:lang w:eastAsia="en-GB"/>
                    </w:rPr>
                    <w:t xml:space="preserve">Specialist and designation </w:t>
                  </w:r>
                </w:p>
              </w:tc>
              <w:tc>
                <w:tcPr>
                  <w:tcW w:w="1835" w:type="dxa"/>
                </w:tcPr>
                <w:p w14:paraId="7BE898FA" w14:textId="77777777" w:rsidR="003F2A47" w:rsidRPr="00D43187" w:rsidRDefault="003F2A47" w:rsidP="003F2A47">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3349" w:type="dxa"/>
                </w:tcPr>
                <w:p w14:paraId="25419B78" w14:textId="77777777" w:rsidR="003F2A47" w:rsidRPr="00D43187" w:rsidRDefault="003F2A47" w:rsidP="003F2A47">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972" w:type="dxa"/>
                </w:tcPr>
                <w:p w14:paraId="21E0057D" w14:textId="17056C4A" w:rsidR="003F2A47" w:rsidRPr="00D43187" w:rsidRDefault="003F2A47" w:rsidP="003F2A47">
                  <w:pPr>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p w14:paraId="591C0450" w14:textId="77777777" w:rsidR="003F2A47" w:rsidRPr="00D43187" w:rsidRDefault="003F2A47" w:rsidP="004579C4">
                  <w:pPr>
                    <w:rPr>
                      <w:rFonts w:ascii="Arial" w:eastAsia="Times New Roman" w:hAnsi="Arial" w:cs="Arial"/>
                      <w:b/>
                      <w:bCs/>
                      <w:lang w:eastAsia="en-GB"/>
                    </w:rPr>
                  </w:pPr>
                </w:p>
              </w:tc>
              <w:tc>
                <w:tcPr>
                  <w:tcW w:w="1512" w:type="dxa"/>
                </w:tcPr>
                <w:p w14:paraId="60F60CC1" w14:textId="12CDD59E" w:rsidR="003F2A47" w:rsidRPr="00D43187" w:rsidRDefault="003F2A47" w:rsidP="004579C4">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D763E4" w:rsidRPr="00D43187" w14:paraId="0CCFCCCE" w14:textId="77777777" w:rsidTr="00DA336A">
              <w:tc>
                <w:tcPr>
                  <w:tcW w:w="1880" w:type="dxa"/>
                </w:tcPr>
                <w:p w14:paraId="413587B9" w14:textId="4E1BFC5D" w:rsidR="00DA336A" w:rsidRPr="00DA336A" w:rsidRDefault="00DA336A" w:rsidP="0081622D">
                  <w:pPr>
                    <w:spacing w:after="40"/>
                    <w:rPr>
                      <w:rFonts w:ascii="Arial" w:eastAsia="Times New Roman" w:hAnsi="Arial" w:cs="Arial"/>
                      <w:bCs/>
                      <w:sz w:val="20"/>
                      <w:szCs w:val="20"/>
                      <w:lang w:val="en-US" w:eastAsia="en-GB"/>
                    </w:rPr>
                  </w:pPr>
                  <w:r w:rsidRPr="00DA336A">
                    <w:rPr>
                      <w:rFonts w:ascii="Arial" w:eastAsia="Times New Roman" w:hAnsi="Arial" w:cs="Arial"/>
                      <w:bCs/>
                      <w:sz w:val="20"/>
                      <w:szCs w:val="20"/>
                      <w:lang w:val="en-US" w:eastAsia="en-GB"/>
                    </w:rPr>
                    <w:t>Consultant nephrologist</w:t>
                  </w:r>
                  <w:r w:rsidR="0081622D">
                    <w:rPr>
                      <w:rFonts w:ascii="Arial" w:eastAsia="Times New Roman" w:hAnsi="Arial" w:cs="Arial"/>
                      <w:bCs/>
                      <w:sz w:val="20"/>
                      <w:szCs w:val="20"/>
                      <w:lang w:val="en-US" w:eastAsia="en-GB"/>
                    </w:rPr>
                    <w:t>s</w:t>
                  </w:r>
                  <w:r w:rsidRPr="00DA336A">
                    <w:rPr>
                      <w:rFonts w:ascii="Arial" w:eastAsia="Times New Roman" w:hAnsi="Arial" w:cs="Arial"/>
                      <w:bCs/>
                      <w:sz w:val="20"/>
                      <w:szCs w:val="20"/>
                      <w:lang w:val="en-US" w:eastAsia="en-GB"/>
                    </w:rPr>
                    <w:t xml:space="preserve"> </w:t>
                  </w:r>
                </w:p>
              </w:tc>
              <w:tc>
                <w:tcPr>
                  <w:tcW w:w="1835" w:type="dxa"/>
                </w:tcPr>
                <w:p w14:paraId="3DA4925C" w14:textId="1DC71701" w:rsidR="00D763E4" w:rsidRPr="00D43187" w:rsidRDefault="006B5EF0" w:rsidP="003F2A47">
                  <w:pPr>
                    <w:spacing w:after="40"/>
                    <w:rPr>
                      <w:rFonts w:ascii="Arial" w:hAnsi="Arial" w:cs="Arial"/>
                      <w:sz w:val="20"/>
                      <w:szCs w:val="20"/>
                      <w:lang w:eastAsia="en-GB"/>
                    </w:rPr>
                  </w:pPr>
                  <w:r>
                    <w:rPr>
                      <w:rFonts w:ascii="Arial" w:hAnsi="Arial" w:cs="Arial"/>
                      <w:sz w:val="20"/>
                      <w:szCs w:val="20"/>
                      <w:lang w:eastAsia="en-GB"/>
                    </w:rPr>
                    <w:t>via switchboard</w:t>
                  </w:r>
                </w:p>
              </w:tc>
              <w:tc>
                <w:tcPr>
                  <w:tcW w:w="3349" w:type="dxa"/>
                </w:tcPr>
                <w:p w14:paraId="6D8F9834" w14:textId="0D3DA0AF" w:rsidR="00D763E4" w:rsidRDefault="006B5EF0" w:rsidP="003F2A47">
                  <w:pPr>
                    <w:spacing w:after="40"/>
                    <w:rPr>
                      <w:rFonts w:ascii="Arial" w:hAnsi="Arial" w:cs="Arial"/>
                      <w:sz w:val="20"/>
                      <w:szCs w:val="20"/>
                    </w:rPr>
                  </w:pPr>
                  <w:r>
                    <w:rPr>
                      <w:rFonts w:ascii="Arial" w:hAnsi="Arial" w:cs="Arial"/>
                      <w:sz w:val="20"/>
                      <w:szCs w:val="20"/>
                    </w:rPr>
                    <w:t>nephadmin.enh-tr@nhs.net</w:t>
                  </w:r>
                </w:p>
              </w:tc>
              <w:tc>
                <w:tcPr>
                  <w:tcW w:w="1972" w:type="dxa"/>
                  <w:vMerge w:val="restart"/>
                </w:tcPr>
                <w:p w14:paraId="0805F0AB" w14:textId="77777777" w:rsidR="007C03B5" w:rsidRDefault="007C03B5" w:rsidP="007964E3">
                  <w:pPr>
                    <w:spacing w:after="40"/>
                    <w:jc w:val="center"/>
                  </w:pPr>
                </w:p>
                <w:p w14:paraId="66EE77E8" w14:textId="77777777" w:rsidR="007C03B5" w:rsidRDefault="007C03B5" w:rsidP="007964E3">
                  <w:pPr>
                    <w:spacing w:after="40"/>
                    <w:jc w:val="center"/>
                  </w:pPr>
                </w:p>
                <w:p w14:paraId="797DE29C" w14:textId="0E655F44" w:rsidR="00D763E4" w:rsidRPr="00D43187" w:rsidRDefault="002F0507" w:rsidP="007964E3">
                  <w:pPr>
                    <w:spacing w:after="40"/>
                    <w:jc w:val="center"/>
                    <w:rPr>
                      <w:rFonts w:ascii="Arial" w:eastAsia="Times New Roman" w:hAnsi="Arial" w:cs="Arial"/>
                      <w:bCs/>
                      <w:sz w:val="20"/>
                      <w:szCs w:val="20"/>
                      <w:lang w:eastAsia="en-GB"/>
                    </w:rPr>
                  </w:pPr>
                  <w:hyperlink r:id="rId20" w:history="1">
                    <w:r w:rsidR="00D763E4" w:rsidRPr="005228AA">
                      <w:rPr>
                        <w:rStyle w:val="Hyperlink"/>
                        <w:rFonts w:ascii="Arial" w:eastAsia="Times New Roman" w:hAnsi="Arial" w:cs="Arial"/>
                        <w:bCs/>
                        <w:sz w:val="20"/>
                        <w:szCs w:val="20"/>
                        <w:lang w:eastAsia="en-GB"/>
                      </w:rPr>
                      <w:t>sharedcare.enh-tr@nhs.net</w:t>
                    </w:r>
                  </w:hyperlink>
                </w:p>
                <w:p w14:paraId="38CEF95A" w14:textId="6D6B7327" w:rsidR="00D763E4" w:rsidRDefault="00D763E4" w:rsidP="007964E3">
                  <w:pPr>
                    <w:jc w:val="cente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01438 284032</w:t>
                  </w:r>
                </w:p>
              </w:tc>
              <w:tc>
                <w:tcPr>
                  <w:tcW w:w="1512" w:type="dxa"/>
                  <w:vMerge w:val="restart"/>
                </w:tcPr>
                <w:p w14:paraId="2B7B9AB6" w14:textId="77777777" w:rsidR="00D763E4" w:rsidRPr="00D43187" w:rsidRDefault="00D763E4" w:rsidP="007964E3">
                  <w:pPr>
                    <w:jc w:val="center"/>
                    <w:rPr>
                      <w:rFonts w:ascii="Arial" w:eastAsia="Times New Roman" w:hAnsi="Arial" w:cs="Arial"/>
                      <w:bCs/>
                      <w:sz w:val="20"/>
                      <w:szCs w:val="20"/>
                      <w:lang w:eastAsia="en-GB"/>
                    </w:rPr>
                  </w:pPr>
                </w:p>
                <w:p w14:paraId="3FEAFE66" w14:textId="77777777" w:rsidR="00D763E4" w:rsidRPr="00D43187" w:rsidRDefault="00D763E4" w:rsidP="007964E3">
                  <w:pPr>
                    <w:jc w:val="center"/>
                    <w:rPr>
                      <w:rFonts w:ascii="Arial" w:eastAsia="Times New Roman" w:hAnsi="Arial" w:cs="Arial"/>
                      <w:bCs/>
                      <w:sz w:val="20"/>
                      <w:szCs w:val="20"/>
                      <w:lang w:eastAsia="en-GB"/>
                    </w:rPr>
                  </w:pPr>
                </w:p>
                <w:p w14:paraId="657AEA6D" w14:textId="77777777" w:rsidR="007C03B5" w:rsidRDefault="007C03B5" w:rsidP="007964E3">
                  <w:pPr>
                    <w:jc w:val="center"/>
                    <w:rPr>
                      <w:rFonts w:ascii="Arial" w:eastAsia="Times New Roman" w:hAnsi="Arial" w:cs="Arial"/>
                      <w:bCs/>
                      <w:sz w:val="20"/>
                      <w:szCs w:val="20"/>
                      <w:lang w:eastAsia="en-GB"/>
                    </w:rPr>
                  </w:pPr>
                </w:p>
                <w:p w14:paraId="37804E0F" w14:textId="77777777" w:rsidR="007C03B5" w:rsidRDefault="007C03B5" w:rsidP="007964E3">
                  <w:pPr>
                    <w:jc w:val="center"/>
                    <w:rPr>
                      <w:rFonts w:ascii="Arial" w:eastAsia="Times New Roman" w:hAnsi="Arial" w:cs="Arial"/>
                      <w:bCs/>
                      <w:sz w:val="20"/>
                      <w:szCs w:val="20"/>
                      <w:lang w:eastAsia="en-GB"/>
                    </w:rPr>
                  </w:pPr>
                </w:p>
                <w:p w14:paraId="7740D246" w14:textId="62045F4F" w:rsidR="00D763E4" w:rsidRPr="00D43187" w:rsidRDefault="00D763E4" w:rsidP="007964E3">
                  <w:pPr>
                    <w:jc w:val="cente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01438 314333</w:t>
                  </w:r>
                </w:p>
              </w:tc>
            </w:tr>
            <w:tr w:rsidR="00D763E4" w:rsidRPr="00D43187" w14:paraId="6FC472A8" w14:textId="77777777" w:rsidTr="00DA336A">
              <w:tc>
                <w:tcPr>
                  <w:tcW w:w="1880" w:type="dxa"/>
                </w:tcPr>
                <w:p w14:paraId="223C057D" w14:textId="26635109" w:rsidR="00D763E4" w:rsidRDefault="00DA336A" w:rsidP="003F2A47">
                  <w:pPr>
                    <w:spacing w:after="40"/>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t>Clare Morlidge</w:t>
                  </w:r>
                  <w:r w:rsidR="00BA50FE">
                    <w:rPr>
                      <w:rFonts w:ascii="Arial" w:eastAsia="Times New Roman" w:hAnsi="Arial" w:cs="Arial"/>
                      <w:b/>
                      <w:bCs/>
                      <w:color w:val="000000" w:themeColor="text1"/>
                      <w:sz w:val="20"/>
                      <w:szCs w:val="20"/>
                      <w:lang w:eastAsia="en-GB"/>
                    </w:rPr>
                    <w:t>/</w:t>
                  </w:r>
                  <w:r>
                    <w:rPr>
                      <w:rFonts w:ascii="Arial" w:eastAsia="Times New Roman" w:hAnsi="Arial" w:cs="Arial"/>
                      <w:b/>
                      <w:bCs/>
                      <w:color w:val="000000" w:themeColor="text1"/>
                      <w:sz w:val="20"/>
                      <w:szCs w:val="20"/>
                      <w:lang w:eastAsia="en-GB"/>
                    </w:rPr>
                    <w:t xml:space="preserve"> </w:t>
                  </w:r>
                </w:p>
                <w:p w14:paraId="0EAFD742" w14:textId="77777777" w:rsidR="00DA336A" w:rsidRDefault="00DA336A" w:rsidP="003F2A47">
                  <w:pPr>
                    <w:spacing w:after="40"/>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t xml:space="preserve">Charlotte Mallindine </w:t>
                  </w:r>
                </w:p>
                <w:p w14:paraId="45058720" w14:textId="0EA1E829" w:rsidR="00DA336A" w:rsidRPr="00DA336A" w:rsidRDefault="00DA336A" w:rsidP="003F2A47">
                  <w:pPr>
                    <w:spacing w:after="40"/>
                    <w:rPr>
                      <w:rFonts w:ascii="Arial" w:eastAsia="Times New Roman" w:hAnsi="Arial" w:cs="Arial"/>
                      <w:bCs/>
                      <w:sz w:val="20"/>
                      <w:szCs w:val="20"/>
                      <w:lang w:eastAsia="en-GB"/>
                    </w:rPr>
                  </w:pPr>
                  <w:r w:rsidRPr="00DA336A">
                    <w:rPr>
                      <w:rFonts w:ascii="Arial" w:eastAsia="Times New Roman" w:hAnsi="Arial" w:cs="Arial"/>
                      <w:bCs/>
                      <w:color w:val="000000" w:themeColor="text1"/>
                      <w:sz w:val="20"/>
                      <w:szCs w:val="20"/>
                      <w:lang w:eastAsia="en-GB"/>
                    </w:rPr>
                    <w:t xml:space="preserve">Renal pharmacists </w:t>
                  </w:r>
                </w:p>
              </w:tc>
              <w:tc>
                <w:tcPr>
                  <w:tcW w:w="1835" w:type="dxa"/>
                </w:tcPr>
                <w:p w14:paraId="001DA9F3" w14:textId="306DC7ED" w:rsidR="00D763E4" w:rsidRPr="00D43187" w:rsidRDefault="00DA336A" w:rsidP="003F2A47">
                  <w:pPr>
                    <w:spacing w:after="40"/>
                    <w:rPr>
                      <w:rFonts w:ascii="Arial" w:eastAsia="Times New Roman" w:hAnsi="Arial" w:cs="Arial"/>
                      <w:b/>
                      <w:bCs/>
                      <w:sz w:val="20"/>
                      <w:szCs w:val="20"/>
                      <w:lang w:eastAsia="en-GB"/>
                    </w:rPr>
                  </w:pPr>
                  <w:r>
                    <w:rPr>
                      <w:rFonts w:ascii="Arial" w:eastAsia="Times New Roman" w:hAnsi="Arial" w:cs="Arial"/>
                      <w:bCs/>
                      <w:sz w:val="20"/>
                      <w:szCs w:val="20"/>
                      <w:lang w:eastAsia="en-GB"/>
                    </w:rPr>
                    <w:t>01438 284677</w:t>
                  </w:r>
                </w:p>
              </w:tc>
              <w:tc>
                <w:tcPr>
                  <w:tcW w:w="3349" w:type="dxa"/>
                </w:tcPr>
                <w:p w14:paraId="2A600EA1" w14:textId="72C2741D" w:rsidR="00DA336A" w:rsidRDefault="002F0507" w:rsidP="00DA336A">
                  <w:pPr>
                    <w:spacing w:after="40"/>
                    <w:rPr>
                      <w:rFonts w:ascii="Arial" w:hAnsi="Arial" w:cs="Arial"/>
                      <w:sz w:val="20"/>
                      <w:szCs w:val="20"/>
                    </w:rPr>
                  </w:pPr>
                  <w:hyperlink r:id="rId21" w:history="1">
                    <w:r w:rsidR="002752C8" w:rsidRPr="00376621">
                      <w:rPr>
                        <w:rStyle w:val="Hyperlink"/>
                        <w:rFonts w:ascii="Arial" w:hAnsi="Arial" w:cs="Arial"/>
                        <w:sz w:val="20"/>
                        <w:szCs w:val="20"/>
                      </w:rPr>
                      <w:t>renalpharmacists.enh-tr@nhs.net</w:t>
                    </w:r>
                  </w:hyperlink>
                </w:p>
                <w:p w14:paraId="0D0D8228" w14:textId="411DAC19" w:rsidR="00D763E4" w:rsidRPr="00D43187" w:rsidRDefault="00D763E4" w:rsidP="00DA336A">
                  <w:pPr>
                    <w:spacing w:after="40"/>
                    <w:rPr>
                      <w:rFonts w:ascii="Arial" w:eastAsia="Times New Roman" w:hAnsi="Arial" w:cs="Arial"/>
                      <w:bCs/>
                      <w:sz w:val="20"/>
                      <w:szCs w:val="20"/>
                      <w:lang w:eastAsia="en-GB"/>
                    </w:rPr>
                  </w:pPr>
                  <w:r>
                    <w:rPr>
                      <w:rFonts w:ascii="Arial" w:hAnsi="Arial" w:cs="Arial"/>
                      <w:sz w:val="20"/>
                      <w:szCs w:val="20"/>
                    </w:rPr>
                    <w:t xml:space="preserve"> </w:t>
                  </w:r>
                </w:p>
              </w:tc>
              <w:tc>
                <w:tcPr>
                  <w:tcW w:w="1972" w:type="dxa"/>
                  <w:vMerge/>
                </w:tcPr>
                <w:p w14:paraId="45176FA6" w14:textId="31C1F918" w:rsidR="00D763E4" w:rsidRPr="00D43187" w:rsidRDefault="00D763E4" w:rsidP="004579C4">
                  <w:pPr>
                    <w:rPr>
                      <w:rFonts w:ascii="Arial" w:eastAsia="Times New Roman" w:hAnsi="Arial" w:cs="Arial"/>
                      <w:bCs/>
                      <w:sz w:val="20"/>
                      <w:szCs w:val="20"/>
                      <w:lang w:eastAsia="en-GB"/>
                    </w:rPr>
                  </w:pPr>
                </w:p>
              </w:tc>
              <w:tc>
                <w:tcPr>
                  <w:tcW w:w="1512" w:type="dxa"/>
                  <w:vMerge/>
                </w:tcPr>
                <w:p w14:paraId="5A46F8D2" w14:textId="46970A86" w:rsidR="00D763E4" w:rsidRPr="00D43187" w:rsidRDefault="00D763E4" w:rsidP="004579C4">
                  <w:pPr>
                    <w:rPr>
                      <w:rFonts w:ascii="Arial" w:eastAsia="Times New Roman" w:hAnsi="Arial" w:cs="Arial"/>
                      <w:bCs/>
                      <w:sz w:val="20"/>
                      <w:szCs w:val="20"/>
                      <w:lang w:eastAsia="en-GB"/>
                    </w:rPr>
                  </w:pPr>
                </w:p>
              </w:tc>
            </w:tr>
            <w:tr w:rsidR="00D763E4" w:rsidRPr="00D43187" w14:paraId="37F470A8" w14:textId="77777777" w:rsidTr="00DA336A">
              <w:tc>
                <w:tcPr>
                  <w:tcW w:w="1880" w:type="dxa"/>
                </w:tcPr>
                <w:p w14:paraId="434AD3C0" w14:textId="32E15CD0" w:rsidR="00DA336A" w:rsidRPr="00DA336A" w:rsidRDefault="00DA336A" w:rsidP="003F2A47">
                  <w:pPr>
                    <w:spacing w:after="40"/>
                    <w:rPr>
                      <w:rFonts w:ascii="Arial" w:eastAsia="Times New Roman" w:hAnsi="Arial" w:cs="Arial"/>
                      <w:bCs/>
                      <w:sz w:val="20"/>
                      <w:szCs w:val="20"/>
                      <w:lang w:val="en-US" w:eastAsia="en-GB"/>
                    </w:rPr>
                  </w:pPr>
                  <w:r w:rsidRPr="00DA336A">
                    <w:rPr>
                      <w:rFonts w:ascii="Arial" w:eastAsia="Times New Roman" w:hAnsi="Arial" w:cs="Arial"/>
                      <w:bCs/>
                      <w:sz w:val="20"/>
                      <w:szCs w:val="20"/>
                      <w:lang w:eastAsia="en-GB"/>
                    </w:rPr>
                    <w:t xml:space="preserve">Renal dietician </w:t>
                  </w:r>
                </w:p>
              </w:tc>
              <w:tc>
                <w:tcPr>
                  <w:tcW w:w="1835" w:type="dxa"/>
                </w:tcPr>
                <w:p w14:paraId="28AA53EE" w14:textId="759AE8E4" w:rsidR="00D763E4" w:rsidRPr="00D43187" w:rsidRDefault="00DA336A" w:rsidP="003F2A47">
                  <w:pPr>
                    <w:spacing w:after="40"/>
                    <w:rPr>
                      <w:rFonts w:ascii="Arial" w:hAnsi="Arial" w:cs="Arial"/>
                      <w:sz w:val="20"/>
                      <w:szCs w:val="20"/>
                      <w:lang w:eastAsia="en-GB"/>
                    </w:rPr>
                  </w:pPr>
                  <w:r>
                    <w:rPr>
                      <w:rFonts w:ascii="Arial" w:eastAsia="Times New Roman" w:hAnsi="Arial" w:cs="Arial"/>
                      <w:bCs/>
                      <w:sz w:val="20"/>
                      <w:szCs w:val="20"/>
                      <w:lang w:eastAsia="en-GB"/>
                    </w:rPr>
                    <w:t>01438 284947</w:t>
                  </w:r>
                </w:p>
              </w:tc>
              <w:tc>
                <w:tcPr>
                  <w:tcW w:w="3349" w:type="dxa"/>
                </w:tcPr>
                <w:p w14:paraId="7228378A" w14:textId="2F76E499" w:rsidR="000A6C27" w:rsidRDefault="002F0507" w:rsidP="00DA336A">
                  <w:pPr>
                    <w:spacing w:after="40"/>
                    <w:rPr>
                      <w:rFonts w:ascii="Arial" w:hAnsi="Arial" w:cs="Arial"/>
                      <w:sz w:val="20"/>
                      <w:szCs w:val="20"/>
                    </w:rPr>
                  </w:pPr>
                  <w:hyperlink r:id="rId22" w:history="1">
                    <w:r w:rsidR="000A6C27" w:rsidRPr="006A72EE">
                      <w:rPr>
                        <w:rStyle w:val="Hyperlink"/>
                        <w:rFonts w:ascii="Arial" w:hAnsi="Arial" w:cs="Arial"/>
                        <w:sz w:val="20"/>
                        <w:szCs w:val="20"/>
                      </w:rPr>
                      <w:t>renaldieticians.enh-tr@nhs.net</w:t>
                    </w:r>
                  </w:hyperlink>
                </w:p>
                <w:p w14:paraId="29628982" w14:textId="0BE7A91D" w:rsidR="00D763E4" w:rsidRPr="00DA336A" w:rsidRDefault="002F0507" w:rsidP="00DA336A">
                  <w:pPr>
                    <w:spacing w:after="40"/>
                    <w:rPr>
                      <w:rFonts w:ascii="Arial" w:hAnsi="Arial" w:cs="Arial"/>
                      <w:sz w:val="20"/>
                      <w:szCs w:val="20"/>
                      <w:highlight w:val="yellow"/>
                    </w:rPr>
                  </w:pPr>
                  <w:hyperlink r:id="rId23" w:history="1"/>
                </w:p>
              </w:tc>
              <w:tc>
                <w:tcPr>
                  <w:tcW w:w="1972" w:type="dxa"/>
                  <w:vMerge/>
                </w:tcPr>
                <w:p w14:paraId="444214F8" w14:textId="77777777" w:rsidR="00D763E4" w:rsidRDefault="00D763E4" w:rsidP="003F2A47">
                  <w:pPr>
                    <w:spacing w:after="40"/>
                    <w:rPr>
                      <w:rFonts w:ascii="Arial" w:eastAsia="Times New Roman" w:hAnsi="Arial" w:cs="Arial"/>
                      <w:bCs/>
                      <w:sz w:val="20"/>
                      <w:szCs w:val="20"/>
                      <w:lang w:eastAsia="en-GB"/>
                    </w:rPr>
                  </w:pPr>
                </w:p>
              </w:tc>
              <w:tc>
                <w:tcPr>
                  <w:tcW w:w="1512" w:type="dxa"/>
                  <w:vMerge/>
                </w:tcPr>
                <w:p w14:paraId="362B58A5" w14:textId="77777777" w:rsidR="00D763E4" w:rsidRPr="00D43187" w:rsidRDefault="00D763E4" w:rsidP="004579C4">
                  <w:pPr>
                    <w:rPr>
                      <w:rFonts w:ascii="Arial" w:eastAsia="Times New Roman" w:hAnsi="Arial" w:cs="Arial"/>
                      <w:bCs/>
                      <w:sz w:val="20"/>
                      <w:szCs w:val="20"/>
                      <w:lang w:eastAsia="en-GB"/>
                    </w:rPr>
                  </w:pPr>
                </w:p>
              </w:tc>
            </w:tr>
          </w:tbl>
          <w:p w14:paraId="5341AA1D" w14:textId="2AC9FB16" w:rsidR="00376393" w:rsidRPr="00D43187" w:rsidRDefault="00B7750C" w:rsidP="00B7750C">
            <w:pPr>
              <w:spacing w:after="0" w:line="240" w:lineRule="auto"/>
              <w:jc w:val="center"/>
              <w:rPr>
                <w:rFonts w:ascii="Arial" w:eastAsia="Times New Roman" w:hAnsi="Arial" w:cs="Arial"/>
                <w:b/>
                <w:bCs/>
                <w:lang w:eastAsia="en-GB"/>
              </w:rPr>
            </w:pPr>
            <w:r>
              <w:rPr>
                <w:rFonts w:ascii="Arial" w:eastAsia="Times New Roman" w:hAnsi="Arial" w:cs="Arial"/>
                <w:b/>
                <w:bCs/>
                <w:lang w:eastAsia="en-GB"/>
              </w:rPr>
              <w:t>Outside normal working hours there is access to a Consultant Nephrologist via the hospital switchboard</w:t>
            </w:r>
          </w:p>
          <w:p w14:paraId="4ED8CA3A" w14:textId="41E51E98" w:rsidR="008C60E5" w:rsidRPr="008C60E5" w:rsidRDefault="00C74787" w:rsidP="008C60E5">
            <w:pPr>
              <w:spacing w:after="0" w:line="240" w:lineRule="auto"/>
              <w:rPr>
                <w:rFonts w:ascii="Arial" w:eastAsia="Times New Roman" w:hAnsi="Arial" w:cs="Arial"/>
                <w:bCs/>
                <w:lang w:eastAsia="en-GB"/>
              </w:rPr>
            </w:pPr>
            <w:r>
              <w:rPr>
                <w:rFonts w:ascii="Arial" w:eastAsia="Times New Roman" w:hAnsi="Arial" w:cs="Arial"/>
                <w:bCs/>
                <w:lang w:eastAsia="en-GB"/>
              </w:rPr>
              <w:t>For any queries relating to a</w:t>
            </w:r>
            <w:r w:rsidR="008C60E5" w:rsidRPr="008C60E5">
              <w:rPr>
                <w:rFonts w:ascii="Arial" w:eastAsia="Times New Roman" w:hAnsi="Arial" w:cs="Arial"/>
                <w:bCs/>
                <w:lang w:eastAsia="en-GB"/>
              </w:rPr>
              <w:t xml:space="preserve"> patient’s </w:t>
            </w:r>
            <w:r w:rsidR="005C6D32">
              <w:rPr>
                <w:rFonts w:ascii="Arial" w:eastAsia="Times New Roman" w:hAnsi="Arial" w:cs="Arial"/>
                <w:bCs/>
                <w:lang w:eastAsia="en-GB"/>
              </w:rPr>
              <w:t xml:space="preserve">treatment </w:t>
            </w:r>
            <w:r w:rsidR="00B7750C">
              <w:rPr>
                <w:rFonts w:ascii="Arial" w:eastAsia="Times New Roman" w:hAnsi="Arial" w:cs="Arial"/>
                <w:bCs/>
                <w:lang w:eastAsia="en-GB"/>
              </w:rPr>
              <w:t>with cinacalcet</w:t>
            </w:r>
            <w:r w:rsidR="008C60E5" w:rsidRPr="008C60E5">
              <w:rPr>
                <w:rFonts w:ascii="Arial" w:eastAsia="Times New Roman" w:hAnsi="Arial" w:cs="Arial"/>
                <w:bCs/>
                <w:lang w:eastAsia="en-GB"/>
              </w:rPr>
              <w:t>, please contact the specialist as documented at the top of this document. Read in conjunction with H</w:t>
            </w:r>
            <w:r w:rsidR="00C43895">
              <w:rPr>
                <w:rFonts w:ascii="Arial" w:eastAsia="Times New Roman" w:hAnsi="Arial" w:cs="Arial"/>
                <w:bCs/>
                <w:lang w:eastAsia="en-GB"/>
              </w:rPr>
              <w:t>WE APC</w:t>
            </w:r>
            <w:r w:rsidR="008C60E5" w:rsidRPr="008C60E5">
              <w:rPr>
                <w:rFonts w:ascii="Arial" w:eastAsia="Times New Roman" w:hAnsi="Arial" w:cs="Arial"/>
                <w:bCs/>
                <w:lang w:eastAsia="en-GB"/>
              </w:rPr>
              <w:t xml:space="preserve"> shared care principles document.</w:t>
            </w:r>
          </w:p>
          <w:p w14:paraId="50F40B83" w14:textId="7728FC66" w:rsidR="008C60E5" w:rsidRPr="008C60E5" w:rsidRDefault="008C60E5" w:rsidP="008C60E5">
            <w:pPr>
              <w:spacing w:after="0" w:line="240" w:lineRule="auto"/>
              <w:rPr>
                <w:rFonts w:ascii="Arial" w:eastAsia="Times New Roman" w:hAnsi="Arial" w:cs="Arial"/>
                <w:bCs/>
                <w:lang w:eastAsia="en-GB"/>
              </w:rPr>
            </w:pP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0E2E2971" w14:textId="77777777" w:rsidR="00004CD4" w:rsidRDefault="00004CD4" w:rsidP="00CB147C">
      <w:pPr>
        <w:spacing w:after="0"/>
        <w:rPr>
          <w:b/>
        </w:rPr>
      </w:pPr>
    </w:p>
    <w:p w14:paraId="0B4A4C0E" w14:textId="77777777" w:rsidR="00B7750C" w:rsidRDefault="00B7750C" w:rsidP="00C43895">
      <w:pPr>
        <w:keepNext/>
        <w:pBdr>
          <w:top w:val="single" w:sz="4" w:space="1" w:color="auto"/>
          <w:left w:val="single" w:sz="4" w:space="4" w:color="auto"/>
          <w:bottom w:val="single" w:sz="4" w:space="1" w:color="auto"/>
          <w:right w:val="single" w:sz="4" w:space="4" w:color="auto"/>
        </w:pBdr>
        <w:spacing w:after="0" w:line="240" w:lineRule="auto"/>
        <w:ind w:left="142" w:hanging="142"/>
        <w:contextualSpacing/>
        <w:jc w:val="both"/>
        <w:outlineLvl w:val="0"/>
        <w:rPr>
          <w:rFonts w:ascii="Arial" w:eastAsia="Times New Roman" w:hAnsi="Arial" w:cs="Times New Roman"/>
          <w:b/>
          <w:bCs/>
          <w:szCs w:val="24"/>
        </w:rPr>
      </w:pPr>
      <w:r>
        <w:rPr>
          <w:rFonts w:ascii="Arial" w:eastAsia="Times New Roman" w:hAnsi="Arial" w:cs="Times New Roman"/>
          <w:b/>
          <w:bCs/>
          <w:szCs w:val="24"/>
        </w:rPr>
        <w:t>REFERENCEs</w:t>
      </w:r>
    </w:p>
    <w:p w14:paraId="46F1568C" w14:textId="5283ACD4" w:rsidR="00B7750C" w:rsidRPr="007964E3" w:rsidRDefault="00B7750C" w:rsidP="008876D9">
      <w:pPr>
        <w:pStyle w:val="ListParagraph"/>
        <w:keepNext/>
        <w:numPr>
          <w:ilvl w:val="0"/>
          <w:numId w:val="10"/>
        </w:num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bCs/>
          <w:sz w:val="16"/>
          <w:szCs w:val="24"/>
        </w:rPr>
      </w:pPr>
      <w:r w:rsidRPr="007964E3">
        <w:rPr>
          <w:rFonts w:ascii="Arial" w:eastAsia="Times New Roman" w:hAnsi="Arial" w:cs="Arial"/>
          <w:bCs/>
          <w:sz w:val="16"/>
          <w:szCs w:val="24"/>
        </w:rPr>
        <w:t xml:space="preserve">NICE technology appraisal guidance 117. Cinacalcet for the treatment of secondary hyperparathyroidism in patients with end-stage renal disease on maintenance dialysis therapy. </w:t>
      </w:r>
      <w:hyperlink r:id="rId24" w:history="1">
        <w:r w:rsidRPr="007964E3">
          <w:rPr>
            <w:rStyle w:val="Hyperlink"/>
            <w:rFonts w:ascii="Arial" w:eastAsia="Times New Roman" w:hAnsi="Arial" w:cs="Arial"/>
            <w:bCs/>
            <w:sz w:val="16"/>
            <w:szCs w:val="24"/>
          </w:rPr>
          <w:t>http://guidance.nice.org.uk/TA117</w:t>
        </w:r>
      </w:hyperlink>
    </w:p>
    <w:p w14:paraId="79CED649" w14:textId="43488962" w:rsidR="00B7750C" w:rsidRPr="007964E3" w:rsidRDefault="00B7750C" w:rsidP="008876D9">
      <w:pPr>
        <w:pStyle w:val="ListParagraph"/>
        <w:keepNext/>
        <w:numPr>
          <w:ilvl w:val="0"/>
          <w:numId w:val="10"/>
        </w:num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bCs/>
          <w:sz w:val="16"/>
          <w:szCs w:val="24"/>
        </w:rPr>
      </w:pPr>
      <w:r w:rsidRPr="007964E3">
        <w:rPr>
          <w:rFonts w:ascii="Arial" w:eastAsia="Times New Roman" w:hAnsi="Arial" w:cs="Arial"/>
          <w:bCs/>
          <w:sz w:val="16"/>
          <w:szCs w:val="24"/>
        </w:rPr>
        <w:t>BNF, No 81, March 2021.</w:t>
      </w:r>
      <w:r w:rsidRPr="007964E3">
        <w:rPr>
          <w:rFonts w:ascii="Arial" w:hAnsi="Arial" w:cs="Arial"/>
          <w:sz w:val="16"/>
        </w:rPr>
        <w:t xml:space="preserve"> </w:t>
      </w:r>
      <w:hyperlink r:id="rId25" w:history="1">
        <w:r w:rsidRPr="007964E3">
          <w:rPr>
            <w:rStyle w:val="Hyperlink"/>
            <w:rFonts w:ascii="Arial" w:eastAsia="Times New Roman" w:hAnsi="Arial" w:cs="Arial"/>
            <w:bCs/>
            <w:sz w:val="16"/>
            <w:szCs w:val="24"/>
          </w:rPr>
          <w:t>https://bnf.nice.org.uk/</w:t>
        </w:r>
      </w:hyperlink>
    </w:p>
    <w:p w14:paraId="74682BDC" w14:textId="0EFFA4AF" w:rsidR="00B7750C" w:rsidRPr="007964E3" w:rsidRDefault="00B7750C" w:rsidP="008876D9">
      <w:pPr>
        <w:pStyle w:val="ListParagraph"/>
        <w:keepNext/>
        <w:numPr>
          <w:ilvl w:val="0"/>
          <w:numId w:val="10"/>
        </w:num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bCs/>
          <w:sz w:val="16"/>
          <w:szCs w:val="24"/>
        </w:rPr>
      </w:pPr>
      <w:r w:rsidRPr="007964E3">
        <w:rPr>
          <w:rFonts w:ascii="Arial" w:eastAsia="Times New Roman" w:hAnsi="Arial" w:cs="Arial"/>
          <w:bCs/>
          <w:sz w:val="16"/>
          <w:szCs w:val="24"/>
        </w:rPr>
        <w:t xml:space="preserve">Summary of Product Characteristics for cinacalcet tablets, Tillomed Laboratories Ltd, August 2020 </w:t>
      </w:r>
      <w:hyperlink r:id="rId26" w:history="1">
        <w:r w:rsidRPr="007964E3">
          <w:rPr>
            <w:rStyle w:val="Hyperlink"/>
            <w:rFonts w:ascii="Arial" w:eastAsia="Times New Roman" w:hAnsi="Arial" w:cs="Arial"/>
            <w:bCs/>
            <w:sz w:val="16"/>
            <w:szCs w:val="24"/>
          </w:rPr>
          <w:t>www.medicines.org.uk</w:t>
        </w:r>
      </w:hyperlink>
    </w:p>
    <w:p w14:paraId="3F679A00" w14:textId="5B677E79" w:rsidR="00B7750C" w:rsidRPr="007964E3" w:rsidRDefault="00B7750C" w:rsidP="008876D9">
      <w:pPr>
        <w:pStyle w:val="ListParagraph"/>
        <w:keepNext/>
        <w:numPr>
          <w:ilvl w:val="0"/>
          <w:numId w:val="10"/>
        </w:num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bCs/>
          <w:sz w:val="16"/>
          <w:szCs w:val="24"/>
        </w:rPr>
      </w:pPr>
      <w:r w:rsidRPr="007964E3">
        <w:rPr>
          <w:rFonts w:ascii="Arial" w:eastAsia="Times New Roman" w:hAnsi="Arial" w:cs="Arial"/>
          <w:bCs/>
          <w:sz w:val="16"/>
          <w:szCs w:val="24"/>
        </w:rPr>
        <w:t>Hull and East Riding’s NHS Trust Cinacalcet Shared Care Guidelines, Sept 2007</w:t>
      </w:r>
    </w:p>
    <w:p w14:paraId="17118DDE" w14:textId="42347E23" w:rsidR="007964E3" w:rsidRDefault="00A97578" w:rsidP="002F0507">
      <w:pPr>
        <w:rPr>
          <w:rFonts w:ascii="Arial" w:hAnsi="Arial" w:cs="Arial"/>
          <w:b/>
          <w:sz w:val="28"/>
          <w:u w:val="single"/>
        </w:rPr>
      </w:pPr>
      <w:r>
        <w:rPr>
          <w:rFonts w:ascii="Arial" w:hAnsi="Arial" w:cs="Arial"/>
          <w:b/>
          <w:sz w:val="28"/>
          <w:u w:val="single"/>
        </w:rPr>
        <w:br w:type="page"/>
      </w: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lastRenderedPageBreak/>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69C1F5E8" w14:textId="15F36214" w:rsidR="000F0B54" w:rsidRPr="00725343" w:rsidRDefault="00C43895" w:rsidP="00A97578">
      <w:pPr>
        <w:rPr>
          <w:rFonts w:ascii="Arial" w:hAnsi="Arial" w:cs="Arial"/>
          <w:b/>
          <w:color w:val="000000"/>
          <w:sz w:val="28"/>
          <w:u w:val="single"/>
          <w:lang w:eastAsia="en-GB"/>
        </w:rPr>
      </w:pPr>
      <w:r>
        <w:rPr>
          <w:rFonts w:ascii="Arial" w:hAnsi="Arial" w:cs="Arial"/>
          <w:b/>
          <w:color w:val="000000"/>
          <w:sz w:val="24"/>
          <w:u w:val="single"/>
          <w:lang w:eastAsia="en-GB"/>
        </w:rPr>
        <w:br w:type="page"/>
      </w:r>
      <w:r w:rsidR="00725343" w:rsidRPr="00324400">
        <w:rPr>
          <w:rFonts w:ascii="Arial" w:hAnsi="Arial" w:cs="Arial"/>
          <w:b/>
          <w:color w:val="000000"/>
          <w:sz w:val="28"/>
          <w:u w:val="single"/>
          <w:lang w:eastAsia="en-GB"/>
        </w:rPr>
        <w:lastRenderedPageBreak/>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725343" w:rsidRPr="006F4129" w14:paraId="0D4AB150" w14:textId="77777777" w:rsidTr="00755258">
        <w:tc>
          <w:tcPr>
            <w:tcW w:w="2694" w:type="dxa"/>
            <w:shd w:val="clear" w:color="auto" w:fill="auto"/>
          </w:tcPr>
          <w:p w14:paraId="16A54FC7"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Title of Guideline</w:t>
            </w:r>
          </w:p>
        </w:tc>
        <w:tc>
          <w:tcPr>
            <w:tcW w:w="8080" w:type="dxa"/>
            <w:shd w:val="clear" w:color="auto" w:fill="auto"/>
          </w:tcPr>
          <w:p w14:paraId="0AE7D270" w14:textId="77777777" w:rsidR="00DB69C5" w:rsidRPr="00DB69C5" w:rsidRDefault="00DB69C5" w:rsidP="00DB69C5">
            <w:pPr>
              <w:autoSpaceDE w:val="0"/>
              <w:autoSpaceDN w:val="0"/>
              <w:spacing w:after="0" w:line="240" w:lineRule="auto"/>
              <w:rPr>
                <w:rFonts w:ascii="Arial" w:eastAsia="Times New Roman" w:hAnsi="Arial" w:cs="Arial"/>
                <w:sz w:val="20"/>
                <w:szCs w:val="20"/>
                <w:lang w:val="en-US"/>
              </w:rPr>
            </w:pPr>
            <w:r w:rsidRPr="00DB69C5">
              <w:rPr>
                <w:rFonts w:ascii="Arial" w:eastAsia="Times New Roman" w:hAnsi="Arial" w:cs="Arial"/>
                <w:sz w:val="20"/>
                <w:szCs w:val="20"/>
                <w:lang w:val="en-US"/>
              </w:rPr>
              <w:t xml:space="preserve">Cinacalcet for Use in Secondary Hyperparathyroidism in Adults with </w:t>
            </w:r>
          </w:p>
          <w:p w14:paraId="7A80C7A9" w14:textId="77777777" w:rsidR="00DB69C5" w:rsidRPr="00DB69C5" w:rsidRDefault="00DB69C5" w:rsidP="00DB69C5">
            <w:pPr>
              <w:autoSpaceDE w:val="0"/>
              <w:autoSpaceDN w:val="0"/>
              <w:spacing w:after="0" w:line="240" w:lineRule="auto"/>
              <w:rPr>
                <w:rFonts w:ascii="Arial" w:eastAsia="Times New Roman" w:hAnsi="Arial" w:cs="Arial"/>
                <w:sz w:val="20"/>
                <w:szCs w:val="20"/>
                <w:lang w:val="en-US"/>
              </w:rPr>
            </w:pPr>
            <w:r w:rsidRPr="00DB69C5">
              <w:rPr>
                <w:rFonts w:ascii="Arial" w:eastAsia="Times New Roman" w:hAnsi="Arial" w:cs="Arial"/>
                <w:sz w:val="20"/>
                <w:szCs w:val="20"/>
                <w:lang w:val="en-US"/>
              </w:rPr>
              <w:t>End Stage Kidney Disease (ESKD) Requiring Renal Replacement Therapy:</w:t>
            </w:r>
          </w:p>
          <w:p w14:paraId="5EF23791" w14:textId="60136BD0" w:rsidR="00725343" w:rsidRPr="006F4129" w:rsidRDefault="00DB69C5" w:rsidP="00DB69C5">
            <w:pPr>
              <w:autoSpaceDE w:val="0"/>
              <w:autoSpaceDN w:val="0"/>
              <w:spacing w:after="0" w:line="240" w:lineRule="auto"/>
              <w:rPr>
                <w:rFonts w:ascii="Arial" w:eastAsia="Times New Roman" w:hAnsi="Arial" w:cs="Arial"/>
                <w:sz w:val="20"/>
                <w:szCs w:val="20"/>
                <w:lang w:val="en-US"/>
              </w:rPr>
            </w:pPr>
            <w:r w:rsidRPr="00DB69C5">
              <w:rPr>
                <w:rFonts w:ascii="Arial" w:eastAsia="Times New Roman" w:hAnsi="Arial" w:cs="Arial"/>
                <w:sz w:val="20"/>
                <w:szCs w:val="20"/>
                <w:lang w:val="en-US"/>
              </w:rPr>
              <w:t xml:space="preserve">Shared Care Protocol </w:t>
            </w:r>
          </w:p>
        </w:tc>
      </w:tr>
      <w:tr w:rsidR="00725343" w:rsidRPr="006F4129" w14:paraId="21FE74A1" w14:textId="77777777" w:rsidTr="00755258">
        <w:tc>
          <w:tcPr>
            <w:tcW w:w="2694" w:type="dxa"/>
            <w:shd w:val="clear" w:color="auto" w:fill="auto"/>
          </w:tcPr>
          <w:p w14:paraId="0580F24E"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Guideline Number</w:t>
            </w:r>
          </w:p>
        </w:tc>
        <w:tc>
          <w:tcPr>
            <w:tcW w:w="8080" w:type="dxa"/>
            <w:shd w:val="clear" w:color="auto" w:fill="auto"/>
          </w:tcPr>
          <w:p w14:paraId="3EDC3C34" w14:textId="4E14159B" w:rsidR="00725343" w:rsidRPr="006F4129" w:rsidRDefault="00D435E7"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w:t>
            </w:r>
          </w:p>
        </w:tc>
      </w:tr>
      <w:tr w:rsidR="00725343" w:rsidRPr="006F4129" w14:paraId="21D8D1CC" w14:textId="77777777" w:rsidTr="00755258">
        <w:tc>
          <w:tcPr>
            <w:tcW w:w="2694" w:type="dxa"/>
            <w:shd w:val="clear" w:color="auto" w:fill="auto"/>
          </w:tcPr>
          <w:p w14:paraId="39CD00E2"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Version</w:t>
            </w:r>
          </w:p>
        </w:tc>
        <w:tc>
          <w:tcPr>
            <w:tcW w:w="8080" w:type="dxa"/>
            <w:shd w:val="clear" w:color="auto" w:fill="auto"/>
          </w:tcPr>
          <w:p w14:paraId="15A25937" w14:textId="74C878C6" w:rsidR="00AB1A04" w:rsidRDefault="00AB1A04"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2.2 Updated in line with updated shared care protocol template May 2025</w:t>
            </w:r>
          </w:p>
          <w:p w14:paraId="08A7A104" w14:textId="60116025" w:rsidR="00725343" w:rsidRPr="006F4129" w:rsidRDefault="004E5B0B"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2.1 </w:t>
            </w:r>
            <w:r w:rsidR="0072284B">
              <w:rPr>
                <w:rFonts w:ascii="Arial" w:eastAsia="Times New Roman" w:hAnsi="Arial" w:cs="Arial"/>
                <w:sz w:val="20"/>
                <w:szCs w:val="20"/>
                <w:lang w:val="en-US"/>
              </w:rPr>
              <w:t>U</w:t>
            </w:r>
            <w:r>
              <w:rPr>
                <w:rFonts w:ascii="Arial" w:eastAsia="Times New Roman" w:hAnsi="Arial" w:cs="Arial"/>
                <w:sz w:val="20"/>
                <w:szCs w:val="20"/>
                <w:lang w:val="en-US"/>
              </w:rPr>
              <w:t>pdated with wording on swallowing difficulties and patient consent to shared care. September 2024</w:t>
            </w:r>
          </w:p>
        </w:tc>
      </w:tr>
      <w:tr w:rsidR="0060123B" w:rsidRPr="006F4129" w14:paraId="187F5A99" w14:textId="77777777" w:rsidTr="00755258">
        <w:tc>
          <w:tcPr>
            <w:tcW w:w="2694" w:type="dxa"/>
            <w:shd w:val="clear" w:color="auto" w:fill="auto"/>
          </w:tcPr>
          <w:p w14:paraId="384841D3" w14:textId="77777777" w:rsidR="0060123B" w:rsidRPr="006F4129" w:rsidRDefault="0060123B" w:rsidP="0060123B">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Review Date</w:t>
            </w:r>
          </w:p>
        </w:tc>
        <w:tc>
          <w:tcPr>
            <w:tcW w:w="8080" w:type="dxa"/>
            <w:shd w:val="clear" w:color="auto" w:fill="auto"/>
          </w:tcPr>
          <w:p w14:paraId="4711FF63" w14:textId="5394706F" w:rsidR="0060123B" w:rsidRPr="001F0E1F" w:rsidRDefault="006E466A" w:rsidP="0060123B">
            <w:pPr>
              <w:autoSpaceDE w:val="0"/>
              <w:autoSpaceDN w:val="0"/>
              <w:spacing w:after="0" w:line="240" w:lineRule="auto"/>
              <w:rPr>
                <w:rFonts w:ascii="Arial" w:eastAsia="Times New Roman" w:hAnsi="Arial" w:cs="Arial"/>
                <w:bCs/>
                <w:sz w:val="20"/>
                <w:szCs w:val="20"/>
                <w:lang w:val="en-US"/>
              </w:rPr>
            </w:pPr>
            <w:r w:rsidRPr="001F0E1F">
              <w:rPr>
                <w:rFonts w:ascii="Arial" w:eastAsia="Times New Roman" w:hAnsi="Arial" w:cs="Arial"/>
                <w:bCs/>
                <w:sz w:val="20"/>
                <w:szCs w:val="20"/>
                <w:lang w:val="en-US"/>
              </w:rPr>
              <w:t>This shared care guidance will be reviewed upon request in the light of new evidence becoming available</w:t>
            </w:r>
          </w:p>
        </w:tc>
      </w:tr>
      <w:tr w:rsidR="0060123B" w:rsidRPr="006F4129" w14:paraId="08255EB7" w14:textId="77777777" w:rsidTr="00755258">
        <w:tc>
          <w:tcPr>
            <w:tcW w:w="2694" w:type="dxa"/>
            <w:shd w:val="clear" w:color="auto" w:fill="auto"/>
          </w:tcPr>
          <w:p w14:paraId="68C36D0E" w14:textId="77777777" w:rsidR="0060123B" w:rsidRPr="006F4129" w:rsidRDefault="0060123B" w:rsidP="0060123B">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Original Version Produced</w:t>
            </w:r>
          </w:p>
        </w:tc>
        <w:tc>
          <w:tcPr>
            <w:tcW w:w="8080" w:type="dxa"/>
            <w:shd w:val="clear" w:color="auto" w:fill="auto"/>
          </w:tcPr>
          <w:p w14:paraId="2C3BAB3F" w14:textId="660C7DDD" w:rsidR="0060123B" w:rsidRPr="006F4129" w:rsidRDefault="004E5B0B" w:rsidP="0060123B">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2</w:t>
            </w:r>
          </w:p>
        </w:tc>
      </w:tr>
      <w:tr w:rsidR="00725343" w:rsidRPr="006F4129" w14:paraId="30FD8E6D" w14:textId="77777777" w:rsidTr="00755258">
        <w:tc>
          <w:tcPr>
            <w:tcW w:w="2694" w:type="dxa"/>
            <w:shd w:val="clear" w:color="auto" w:fill="auto"/>
          </w:tcPr>
          <w:p w14:paraId="1CAF4941" w14:textId="77777777" w:rsidR="00725343" w:rsidRPr="00121068" w:rsidRDefault="00725343" w:rsidP="0015736E">
            <w:pPr>
              <w:autoSpaceDE w:val="0"/>
              <w:autoSpaceDN w:val="0"/>
              <w:spacing w:after="0" w:line="240" w:lineRule="auto"/>
              <w:rPr>
                <w:rFonts w:ascii="Arial" w:eastAsia="Times New Roman" w:hAnsi="Arial" w:cs="Arial"/>
                <w:b/>
                <w:i/>
                <w:sz w:val="20"/>
                <w:szCs w:val="20"/>
                <w:lang w:val="en-US"/>
              </w:rPr>
            </w:pPr>
            <w:r w:rsidRPr="00121068">
              <w:rPr>
                <w:rFonts w:ascii="Arial" w:eastAsia="Times New Roman" w:hAnsi="Arial" w:cs="Arial"/>
                <w:b/>
                <w:i/>
                <w:sz w:val="20"/>
                <w:szCs w:val="20"/>
                <w:lang w:val="en-US"/>
              </w:rPr>
              <w:t>Approvals:</w:t>
            </w:r>
          </w:p>
        </w:tc>
        <w:tc>
          <w:tcPr>
            <w:tcW w:w="8080" w:type="dxa"/>
            <w:shd w:val="clear" w:color="auto" w:fill="auto"/>
          </w:tcPr>
          <w:p w14:paraId="0B9A13FD"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p>
        </w:tc>
      </w:tr>
      <w:tr w:rsidR="00725343" w:rsidRPr="006F4129" w14:paraId="561924B4" w14:textId="77777777" w:rsidTr="00755258">
        <w:tc>
          <w:tcPr>
            <w:tcW w:w="2694" w:type="dxa"/>
            <w:shd w:val="clear" w:color="auto" w:fill="auto"/>
          </w:tcPr>
          <w:p w14:paraId="0A4DCA50" w14:textId="39ACC5B4" w:rsidR="00725343" w:rsidRPr="006F4129" w:rsidRDefault="00725343"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Provider</w:t>
            </w:r>
            <w:r w:rsidRPr="006F4129">
              <w:rPr>
                <w:rFonts w:ascii="Arial" w:eastAsia="Times New Roman" w:hAnsi="Arial" w:cs="Arial"/>
                <w:sz w:val="20"/>
                <w:szCs w:val="20"/>
                <w:lang w:val="en-US"/>
              </w:rPr>
              <w:t xml:space="preserve"> Trust </w:t>
            </w:r>
            <w:r>
              <w:rPr>
                <w:rFonts w:ascii="Arial" w:eastAsia="Times New Roman" w:hAnsi="Arial" w:cs="Arial"/>
                <w:sz w:val="20"/>
                <w:szCs w:val="20"/>
                <w:lang w:val="en-US"/>
              </w:rPr>
              <w:t xml:space="preserve">Drug / </w:t>
            </w:r>
            <w:r w:rsidRPr="006F4129">
              <w:rPr>
                <w:rFonts w:ascii="Arial" w:eastAsia="Times New Roman" w:hAnsi="Arial" w:cs="Arial"/>
                <w:sz w:val="20"/>
                <w:szCs w:val="20"/>
                <w:lang w:val="en-US"/>
              </w:rPr>
              <w:t>Formulary Management Group</w:t>
            </w:r>
          </w:p>
        </w:tc>
        <w:tc>
          <w:tcPr>
            <w:tcW w:w="8080" w:type="dxa"/>
            <w:shd w:val="clear" w:color="auto" w:fill="auto"/>
          </w:tcPr>
          <w:p w14:paraId="655702F4" w14:textId="55AB706A" w:rsidR="00725343" w:rsidRPr="00D763E4" w:rsidRDefault="00755258" w:rsidP="00D763E4">
            <w:pPr>
              <w:autoSpaceDE w:val="0"/>
              <w:autoSpaceDN w:val="0"/>
              <w:spacing w:after="0" w:line="240" w:lineRule="auto"/>
              <w:rPr>
                <w:rFonts w:ascii="Arial" w:eastAsia="Times New Roman" w:hAnsi="Arial" w:cs="Arial"/>
                <w:sz w:val="20"/>
                <w:szCs w:val="20"/>
                <w:lang w:val="en-US"/>
              </w:rPr>
            </w:pPr>
            <w:r>
              <w:rPr>
                <w:rFonts w:ascii="Arial" w:eastAsia="Times New Roman" w:hAnsi="Arial" w:cs="Arial"/>
                <w:color w:val="000000" w:themeColor="text1"/>
                <w:sz w:val="20"/>
                <w:szCs w:val="20"/>
                <w:lang w:val="en-US"/>
              </w:rPr>
              <w:t>To be noted at East and</w:t>
            </w:r>
            <w:r w:rsidR="00D763E4" w:rsidRPr="00D763E4">
              <w:rPr>
                <w:rFonts w:ascii="Arial" w:eastAsia="Times New Roman" w:hAnsi="Arial" w:cs="Arial"/>
                <w:color w:val="000000" w:themeColor="text1"/>
                <w:sz w:val="20"/>
                <w:szCs w:val="20"/>
                <w:lang w:val="en-US"/>
              </w:rPr>
              <w:t xml:space="preserve"> North Hertfordshire NHS Trust Therapeutics Policy Committee </w:t>
            </w:r>
          </w:p>
        </w:tc>
      </w:tr>
      <w:tr w:rsidR="00725343" w:rsidRPr="006F4129" w14:paraId="0870FA9D" w14:textId="77777777" w:rsidTr="00755258">
        <w:tc>
          <w:tcPr>
            <w:tcW w:w="2694" w:type="dxa"/>
            <w:shd w:val="clear" w:color="auto" w:fill="auto"/>
          </w:tcPr>
          <w:p w14:paraId="1DA1F3F8" w14:textId="25FB9AFE" w:rsidR="00725343" w:rsidRPr="006F4129" w:rsidRDefault="007E78CD" w:rsidP="0015736E">
            <w:pPr>
              <w:autoSpaceDE w:val="0"/>
              <w:autoSpaceDN w:val="0"/>
              <w:spacing w:after="0" w:line="240" w:lineRule="auto"/>
              <w:rPr>
                <w:rFonts w:ascii="Arial" w:eastAsia="Times New Roman" w:hAnsi="Arial" w:cs="Arial"/>
                <w:sz w:val="20"/>
                <w:szCs w:val="20"/>
                <w:lang w:val="en-US"/>
              </w:rPr>
            </w:pPr>
            <w:r w:rsidRPr="007E78CD">
              <w:rPr>
                <w:rFonts w:ascii="Arial" w:eastAsia="Times New Roman" w:hAnsi="Arial" w:cs="Arial"/>
                <w:sz w:val="20"/>
                <w:szCs w:val="20"/>
                <w:lang w:val="en-US"/>
              </w:rPr>
              <w:t>Hertfordshire and West Essex area prescribing committee</w:t>
            </w:r>
          </w:p>
        </w:tc>
        <w:tc>
          <w:tcPr>
            <w:tcW w:w="8080" w:type="dxa"/>
            <w:shd w:val="clear" w:color="auto" w:fill="auto"/>
          </w:tcPr>
          <w:p w14:paraId="69193E1E" w14:textId="2D047B09" w:rsidR="00725343" w:rsidRPr="006F4129" w:rsidRDefault="0060123B" w:rsidP="0015736E">
            <w:pPr>
              <w:autoSpaceDE w:val="0"/>
              <w:autoSpaceDN w:val="0"/>
              <w:spacing w:after="0" w:line="240" w:lineRule="auto"/>
              <w:rPr>
                <w:rFonts w:ascii="Arial" w:eastAsia="Times New Roman" w:hAnsi="Arial" w:cs="Arial"/>
                <w:sz w:val="20"/>
                <w:szCs w:val="20"/>
                <w:lang w:val="en-US"/>
              </w:rPr>
            </w:pPr>
            <w:r w:rsidRPr="007E78CD">
              <w:rPr>
                <w:rFonts w:ascii="Arial" w:eastAsia="Times New Roman" w:hAnsi="Arial" w:cs="Arial"/>
                <w:sz w:val="20"/>
                <w:szCs w:val="20"/>
                <w:lang w:val="en-US"/>
              </w:rPr>
              <w:t>November 2023</w:t>
            </w:r>
          </w:p>
        </w:tc>
      </w:tr>
      <w:tr w:rsidR="00725343" w:rsidRPr="006F4129" w14:paraId="6B10C8CB" w14:textId="77777777" w:rsidTr="00755258">
        <w:tc>
          <w:tcPr>
            <w:tcW w:w="2694" w:type="dxa"/>
            <w:shd w:val="clear" w:color="auto" w:fill="auto"/>
          </w:tcPr>
          <w:p w14:paraId="714B1A38"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Author/s</w:t>
            </w:r>
          </w:p>
        </w:tc>
        <w:tc>
          <w:tcPr>
            <w:tcW w:w="8080" w:type="dxa"/>
            <w:shd w:val="clear" w:color="auto" w:fill="auto"/>
          </w:tcPr>
          <w:p w14:paraId="6939D798" w14:textId="71E1177C" w:rsidR="00725343" w:rsidRPr="003559D9" w:rsidRDefault="003559D9" w:rsidP="003559D9">
            <w:pPr>
              <w:autoSpaceDE w:val="0"/>
              <w:autoSpaceDN w:val="0"/>
              <w:spacing w:after="0" w:line="240" w:lineRule="auto"/>
              <w:rPr>
                <w:rFonts w:ascii="Arial" w:eastAsia="Times New Roman" w:hAnsi="Arial" w:cs="Arial"/>
                <w:sz w:val="20"/>
                <w:szCs w:val="20"/>
                <w:lang w:val="en-US"/>
              </w:rPr>
            </w:pPr>
            <w:r w:rsidRPr="00814A87">
              <w:rPr>
                <w:rFonts w:ascii="Arial" w:eastAsia="Times New Roman" w:hAnsi="Arial" w:cs="Arial"/>
                <w:sz w:val="20"/>
                <w:szCs w:val="20"/>
                <w:lang w:val="en-US"/>
              </w:rPr>
              <w:t xml:space="preserve">East and North Hertfordshire NHS Trust Pharmacy department and relevant specialisms supported by </w:t>
            </w:r>
            <w:r w:rsidR="0060123B" w:rsidRPr="00814A87">
              <w:rPr>
                <w:rFonts w:ascii="Arial" w:eastAsia="Times New Roman" w:hAnsi="Arial" w:cs="Arial"/>
                <w:sz w:val="20"/>
                <w:szCs w:val="20"/>
                <w:lang w:val="en-US"/>
              </w:rPr>
              <w:t>H</w:t>
            </w:r>
            <w:r w:rsidR="0060123B">
              <w:rPr>
                <w:rFonts w:ascii="Arial" w:eastAsia="Times New Roman" w:hAnsi="Arial" w:cs="Arial"/>
                <w:sz w:val="20"/>
                <w:szCs w:val="20"/>
                <w:lang w:val="en-US"/>
              </w:rPr>
              <w:t>WE</w:t>
            </w:r>
            <w:r w:rsidR="0060123B" w:rsidRPr="00814A87">
              <w:rPr>
                <w:rFonts w:ascii="Arial" w:eastAsia="Times New Roman" w:hAnsi="Arial" w:cs="Arial"/>
                <w:sz w:val="20"/>
                <w:szCs w:val="20"/>
                <w:lang w:val="en-US"/>
              </w:rPr>
              <w:t xml:space="preserve"> </w:t>
            </w:r>
            <w:r w:rsidR="0060123B">
              <w:rPr>
                <w:rFonts w:ascii="Arial" w:eastAsia="Times New Roman" w:hAnsi="Arial" w:cs="Arial"/>
                <w:sz w:val="20"/>
                <w:szCs w:val="20"/>
                <w:lang w:val="en-US"/>
              </w:rPr>
              <w:t>ICB</w:t>
            </w:r>
            <w:r w:rsidR="0060123B" w:rsidRPr="00814A87">
              <w:rPr>
                <w:rFonts w:ascii="Arial" w:eastAsia="Times New Roman" w:hAnsi="Arial" w:cs="Arial"/>
                <w:sz w:val="20"/>
                <w:szCs w:val="20"/>
                <w:lang w:val="en-US"/>
              </w:rPr>
              <w:t xml:space="preserve"> </w:t>
            </w:r>
            <w:r w:rsidRPr="00814A87">
              <w:rPr>
                <w:rFonts w:ascii="Arial" w:eastAsia="Times New Roman" w:hAnsi="Arial" w:cs="Arial"/>
                <w:sz w:val="20"/>
                <w:szCs w:val="20"/>
                <w:lang w:val="en-US"/>
              </w:rPr>
              <w:t>Pharmacy and Medicines Optimisation Teams</w:t>
            </w:r>
            <w:r w:rsidRPr="00814A87" w:rsidDel="003559D9">
              <w:rPr>
                <w:rFonts w:ascii="Arial" w:eastAsia="Times New Roman" w:hAnsi="Arial" w:cs="Arial"/>
                <w:sz w:val="20"/>
                <w:szCs w:val="20"/>
                <w:lang w:val="en-US"/>
              </w:rPr>
              <w:t xml:space="preserve"> </w:t>
            </w:r>
          </w:p>
        </w:tc>
      </w:tr>
      <w:tr w:rsidR="00725343" w:rsidRPr="006F4129" w14:paraId="6576E270" w14:textId="77777777" w:rsidTr="00755258">
        <w:tc>
          <w:tcPr>
            <w:tcW w:w="2694" w:type="dxa"/>
            <w:shd w:val="clear" w:color="auto" w:fill="auto"/>
          </w:tcPr>
          <w:p w14:paraId="7DF40722"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Department(s) responsible for updating the guideline</w:t>
            </w:r>
          </w:p>
        </w:tc>
        <w:tc>
          <w:tcPr>
            <w:tcW w:w="8080" w:type="dxa"/>
            <w:shd w:val="clear" w:color="auto" w:fill="auto"/>
          </w:tcPr>
          <w:p w14:paraId="15C29911" w14:textId="74FD2D59" w:rsidR="00725343" w:rsidRPr="003559D9" w:rsidRDefault="003559D9" w:rsidP="0015736E">
            <w:pPr>
              <w:autoSpaceDE w:val="0"/>
              <w:autoSpaceDN w:val="0"/>
              <w:spacing w:after="0" w:line="240" w:lineRule="auto"/>
              <w:rPr>
                <w:rFonts w:ascii="Arial" w:eastAsia="Times New Roman" w:hAnsi="Arial" w:cs="Arial"/>
                <w:sz w:val="20"/>
                <w:szCs w:val="20"/>
                <w:lang w:val="en-US"/>
              </w:rPr>
            </w:pPr>
            <w:r w:rsidRPr="00814A87">
              <w:rPr>
                <w:rFonts w:ascii="Arial" w:eastAsia="Times New Roman" w:hAnsi="Arial" w:cs="Arial"/>
                <w:sz w:val="20"/>
                <w:szCs w:val="20"/>
                <w:lang w:val="en-US"/>
              </w:rPr>
              <w:t xml:space="preserve">East and North Hertfordshire NHS Trust Pharmacy department and relevant specialisms supported by </w:t>
            </w:r>
            <w:r w:rsidR="0060123B" w:rsidRPr="00814A87">
              <w:rPr>
                <w:rFonts w:ascii="Arial" w:eastAsia="Times New Roman" w:hAnsi="Arial" w:cs="Arial"/>
                <w:sz w:val="20"/>
                <w:szCs w:val="20"/>
                <w:lang w:val="en-US"/>
              </w:rPr>
              <w:t>H</w:t>
            </w:r>
            <w:r w:rsidR="0060123B">
              <w:rPr>
                <w:rFonts w:ascii="Arial" w:eastAsia="Times New Roman" w:hAnsi="Arial" w:cs="Arial"/>
                <w:sz w:val="20"/>
                <w:szCs w:val="20"/>
                <w:lang w:val="en-US"/>
              </w:rPr>
              <w:t>WE</w:t>
            </w:r>
            <w:r w:rsidR="0060123B" w:rsidRPr="00814A87">
              <w:rPr>
                <w:rFonts w:ascii="Arial" w:eastAsia="Times New Roman" w:hAnsi="Arial" w:cs="Arial"/>
                <w:sz w:val="20"/>
                <w:szCs w:val="20"/>
                <w:lang w:val="en-US"/>
              </w:rPr>
              <w:t xml:space="preserve"> </w:t>
            </w:r>
            <w:r w:rsidR="0060123B">
              <w:rPr>
                <w:rFonts w:ascii="Arial" w:eastAsia="Times New Roman" w:hAnsi="Arial" w:cs="Arial"/>
                <w:sz w:val="20"/>
                <w:szCs w:val="20"/>
                <w:lang w:val="en-US"/>
              </w:rPr>
              <w:t>ICB</w:t>
            </w:r>
            <w:r w:rsidR="0060123B" w:rsidRPr="00814A87">
              <w:rPr>
                <w:rFonts w:ascii="Arial" w:eastAsia="Times New Roman" w:hAnsi="Arial" w:cs="Arial"/>
                <w:sz w:val="20"/>
                <w:szCs w:val="20"/>
                <w:lang w:val="en-US"/>
              </w:rPr>
              <w:t xml:space="preserve"> </w:t>
            </w:r>
            <w:r w:rsidRPr="00814A87">
              <w:rPr>
                <w:rFonts w:ascii="Arial" w:eastAsia="Times New Roman" w:hAnsi="Arial" w:cs="Arial"/>
                <w:sz w:val="20"/>
                <w:szCs w:val="20"/>
                <w:lang w:val="en-US"/>
              </w:rPr>
              <w:t>Pharmacy and Medicines Optimisation Teams</w:t>
            </w:r>
          </w:p>
        </w:tc>
      </w:tr>
    </w:tbl>
    <w:p w14:paraId="1CD9C48C" w14:textId="77777777" w:rsidR="00725343" w:rsidRPr="00C74787"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sectPr w:rsidR="00725343" w:rsidRPr="00C74787" w:rsidSect="00EA0CBA">
      <w:headerReference w:type="default" r:id="rId27"/>
      <w:footerReference w:type="default" r:id="rId28"/>
      <w:headerReference w:type="first" r:id="rId29"/>
      <w:footerReference w:type="first" r:id="rId30"/>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910ED" w14:textId="77777777" w:rsidR="000B1C38" w:rsidRDefault="000B1C38" w:rsidP="006F4129">
      <w:pPr>
        <w:spacing w:after="0" w:line="240" w:lineRule="auto"/>
      </w:pPr>
      <w:r>
        <w:separator/>
      </w:r>
    </w:p>
  </w:endnote>
  <w:endnote w:type="continuationSeparator" w:id="0">
    <w:p w14:paraId="20450C06" w14:textId="77777777" w:rsidR="000B1C38" w:rsidRDefault="000B1C38"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6D2329A4" w:rsidR="007400F9" w:rsidRPr="001A6B58" w:rsidRDefault="0060123B">
    <w:pPr>
      <w:pStyle w:val="Footer"/>
      <w:rPr>
        <w:rFonts w:ascii="Arial" w:hAnsi="Arial" w:cs="Arial"/>
        <w:sz w:val="18"/>
      </w:rPr>
    </w:pPr>
    <w:r w:rsidRPr="0060123B">
      <w:rPr>
        <w:rFonts w:ascii="Arial" w:eastAsia="Times New Roman" w:hAnsi="Arial" w:cs="Times New Roman"/>
        <w:b/>
        <w:bCs/>
        <w:sz w:val="16"/>
        <w:szCs w:val="28"/>
      </w:rPr>
      <w:t xml:space="preserve">Cinacalcet Shared Care Protocol </w:t>
    </w:r>
    <w:r w:rsidR="00AB1A04">
      <w:rPr>
        <w:rFonts w:ascii="Arial" w:eastAsia="Times New Roman" w:hAnsi="Arial" w:cs="Times New Roman"/>
        <w:b/>
        <w:bCs/>
        <w:sz w:val="16"/>
        <w:szCs w:val="28"/>
      </w:rPr>
      <w:t>May 2025</w:t>
    </w:r>
    <w:r w:rsidRPr="0060123B">
      <w:rPr>
        <w:rFonts w:ascii="Arial" w:eastAsia="Times New Roman" w:hAnsi="Arial" w:cs="Times New Roman"/>
        <w:b/>
        <w:bCs/>
        <w:sz w:val="16"/>
        <w:szCs w:val="28"/>
      </w:rPr>
      <w:t xml:space="preserve"> v2</w:t>
    </w:r>
    <w:r w:rsidR="004E5B0B">
      <w:rPr>
        <w:rFonts w:ascii="Arial" w:eastAsia="Times New Roman" w:hAnsi="Arial" w:cs="Times New Roman"/>
        <w:b/>
        <w:bCs/>
        <w:sz w:val="16"/>
        <w:szCs w:val="28"/>
      </w:rPr>
      <w:t>.</w:t>
    </w:r>
    <w:r w:rsidR="00AB1A04">
      <w:rPr>
        <w:rFonts w:ascii="Arial" w:eastAsia="Times New Roman" w:hAnsi="Arial" w:cs="Times New Roman"/>
        <w:b/>
        <w:bCs/>
        <w:sz w:val="16"/>
        <w:szCs w:val="28"/>
      </w:rPr>
      <w:t>2</w:t>
    </w:r>
    <w:r w:rsidR="007400F9" w:rsidRPr="001A6B58">
      <w:rPr>
        <w:rFonts w:ascii="Arial" w:hAnsi="Arial" w:cs="Arial"/>
        <w:sz w:val="16"/>
      </w:rPr>
      <w:tab/>
    </w:r>
    <w:r w:rsidR="007400F9" w:rsidRPr="001A6B58">
      <w:rPr>
        <w:rStyle w:val="PageNumber"/>
        <w:rFonts w:ascii="Arial" w:hAnsi="Arial" w:cs="Arial"/>
        <w:sz w:val="16"/>
      </w:rPr>
      <w:fldChar w:fldCharType="begin"/>
    </w:r>
    <w:r w:rsidR="007400F9" w:rsidRPr="001A6B58">
      <w:rPr>
        <w:rStyle w:val="PageNumber"/>
        <w:rFonts w:ascii="Arial" w:hAnsi="Arial" w:cs="Arial"/>
        <w:sz w:val="16"/>
      </w:rPr>
      <w:instrText xml:space="preserve"> PAGE </w:instrText>
    </w:r>
    <w:r w:rsidR="007400F9" w:rsidRPr="001A6B58">
      <w:rPr>
        <w:rStyle w:val="PageNumber"/>
        <w:rFonts w:ascii="Arial" w:hAnsi="Arial" w:cs="Arial"/>
        <w:sz w:val="16"/>
      </w:rPr>
      <w:fldChar w:fldCharType="separate"/>
    </w:r>
    <w:r w:rsidR="000B3EAE">
      <w:rPr>
        <w:rStyle w:val="PageNumber"/>
        <w:rFonts w:ascii="Arial" w:hAnsi="Arial" w:cs="Arial"/>
        <w:noProof/>
        <w:sz w:val="16"/>
      </w:rPr>
      <w:t>2</w:t>
    </w:r>
    <w:r w:rsidR="007400F9" w:rsidRPr="001A6B58">
      <w:rPr>
        <w:rStyle w:val="PageNumber"/>
        <w:rFonts w:ascii="Arial" w:hAnsi="Arial" w:cs="Arial"/>
        <w:sz w:val="16"/>
      </w:rPr>
      <w:fldChar w:fldCharType="end"/>
    </w:r>
    <w:r w:rsidR="007400F9" w:rsidRPr="001A6B58">
      <w:rPr>
        <w:rStyle w:val="PageNumber"/>
        <w:rFonts w:ascii="Arial" w:hAnsi="Arial" w:cs="Arial"/>
        <w:sz w:val="16"/>
      </w:rPr>
      <w:t xml:space="preserve"> of </w:t>
    </w:r>
    <w:r w:rsidR="007400F9" w:rsidRPr="001A6B58">
      <w:rPr>
        <w:rStyle w:val="PageNumber"/>
        <w:rFonts w:ascii="Arial" w:hAnsi="Arial" w:cs="Arial"/>
        <w:sz w:val="16"/>
        <w:szCs w:val="20"/>
      </w:rPr>
      <w:fldChar w:fldCharType="begin"/>
    </w:r>
    <w:r w:rsidR="007400F9" w:rsidRPr="001A6B58">
      <w:rPr>
        <w:rStyle w:val="PageNumber"/>
        <w:rFonts w:ascii="Arial" w:hAnsi="Arial" w:cs="Arial"/>
        <w:sz w:val="16"/>
        <w:szCs w:val="20"/>
      </w:rPr>
      <w:instrText xml:space="preserve"> NUMPAGES </w:instrText>
    </w:r>
    <w:r w:rsidR="007400F9" w:rsidRPr="001A6B58">
      <w:rPr>
        <w:rStyle w:val="PageNumber"/>
        <w:rFonts w:ascii="Arial" w:hAnsi="Arial" w:cs="Arial"/>
        <w:sz w:val="16"/>
        <w:szCs w:val="20"/>
      </w:rPr>
      <w:fldChar w:fldCharType="separate"/>
    </w:r>
    <w:r w:rsidR="000B3EAE">
      <w:rPr>
        <w:rStyle w:val="PageNumber"/>
        <w:rFonts w:ascii="Arial" w:hAnsi="Arial" w:cs="Arial"/>
        <w:noProof/>
        <w:sz w:val="16"/>
        <w:szCs w:val="20"/>
      </w:rPr>
      <w:t>8</w:t>
    </w:r>
    <w:r w:rsidR="007400F9" w:rsidRPr="001A6B58">
      <w:rPr>
        <w:rStyle w:val="PageNumber"/>
        <w:rFonts w:ascii="Arial" w:hAnsi="Arial" w:cs="Arial"/>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21D55DB4" w:rsidR="007400F9" w:rsidRDefault="007400F9" w:rsidP="00B11AF0">
    <w:pPr>
      <w:pStyle w:val="Footer"/>
      <w:pBdr>
        <w:top w:val="single" w:sz="4" w:space="1" w:color="auto"/>
      </w:pBdr>
      <w:tabs>
        <w:tab w:val="center" w:pos="4678"/>
        <w:tab w:val="right" w:pos="9639"/>
      </w:tabs>
      <w:rPr>
        <w:sz w:val="20"/>
      </w:rPr>
    </w:pPr>
    <w:r>
      <w:rPr>
        <w:rFonts w:ascii="Arial" w:eastAsia="Times New Roman" w:hAnsi="Arial" w:cs="Times New Roman"/>
        <w:b/>
        <w:bCs/>
        <w:sz w:val="16"/>
        <w:szCs w:val="28"/>
      </w:rPr>
      <w:t>Cinacalcet</w:t>
    </w:r>
    <w:r w:rsidRPr="00AC724B">
      <w:rPr>
        <w:rFonts w:ascii="Arial" w:eastAsia="Times New Roman" w:hAnsi="Arial" w:cs="Times New Roman"/>
        <w:b/>
        <w:bCs/>
        <w:sz w:val="16"/>
        <w:szCs w:val="28"/>
      </w:rPr>
      <w:t xml:space="preserve"> Share</w:t>
    </w:r>
    <w:r w:rsidR="009938D1">
      <w:rPr>
        <w:rFonts w:ascii="Arial" w:eastAsia="Times New Roman" w:hAnsi="Arial" w:cs="Times New Roman"/>
        <w:b/>
        <w:bCs/>
        <w:sz w:val="16"/>
        <w:szCs w:val="28"/>
      </w:rPr>
      <w:t xml:space="preserve">d Care Protocol </w:t>
    </w:r>
    <w:r w:rsidR="00AB1A04">
      <w:rPr>
        <w:rFonts w:ascii="Arial" w:eastAsia="Times New Roman" w:hAnsi="Arial" w:cs="Times New Roman"/>
        <w:b/>
        <w:bCs/>
        <w:sz w:val="16"/>
        <w:szCs w:val="28"/>
      </w:rPr>
      <w:t>May 2025</w:t>
    </w:r>
    <w:r w:rsidR="009938D1">
      <w:rPr>
        <w:rFonts w:ascii="Arial" w:eastAsia="Times New Roman" w:hAnsi="Arial" w:cs="Times New Roman"/>
        <w:b/>
        <w:bCs/>
        <w:sz w:val="16"/>
        <w:szCs w:val="28"/>
      </w:rPr>
      <w:t xml:space="preserve"> v2</w:t>
    </w:r>
    <w:r w:rsidR="004E5B0B">
      <w:rPr>
        <w:rFonts w:ascii="Arial" w:eastAsia="Times New Roman" w:hAnsi="Arial" w:cs="Times New Roman"/>
        <w:b/>
        <w:bCs/>
        <w:sz w:val="16"/>
        <w:szCs w:val="28"/>
      </w:rPr>
      <w:t>.</w:t>
    </w:r>
    <w:r w:rsidR="00AB1A04">
      <w:rPr>
        <w:rFonts w:ascii="Arial" w:eastAsia="Times New Roman" w:hAnsi="Arial" w:cs="Times New Roman"/>
        <w:b/>
        <w:bCs/>
        <w:sz w:val="16"/>
        <w:szCs w:val="28"/>
      </w:rPr>
      <w:t>2</w:t>
    </w:r>
    <w:r>
      <w:rPr>
        <w:rFonts w:cs="Arial"/>
        <w:sz w:val="20"/>
      </w:rPr>
      <w:tab/>
    </w:r>
    <w:r w:rsidRPr="001A6B58">
      <w:rPr>
        <w:rStyle w:val="PageNumber"/>
        <w:rFonts w:ascii="Arial" w:hAnsi="Arial" w:cs="Arial"/>
        <w:sz w:val="16"/>
        <w:szCs w:val="16"/>
      </w:rPr>
      <w:fldChar w:fldCharType="begin"/>
    </w:r>
    <w:r w:rsidRPr="001A6B58">
      <w:rPr>
        <w:rStyle w:val="PageNumber"/>
        <w:rFonts w:ascii="Arial" w:hAnsi="Arial" w:cs="Arial"/>
        <w:sz w:val="16"/>
        <w:szCs w:val="16"/>
      </w:rPr>
      <w:instrText xml:space="preserve"> PAGE </w:instrText>
    </w:r>
    <w:r w:rsidRPr="001A6B58">
      <w:rPr>
        <w:rStyle w:val="PageNumber"/>
        <w:rFonts w:ascii="Arial" w:hAnsi="Arial" w:cs="Arial"/>
        <w:sz w:val="16"/>
        <w:szCs w:val="16"/>
      </w:rPr>
      <w:fldChar w:fldCharType="separate"/>
    </w:r>
    <w:r w:rsidR="000B3EAE">
      <w:rPr>
        <w:rStyle w:val="PageNumber"/>
        <w:rFonts w:ascii="Arial" w:hAnsi="Arial" w:cs="Arial"/>
        <w:noProof/>
        <w:sz w:val="16"/>
        <w:szCs w:val="16"/>
      </w:rPr>
      <w:t>1</w:t>
    </w:r>
    <w:r w:rsidRPr="001A6B58">
      <w:rPr>
        <w:rStyle w:val="PageNumber"/>
        <w:rFonts w:ascii="Arial" w:hAnsi="Arial" w:cs="Arial"/>
        <w:sz w:val="16"/>
        <w:szCs w:val="16"/>
      </w:rPr>
      <w:fldChar w:fldCharType="end"/>
    </w:r>
    <w:r w:rsidRPr="001A6B58">
      <w:rPr>
        <w:rStyle w:val="PageNumber"/>
        <w:rFonts w:ascii="Arial" w:hAnsi="Arial" w:cs="Arial"/>
        <w:sz w:val="16"/>
        <w:szCs w:val="16"/>
      </w:rPr>
      <w:t xml:space="preserve"> of </w:t>
    </w:r>
    <w:r w:rsidRPr="001A6B58">
      <w:rPr>
        <w:rStyle w:val="PageNumber"/>
        <w:rFonts w:ascii="Arial" w:hAnsi="Arial" w:cs="Arial"/>
        <w:sz w:val="16"/>
        <w:szCs w:val="16"/>
      </w:rPr>
      <w:fldChar w:fldCharType="begin"/>
    </w:r>
    <w:r w:rsidRPr="001A6B58">
      <w:rPr>
        <w:rStyle w:val="PageNumber"/>
        <w:rFonts w:ascii="Arial" w:hAnsi="Arial" w:cs="Arial"/>
        <w:sz w:val="16"/>
        <w:szCs w:val="16"/>
      </w:rPr>
      <w:instrText xml:space="preserve"> NUMPAGES </w:instrText>
    </w:r>
    <w:r w:rsidRPr="001A6B58">
      <w:rPr>
        <w:rStyle w:val="PageNumber"/>
        <w:rFonts w:ascii="Arial" w:hAnsi="Arial" w:cs="Arial"/>
        <w:sz w:val="16"/>
        <w:szCs w:val="16"/>
      </w:rPr>
      <w:fldChar w:fldCharType="separate"/>
    </w:r>
    <w:r w:rsidR="000B3EAE">
      <w:rPr>
        <w:rStyle w:val="PageNumber"/>
        <w:rFonts w:ascii="Arial" w:hAnsi="Arial" w:cs="Arial"/>
        <w:noProof/>
        <w:sz w:val="16"/>
        <w:szCs w:val="16"/>
      </w:rPr>
      <w:t>8</w:t>
    </w:r>
    <w:r w:rsidRPr="001A6B58">
      <w:rPr>
        <w:rStyle w:val="PageNumber"/>
        <w:rFonts w:ascii="Arial" w:hAnsi="Arial" w:cs="Arial"/>
        <w:sz w:val="16"/>
        <w:szCs w:val="16"/>
      </w:rPr>
      <w:fldChar w:fldCharType="end"/>
    </w:r>
    <w:r>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1D3E" w14:textId="77777777" w:rsidR="000B1C38" w:rsidRDefault="000B1C38" w:rsidP="006F4129">
      <w:pPr>
        <w:spacing w:after="0" w:line="240" w:lineRule="auto"/>
      </w:pPr>
      <w:r>
        <w:separator/>
      </w:r>
    </w:p>
  </w:footnote>
  <w:footnote w:type="continuationSeparator" w:id="0">
    <w:p w14:paraId="4DD0E82A" w14:textId="77777777" w:rsidR="000B1C38" w:rsidRDefault="000B1C38"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7400F9" w:rsidRPr="00004CD4" w:rsidRDefault="007400F9"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7541" w14:textId="25A3FABE" w:rsidR="00F20CE5" w:rsidRDefault="00F20CE5" w:rsidP="00092B6C">
    <w:pPr>
      <w:tabs>
        <w:tab w:val="right" w:pos="10915"/>
      </w:tabs>
      <w:ind w:left="2856" w:right="-399"/>
      <w:rPr>
        <w:noProof/>
        <w:color w:val="FF0000"/>
        <w:lang w:eastAsia="en-GB"/>
      </w:rPr>
    </w:pPr>
    <w:r w:rsidRPr="00E70161">
      <w:rPr>
        <w:noProof/>
      </w:rPr>
      <w:drawing>
        <wp:anchor distT="0" distB="0" distL="114300" distR="114300" simplePos="0" relativeHeight="251660288" behindDoc="1" locked="0" layoutInCell="1" allowOverlap="1" wp14:anchorId="23442FD5" wp14:editId="09EBC38B">
          <wp:simplePos x="0" y="0"/>
          <wp:positionH relativeFrom="margin">
            <wp:posOffset>6318885</wp:posOffset>
          </wp:positionH>
          <wp:positionV relativeFrom="paragraph">
            <wp:posOffset>-94207</wp:posOffset>
          </wp:positionV>
          <wp:extent cx="675001" cy="436880"/>
          <wp:effectExtent l="0" t="0" r="0" b="1270"/>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75001" cy="436880"/>
                  </a:xfrm>
                  <a:prstGeom prst="rect">
                    <a:avLst/>
                  </a:prstGeom>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34B951B6" wp14:editId="44807F05">
          <wp:simplePos x="0" y="0"/>
          <wp:positionH relativeFrom="margin">
            <wp:posOffset>-161925</wp:posOffset>
          </wp:positionH>
          <wp:positionV relativeFrom="paragraph">
            <wp:posOffset>-26670</wp:posOffset>
          </wp:positionV>
          <wp:extent cx="360680" cy="365930"/>
          <wp:effectExtent l="0" t="0" r="1270" b="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60680" cy="365930"/>
                  </a:xfrm>
                  <a:prstGeom prst="rect">
                    <a:avLst/>
                  </a:prstGeom>
                </pic:spPr>
              </pic:pic>
            </a:graphicData>
          </a:graphic>
          <wp14:sizeRelH relativeFrom="page">
            <wp14:pctWidth>0</wp14:pctWidth>
          </wp14:sizeRelH>
          <wp14:sizeRelV relativeFrom="page">
            <wp14:pctHeight>0</wp14:pctHeight>
          </wp14:sizeRelV>
        </wp:anchor>
      </w:drawing>
    </w:r>
    <w:r>
      <w:rPr>
        <w:noProof/>
        <w:color w:val="FF0000"/>
        <w:lang w:eastAsia="en-GB"/>
      </w:rPr>
      <w:t xml:space="preserve">            </w:t>
    </w:r>
    <w:r>
      <w:rPr>
        <w:noProof/>
        <w:color w:val="FF0000"/>
        <w:lang w:eastAsia="en-GB"/>
      </w:rPr>
      <w:tab/>
    </w:r>
  </w:p>
  <w:p w14:paraId="2366324A" w14:textId="1B3FF706" w:rsidR="007400F9" w:rsidRPr="00AC724B" w:rsidRDefault="007400F9" w:rsidP="000833DA">
    <w:pPr>
      <w:tabs>
        <w:tab w:val="left" w:pos="1170"/>
        <w:tab w:val="right" w:pos="8313"/>
      </w:tabs>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636E"/>
    <w:multiLevelType w:val="hybridMultilevel"/>
    <w:tmpl w:val="178E0D74"/>
    <w:lvl w:ilvl="0" w:tplc="2ADC8B28">
      <w:start w:val="4"/>
      <w:numFmt w:val="bullet"/>
      <w:lvlText w:val="-"/>
      <w:lvlJc w:val="left"/>
      <w:pPr>
        <w:ind w:left="1515" w:hanging="360"/>
      </w:pPr>
      <w:rPr>
        <w:rFonts w:ascii="Arial" w:eastAsiaTheme="minorHAnsi" w:hAnsi="Arial" w:cs="Aria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4" w15:restartNumberingAfterBreak="0">
    <w:nsid w:val="38677D65"/>
    <w:multiLevelType w:val="hybridMultilevel"/>
    <w:tmpl w:val="41364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2E1368"/>
    <w:multiLevelType w:val="hybridMultilevel"/>
    <w:tmpl w:val="1660E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8509090">
    <w:abstractNumId w:val="3"/>
  </w:num>
  <w:num w:numId="2" w16cid:durableId="780033886">
    <w:abstractNumId w:val="6"/>
  </w:num>
  <w:num w:numId="3" w16cid:durableId="1450472405">
    <w:abstractNumId w:val="9"/>
  </w:num>
  <w:num w:numId="4" w16cid:durableId="1226644413">
    <w:abstractNumId w:val="7"/>
  </w:num>
  <w:num w:numId="5" w16cid:durableId="1831209051">
    <w:abstractNumId w:val="1"/>
  </w:num>
  <w:num w:numId="6" w16cid:durableId="1929774807">
    <w:abstractNumId w:val="10"/>
  </w:num>
  <w:num w:numId="7" w16cid:durableId="589042301">
    <w:abstractNumId w:val="8"/>
  </w:num>
  <w:num w:numId="8" w16cid:durableId="823276634">
    <w:abstractNumId w:val="2"/>
  </w:num>
  <w:num w:numId="9" w16cid:durableId="661274402">
    <w:abstractNumId w:val="4"/>
  </w:num>
  <w:num w:numId="10" w16cid:durableId="1121727136">
    <w:abstractNumId w:val="5"/>
  </w:num>
  <w:num w:numId="11" w16cid:durableId="132601026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YHeAF/+0MhcNEco5FZxwOg+wtNRBXaYzjwyuS/53itIiV5D2Ta/moGmtBshn9zGnSGMj4VzGKus+CBRCUHf1mg==" w:salt="VP/gaB9T3HbXo5mOSNVe+w=="/>
  <w:defaultTabStop w:val="357"/>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20DF8"/>
    <w:rsid w:val="00033131"/>
    <w:rsid w:val="000349CF"/>
    <w:rsid w:val="00040BCE"/>
    <w:rsid w:val="00051449"/>
    <w:rsid w:val="00061E36"/>
    <w:rsid w:val="000678AD"/>
    <w:rsid w:val="00081B1B"/>
    <w:rsid w:val="000830D5"/>
    <w:rsid w:val="000833DA"/>
    <w:rsid w:val="000902EE"/>
    <w:rsid w:val="00090C38"/>
    <w:rsid w:val="00092B6C"/>
    <w:rsid w:val="00092FF7"/>
    <w:rsid w:val="000A3722"/>
    <w:rsid w:val="000A6C27"/>
    <w:rsid w:val="000B1C38"/>
    <w:rsid w:val="000B3EAE"/>
    <w:rsid w:val="000C7F57"/>
    <w:rsid w:val="000D455C"/>
    <w:rsid w:val="000D7991"/>
    <w:rsid w:val="000E1FD2"/>
    <w:rsid w:val="000F0B54"/>
    <w:rsid w:val="0011210C"/>
    <w:rsid w:val="00115FDB"/>
    <w:rsid w:val="00116F6F"/>
    <w:rsid w:val="00121068"/>
    <w:rsid w:val="00122599"/>
    <w:rsid w:val="0013438C"/>
    <w:rsid w:val="0015711A"/>
    <w:rsid w:val="0015736E"/>
    <w:rsid w:val="001A3040"/>
    <w:rsid w:val="001A6B58"/>
    <w:rsid w:val="001B4F65"/>
    <w:rsid w:val="001B6917"/>
    <w:rsid w:val="001B7240"/>
    <w:rsid w:val="001C72F0"/>
    <w:rsid w:val="001D735A"/>
    <w:rsid w:val="001F0E1F"/>
    <w:rsid w:val="002006A3"/>
    <w:rsid w:val="002013DF"/>
    <w:rsid w:val="002026D4"/>
    <w:rsid w:val="00216557"/>
    <w:rsid w:val="002204C7"/>
    <w:rsid w:val="002213A9"/>
    <w:rsid w:val="0026584D"/>
    <w:rsid w:val="00265C56"/>
    <w:rsid w:val="00266A11"/>
    <w:rsid w:val="00270D10"/>
    <w:rsid w:val="00274684"/>
    <w:rsid w:val="002752C8"/>
    <w:rsid w:val="00281A3C"/>
    <w:rsid w:val="002954B6"/>
    <w:rsid w:val="00296462"/>
    <w:rsid w:val="002A009B"/>
    <w:rsid w:val="002B0C19"/>
    <w:rsid w:val="002C6064"/>
    <w:rsid w:val="002C6A92"/>
    <w:rsid w:val="002D2570"/>
    <w:rsid w:val="002D3CB5"/>
    <w:rsid w:val="002E5B12"/>
    <w:rsid w:val="002F0507"/>
    <w:rsid w:val="002F0C6D"/>
    <w:rsid w:val="002F4544"/>
    <w:rsid w:val="003000E1"/>
    <w:rsid w:val="0030088E"/>
    <w:rsid w:val="0030269A"/>
    <w:rsid w:val="00311575"/>
    <w:rsid w:val="00324400"/>
    <w:rsid w:val="003268D2"/>
    <w:rsid w:val="003301DF"/>
    <w:rsid w:val="003447C1"/>
    <w:rsid w:val="003452C5"/>
    <w:rsid w:val="003540B3"/>
    <w:rsid w:val="003559D9"/>
    <w:rsid w:val="003711DA"/>
    <w:rsid w:val="00371F5E"/>
    <w:rsid w:val="00376393"/>
    <w:rsid w:val="003763B3"/>
    <w:rsid w:val="00382843"/>
    <w:rsid w:val="00384379"/>
    <w:rsid w:val="0039285C"/>
    <w:rsid w:val="003B2732"/>
    <w:rsid w:val="003B6537"/>
    <w:rsid w:val="003B7C66"/>
    <w:rsid w:val="003D1B74"/>
    <w:rsid w:val="003D6F3B"/>
    <w:rsid w:val="003F2A47"/>
    <w:rsid w:val="003F3B33"/>
    <w:rsid w:val="004030E8"/>
    <w:rsid w:val="004052E9"/>
    <w:rsid w:val="00406BF2"/>
    <w:rsid w:val="0040762A"/>
    <w:rsid w:val="00420744"/>
    <w:rsid w:val="00442D9B"/>
    <w:rsid w:val="00443300"/>
    <w:rsid w:val="00453CB7"/>
    <w:rsid w:val="00454560"/>
    <w:rsid w:val="004551CF"/>
    <w:rsid w:val="00455A6A"/>
    <w:rsid w:val="004579C4"/>
    <w:rsid w:val="00473A3C"/>
    <w:rsid w:val="00474C2D"/>
    <w:rsid w:val="004865F1"/>
    <w:rsid w:val="00491AE0"/>
    <w:rsid w:val="004A2F9B"/>
    <w:rsid w:val="004B177D"/>
    <w:rsid w:val="004B4CAB"/>
    <w:rsid w:val="004D0CF1"/>
    <w:rsid w:val="004D0D25"/>
    <w:rsid w:val="004D5DB4"/>
    <w:rsid w:val="004E5B0B"/>
    <w:rsid w:val="00500E2E"/>
    <w:rsid w:val="005026B1"/>
    <w:rsid w:val="0052755D"/>
    <w:rsid w:val="00534E1A"/>
    <w:rsid w:val="00541195"/>
    <w:rsid w:val="005430C6"/>
    <w:rsid w:val="005476BB"/>
    <w:rsid w:val="0055083D"/>
    <w:rsid w:val="005578FA"/>
    <w:rsid w:val="00564F68"/>
    <w:rsid w:val="0057501A"/>
    <w:rsid w:val="00586CEE"/>
    <w:rsid w:val="00593B38"/>
    <w:rsid w:val="005A7174"/>
    <w:rsid w:val="005C26BE"/>
    <w:rsid w:val="005C309C"/>
    <w:rsid w:val="005C6D32"/>
    <w:rsid w:val="005C7885"/>
    <w:rsid w:val="005D1B7A"/>
    <w:rsid w:val="005D1CEA"/>
    <w:rsid w:val="005D3C00"/>
    <w:rsid w:val="005D5FCA"/>
    <w:rsid w:val="005E176B"/>
    <w:rsid w:val="005E21BE"/>
    <w:rsid w:val="005F1AD6"/>
    <w:rsid w:val="005F4854"/>
    <w:rsid w:val="0060123B"/>
    <w:rsid w:val="00603355"/>
    <w:rsid w:val="00603489"/>
    <w:rsid w:val="00610905"/>
    <w:rsid w:val="00615509"/>
    <w:rsid w:val="00630C61"/>
    <w:rsid w:val="00631DFD"/>
    <w:rsid w:val="00651CF2"/>
    <w:rsid w:val="00655FB4"/>
    <w:rsid w:val="00662C59"/>
    <w:rsid w:val="00663031"/>
    <w:rsid w:val="00672B57"/>
    <w:rsid w:val="00673DDC"/>
    <w:rsid w:val="00682308"/>
    <w:rsid w:val="00682980"/>
    <w:rsid w:val="006832A6"/>
    <w:rsid w:val="00696C80"/>
    <w:rsid w:val="006A351A"/>
    <w:rsid w:val="006A5E49"/>
    <w:rsid w:val="006A7081"/>
    <w:rsid w:val="006B5EF0"/>
    <w:rsid w:val="006C5A53"/>
    <w:rsid w:val="006D2CF8"/>
    <w:rsid w:val="006E466A"/>
    <w:rsid w:val="006E7F97"/>
    <w:rsid w:val="006F31C8"/>
    <w:rsid w:val="006F4129"/>
    <w:rsid w:val="00707545"/>
    <w:rsid w:val="00710AA9"/>
    <w:rsid w:val="0072284B"/>
    <w:rsid w:val="00723203"/>
    <w:rsid w:val="00725343"/>
    <w:rsid w:val="0073239C"/>
    <w:rsid w:val="007400F9"/>
    <w:rsid w:val="00755258"/>
    <w:rsid w:val="00755AEA"/>
    <w:rsid w:val="007615C2"/>
    <w:rsid w:val="00773102"/>
    <w:rsid w:val="00780FD6"/>
    <w:rsid w:val="007813A5"/>
    <w:rsid w:val="0078393A"/>
    <w:rsid w:val="00785ADF"/>
    <w:rsid w:val="007964E3"/>
    <w:rsid w:val="007B555D"/>
    <w:rsid w:val="007B5CB4"/>
    <w:rsid w:val="007C03B5"/>
    <w:rsid w:val="007C4A23"/>
    <w:rsid w:val="007C7176"/>
    <w:rsid w:val="007E78CD"/>
    <w:rsid w:val="007F48C1"/>
    <w:rsid w:val="00804862"/>
    <w:rsid w:val="0080525D"/>
    <w:rsid w:val="0080613F"/>
    <w:rsid w:val="00806C0D"/>
    <w:rsid w:val="00814A87"/>
    <w:rsid w:val="0081622D"/>
    <w:rsid w:val="00824646"/>
    <w:rsid w:val="00832A16"/>
    <w:rsid w:val="00843717"/>
    <w:rsid w:val="00852110"/>
    <w:rsid w:val="008522DD"/>
    <w:rsid w:val="008551E2"/>
    <w:rsid w:val="00870BC7"/>
    <w:rsid w:val="00877DBD"/>
    <w:rsid w:val="008876D9"/>
    <w:rsid w:val="008A16CE"/>
    <w:rsid w:val="008A62A3"/>
    <w:rsid w:val="008C0C66"/>
    <w:rsid w:val="008C34F3"/>
    <w:rsid w:val="008C60DC"/>
    <w:rsid w:val="008C60E5"/>
    <w:rsid w:val="008D03D1"/>
    <w:rsid w:val="008D1B32"/>
    <w:rsid w:val="008D1EAF"/>
    <w:rsid w:val="008D3443"/>
    <w:rsid w:val="008E51B6"/>
    <w:rsid w:val="008E77E6"/>
    <w:rsid w:val="0091151D"/>
    <w:rsid w:val="00924742"/>
    <w:rsid w:val="00926B59"/>
    <w:rsid w:val="0093695D"/>
    <w:rsid w:val="00941CD1"/>
    <w:rsid w:val="00947492"/>
    <w:rsid w:val="00963558"/>
    <w:rsid w:val="009652D5"/>
    <w:rsid w:val="00972351"/>
    <w:rsid w:val="00981A5B"/>
    <w:rsid w:val="009938D1"/>
    <w:rsid w:val="009A2881"/>
    <w:rsid w:val="009A4B06"/>
    <w:rsid w:val="009A6FA9"/>
    <w:rsid w:val="009C1178"/>
    <w:rsid w:val="009C326B"/>
    <w:rsid w:val="009C539F"/>
    <w:rsid w:val="009D299F"/>
    <w:rsid w:val="009E62DB"/>
    <w:rsid w:val="009F520F"/>
    <w:rsid w:val="00A04208"/>
    <w:rsid w:val="00A0756C"/>
    <w:rsid w:val="00A107A2"/>
    <w:rsid w:val="00A14C22"/>
    <w:rsid w:val="00A203FB"/>
    <w:rsid w:val="00A23128"/>
    <w:rsid w:val="00A25330"/>
    <w:rsid w:val="00A26894"/>
    <w:rsid w:val="00A321E9"/>
    <w:rsid w:val="00A53BF3"/>
    <w:rsid w:val="00A54013"/>
    <w:rsid w:val="00A543B5"/>
    <w:rsid w:val="00A55B62"/>
    <w:rsid w:val="00A656B7"/>
    <w:rsid w:val="00A72497"/>
    <w:rsid w:val="00A75101"/>
    <w:rsid w:val="00A77AB0"/>
    <w:rsid w:val="00A8015D"/>
    <w:rsid w:val="00A82E66"/>
    <w:rsid w:val="00A9295F"/>
    <w:rsid w:val="00A97578"/>
    <w:rsid w:val="00AA442F"/>
    <w:rsid w:val="00AB1A04"/>
    <w:rsid w:val="00AB37F2"/>
    <w:rsid w:val="00AC6C7A"/>
    <w:rsid w:val="00AC724B"/>
    <w:rsid w:val="00AD5982"/>
    <w:rsid w:val="00AD742E"/>
    <w:rsid w:val="00AE599B"/>
    <w:rsid w:val="00AF076D"/>
    <w:rsid w:val="00AF6D3E"/>
    <w:rsid w:val="00B10C94"/>
    <w:rsid w:val="00B11AF0"/>
    <w:rsid w:val="00B1737A"/>
    <w:rsid w:val="00B26581"/>
    <w:rsid w:val="00B30881"/>
    <w:rsid w:val="00B419CB"/>
    <w:rsid w:val="00B469E5"/>
    <w:rsid w:val="00B51190"/>
    <w:rsid w:val="00B52682"/>
    <w:rsid w:val="00B62EE0"/>
    <w:rsid w:val="00B76274"/>
    <w:rsid w:val="00B7750C"/>
    <w:rsid w:val="00B8672B"/>
    <w:rsid w:val="00B87F6B"/>
    <w:rsid w:val="00B91E12"/>
    <w:rsid w:val="00B920C0"/>
    <w:rsid w:val="00B94E30"/>
    <w:rsid w:val="00BA0C53"/>
    <w:rsid w:val="00BA3B1F"/>
    <w:rsid w:val="00BA50FE"/>
    <w:rsid w:val="00BA7759"/>
    <w:rsid w:val="00BB233D"/>
    <w:rsid w:val="00BC0016"/>
    <w:rsid w:val="00BE545B"/>
    <w:rsid w:val="00BE6D65"/>
    <w:rsid w:val="00BE7632"/>
    <w:rsid w:val="00BF055C"/>
    <w:rsid w:val="00BF0916"/>
    <w:rsid w:val="00BF5868"/>
    <w:rsid w:val="00C024F4"/>
    <w:rsid w:val="00C026A3"/>
    <w:rsid w:val="00C07AEA"/>
    <w:rsid w:val="00C10F60"/>
    <w:rsid w:val="00C126A4"/>
    <w:rsid w:val="00C17474"/>
    <w:rsid w:val="00C2364E"/>
    <w:rsid w:val="00C26C60"/>
    <w:rsid w:val="00C26E21"/>
    <w:rsid w:val="00C27AA3"/>
    <w:rsid w:val="00C364EF"/>
    <w:rsid w:val="00C3676D"/>
    <w:rsid w:val="00C37C6F"/>
    <w:rsid w:val="00C43895"/>
    <w:rsid w:val="00C463EE"/>
    <w:rsid w:val="00C5145D"/>
    <w:rsid w:val="00C5458F"/>
    <w:rsid w:val="00C54D33"/>
    <w:rsid w:val="00C63E57"/>
    <w:rsid w:val="00C74787"/>
    <w:rsid w:val="00C83EBD"/>
    <w:rsid w:val="00CA1BB1"/>
    <w:rsid w:val="00CB0FCF"/>
    <w:rsid w:val="00CB147C"/>
    <w:rsid w:val="00CC01A3"/>
    <w:rsid w:val="00CC0AC9"/>
    <w:rsid w:val="00CC2A7B"/>
    <w:rsid w:val="00CD1399"/>
    <w:rsid w:val="00CD3BF1"/>
    <w:rsid w:val="00CE407B"/>
    <w:rsid w:val="00CF0020"/>
    <w:rsid w:val="00CF4706"/>
    <w:rsid w:val="00CF7CCC"/>
    <w:rsid w:val="00D029A0"/>
    <w:rsid w:val="00D0588E"/>
    <w:rsid w:val="00D06903"/>
    <w:rsid w:val="00D30F7A"/>
    <w:rsid w:val="00D32511"/>
    <w:rsid w:val="00D33599"/>
    <w:rsid w:val="00D36718"/>
    <w:rsid w:val="00D40180"/>
    <w:rsid w:val="00D43187"/>
    <w:rsid w:val="00D435E7"/>
    <w:rsid w:val="00D50868"/>
    <w:rsid w:val="00D52138"/>
    <w:rsid w:val="00D66CD8"/>
    <w:rsid w:val="00D721D6"/>
    <w:rsid w:val="00D73BA6"/>
    <w:rsid w:val="00D7516C"/>
    <w:rsid w:val="00D763E4"/>
    <w:rsid w:val="00D87EEB"/>
    <w:rsid w:val="00D91D06"/>
    <w:rsid w:val="00DA336A"/>
    <w:rsid w:val="00DB69C5"/>
    <w:rsid w:val="00DC2E68"/>
    <w:rsid w:val="00DC6645"/>
    <w:rsid w:val="00DD1664"/>
    <w:rsid w:val="00DD4907"/>
    <w:rsid w:val="00DD6C84"/>
    <w:rsid w:val="00E06022"/>
    <w:rsid w:val="00E17CCB"/>
    <w:rsid w:val="00E3452A"/>
    <w:rsid w:val="00E406CA"/>
    <w:rsid w:val="00E448BE"/>
    <w:rsid w:val="00E5109D"/>
    <w:rsid w:val="00E51326"/>
    <w:rsid w:val="00E519D5"/>
    <w:rsid w:val="00E5635C"/>
    <w:rsid w:val="00E5707A"/>
    <w:rsid w:val="00E60DF5"/>
    <w:rsid w:val="00E71F1A"/>
    <w:rsid w:val="00E75D40"/>
    <w:rsid w:val="00E82597"/>
    <w:rsid w:val="00E827BB"/>
    <w:rsid w:val="00E85B9D"/>
    <w:rsid w:val="00E97C1A"/>
    <w:rsid w:val="00EA0CBA"/>
    <w:rsid w:val="00EA3D76"/>
    <w:rsid w:val="00EA56B7"/>
    <w:rsid w:val="00EC557D"/>
    <w:rsid w:val="00EF3E34"/>
    <w:rsid w:val="00EF65C0"/>
    <w:rsid w:val="00F076D6"/>
    <w:rsid w:val="00F12528"/>
    <w:rsid w:val="00F12CB2"/>
    <w:rsid w:val="00F157F5"/>
    <w:rsid w:val="00F20CE5"/>
    <w:rsid w:val="00F243D6"/>
    <w:rsid w:val="00F3003C"/>
    <w:rsid w:val="00F32762"/>
    <w:rsid w:val="00F6322C"/>
    <w:rsid w:val="00F633B5"/>
    <w:rsid w:val="00F675C7"/>
    <w:rsid w:val="00F700A3"/>
    <w:rsid w:val="00F85EC9"/>
    <w:rsid w:val="00F976BC"/>
    <w:rsid w:val="00FA3389"/>
    <w:rsid w:val="00FA5965"/>
    <w:rsid w:val="00FB0EA6"/>
    <w:rsid w:val="00FB6469"/>
    <w:rsid w:val="00FC4904"/>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3375D14"/>
  <w15:docId w15:val="{F7EE0F21-A9F0-4979-974C-AFF980F8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table" w:styleId="LightShading-Accent1">
    <w:name w:val="Light Shading Accent 1"/>
    <w:basedOn w:val="TableNormal"/>
    <w:uiPriority w:val="60"/>
    <w:rsid w:val="00BE763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F633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A16CE"/>
    <w:rPr>
      <w:color w:val="605E5C"/>
      <w:shd w:val="clear" w:color="auto" w:fill="E1DFDD"/>
    </w:rPr>
  </w:style>
  <w:style w:type="table" w:customStyle="1" w:styleId="TableGrid3">
    <w:name w:val="Table Grid3"/>
    <w:basedOn w:val="TableNormal"/>
    <w:next w:val="TableGrid"/>
    <w:uiPriority w:val="59"/>
    <w:rsid w:val="00AB1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1364">
      <w:bodyDiv w:val="1"/>
      <w:marLeft w:val="0"/>
      <w:marRight w:val="0"/>
      <w:marTop w:val="0"/>
      <w:marBottom w:val="0"/>
      <w:divBdr>
        <w:top w:val="none" w:sz="0" w:space="0" w:color="auto"/>
        <w:left w:val="none" w:sz="0" w:space="0" w:color="auto"/>
        <w:bottom w:val="none" w:sz="0" w:space="0" w:color="auto"/>
        <w:right w:val="none" w:sz="0" w:space="0" w:color="auto"/>
      </w:divBdr>
    </w:div>
    <w:div w:id="1116751095">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50189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all-clinical-areas-documents/download?cid=1739&amp;checksum=752d25a1f8dbfb2d656bac3094bfb81c" TargetMode="External"/><Relationship Id="rId13"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18" Type="http://schemas.openxmlformats.org/officeDocument/2006/relationships/hyperlink" Target="http://www.bnf.org/bnf/index.htm" TargetMode="External"/><Relationship Id="rId26" Type="http://schemas.openxmlformats.org/officeDocument/2006/relationships/hyperlink" Target="http://www.medicines.org.uk" TargetMode="External"/><Relationship Id="rId3" Type="http://schemas.openxmlformats.org/officeDocument/2006/relationships/styles" Target="styles.xml"/><Relationship Id="rId21" Type="http://schemas.openxmlformats.org/officeDocument/2006/relationships/hyperlink" Target="mailto:renalpharmacists.enh-tr@nhs.net" TargetMode="External"/><Relationship Id="rId7" Type="http://schemas.openxmlformats.org/officeDocument/2006/relationships/endnotes" Target="endnotes.xml"/><Relationship Id="rId12" Type="http://schemas.openxmlformats.org/officeDocument/2006/relationships/hyperlink" Target="https://www.nice.org.uk/guidance/ta117/chapter/1-Guidance" TargetMode="External"/><Relationship Id="rId17" Type="http://schemas.openxmlformats.org/officeDocument/2006/relationships/hyperlink" Target="http://www.medicines.org.uk/emc" TargetMode="External"/><Relationship Id="rId25" Type="http://schemas.openxmlformats.org/officeDocument/2006/relationships/hyperlink" Target="https://bnf.nice.org.uk/" TargetMode="External"/><Relationship Id="rId2" Type="http://schemas.openxmlformats.org/officeDocument/2006/relationships/numbering" Target="numbering.xml"/><Relationship Id="rId16" Type="http://schemas.openxmlformats.org/officeDocument/2006/relationships/hyperlink" Target="https://bnf.nice.org.uk/" TargetMode="External"/><Relationship Id="rId20" Type="http://schemas.openxmlformats.org/officeDocument/2006/relationships/hyperlink" Target="mailto:sharedcare.enh-tr@nhs.ne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f.org/bnf/index.htm" TargetMode="External"/><Relationship Id="rId24" Type="http://schemas.openxmlformats.org/officeDocument/2006/relationships/hyperlink" Target="http://guidance.nice.org.uk/TA11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dicines.org.uk/emc" TargetMode="External"/><Relationship Id="rId23" Type="http://schemas.openxmlformats.org/officeDocument/2006/relationships/hyperlink" Target="mailto:nephadmin.enh-tr@nhs.net" TargetMode="External"/><Relationship Id="rId28" Type="http://schemas.openxmlformats.org/officeDocument/2006/relationships/footer" Target="footer1.xml"/><Relationship Id="rId10" Type="http://schemas.openxmlformats.org/officeDocument/2006/relationships/hyperlink" Target="https://www.medicines.org.uk/emc" TargetMode="External"/><Relationship Id="rId19" Type="http://schemas.openxmlformats.org/officeDocument/2006/relationships/hyperlink" Target="http://www.medicines.org.uk/em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4" Type="http://schemas.openxmlformats.org/officeDocument/2006/relationships/hyperlink" Target="http://www.bnf.org/bnf/index.htm" TargetMode="External"/><Relationship Id="rId22" Type="http://schemas.openxmlformats.org/officeDocument/2006/relationships/hyperlink" Target="mailto:renaldieticians.enh-tr@nhs.net"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F39AD-89B7-4ABE-9B8D-77B0E47E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3440</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Amman Chasmawala</dc:creator>
  <cp:lastModifiedBy>MEHTA, Heerna (NHS HERTFORDSHIRE AND WEST ESSEX ICB - 06K)</cp:lastModifiedBy>
  <cp:revision>2</cp:revision>
  <cp:lastPrinted>2022-03-02T09:03:00Z</cp:lastPrinted>
  <dcterms:created xsi:type="dcterms:W3CDTF">2025-05-06T10:16:00Z</dcterms:created>
  <dcterms:modified xsi:type="dcterms:W3CDTF">2025-05-06T10:16:00Z</dcterms:modified>
</cp:coreProperties>
</file>