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87C4F45" w:rsidR="006F4129" w:rsidRPr="000833DA" w:rsidRDefault="00E20196" w:rsidP="002B0C19">
      <w:pPr>
        <w:spacing w:after="0"/>
        <w:jc w:val="center"/>
        <w:rPr>
          <w:rFonts w:ascii="Arial" w:eastAsia="Times New Roman" w:hAnsi="Arial" w:cs="Arial"/>
          <w:b/>
          <w:bCs/>
          <w:sz w:val="28"/>
          <w:szCs w:val="28"/>
          <w:u w:val="single"/>
        </w:rPr>
      </w:pPr>
      <w:r>
        <w:rPr>
          <w:rFonts w:ascii="Arial" w:eastAsia="Times New Roman" w:hAnsi="Arial" w:cs="Arial"/>
          <w:bCs/>
          <w:noProof/>
          <w:sz w:val="28"/>
          <w:szCs w:val="28"/>
          <w:lang w:eastAsia="en-GB"/>
        </w:rPr>
        <w:t xml:space="preserve">                            </w:t>
      </w:r>
      <w:r w:rsidR="000833DA"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484E37BD" w:rsidR="002B0C19" w:rsidRPr="00406BF2" w:rsidRDefault="002B0C19" w:rsidP="002B0C19">
      <w:pPr>
        <w:spacing w:after="0"/>
        <w:jc w:val="center"/>
        <w:rPr>
          <w:rFonts w:ascii="Arial" w:eastAsia="Times New Roman" w:hAnsi="Arial" w:cs="Times New Roman"/>
          <w:b/>
          <w:bCs/>
          <w:sz w:val="18"/>
          <w:szCs w:val="24"/>
        </w:rPr>
      </w:pPr>
    </w:p>
    <w:p w14:paraId="3020D54F" w14:textId="77777777" w:rsidR="00F82115" w:rsidRPr="00A50FCD"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A50FCD">
        <w:rPr>
          <w:rFonts w:ascii="Arial" w:hAnsi="Arial" w:cs="Arial"/>
          <w:b/>
        </w:rPr>
        <w:t xml:space="preserve">Mycophenolate mofetil (MMF) </w:t>
      </w:r>
    </w:p>
    <w:p w14:paraId="76A4058C"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in adults with multisystem </w:t>
      </w:r>
      <w:r w:rsidRPr="009E4D84">
        <w:rPr>
          <w:rFonts w:ascii="Arial" w:eastAsia="Times New Roman" w:hAnsi="Arial" w:cs="Times New Roman"/>
          <w:b/>
          <w:szCs w:val="24"/>
          <w:lang w:val="en-US"/>
        </w:rPr>
        <w:t xml:space="preserve">autoimmune disease: </w:t>
      </w:r>
    </w:p>
    <w:p w14:paraId="0D75C180"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9E4D84">
        <w:rPr>
          <w:rFonts w:ascii="Arial" w:hAnsi="Arial" w:cs="Arial"/>
          <w:b/>
        </w:rPr>
        <w:t xml:space="preserve">Nephrology / Rheumatology / Dermatology / Respiratory / Haematology / Neurology / </w:t>
      </w:r>
    </w:p>
    <w:p w14:paraId="798D05DE"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9E4D84">
        <w:rPr>
          <w:rFonts w:ascii="Arial" w:hAnsi="Arial" w:cs="Arial"/>
          <w:b/>
        </w:rPr>
        <w:t>Ophthalmology / Gastroenterology</w:t>
      </w:r>
    </w:p>
    <w:p w14:paraId="32270298" w14:textId="5637C14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sidRPr="009E4D84">
        <w:rPr>
          <w:rFonts w:ascii="Arial" w:eastAsia="Times New Roman" w:hAnsi="Arial" w:cs="Times New Roman"/>
          <w:b/>
          <w:szCs w:val="24"/>
          <w:lang w:val="en-US"/>
        </w:rPr>
        <w:t xml:space="preserve">Shared Care Protocol: Guideline No </w:t>
      </w:r>
      <w:r w:rsidR="002A2513" w:rsidRPr="009E4D84">
        <w:rPr>
          <w:rFonts w:ascii="Arial" w:eastAsia="Times New Roman" w:hAnsi="Arial" w:cs="Times New Roman"/>
          <w:b/>
          <w:szCs w:val="24"/>
          <w:lang w:val="en-US"/>
        </w:rPr>
        <w:t>6</w:t>
      </w:r>
      <w:r w:rsidRPr="009E4D84">
        <w:rPr>
          <w:rFonts w:ascii="Arial" w:eastAsia="Times New Roman" w:hAnsi="Arial" w:cs="Times New Roman"/>
          <w:b/>
          <w:szCs w:val="24"/>
          <w:lang w:val="en-US"/>
        </w:rPr>
        <w:t xml:space="preserve">; Version </w:t>
      </w:r>
      <w:r w:rsidR="002A2513" w:rsidRPr="009E4D84">
        <w:rPr>
          <w:rFonts w:ascii="Arial" w:eastAsia="Times New Roman" w:hAnsi="Arial" w:cs="Times New Roman"/>
          <w:b/>
          <w:szCs w:val="24"/>
          <w:lang w:val="en-US"/>
        </w:rPr>
        <w:t>2</w:t>
      </w:r>
      <w:r w:rsidR="00CC3B9F">
        <w:rPr>
          <w:rFonts w:ascii="Arial" w:eastAsia="Times New Roman" w:hAnsi="Arial" w:cs="Times New Roman"/>
          <w:b/>
          <w:szCs w:val="24"/>
          <w:lang w:val="en-US"/>
        </w:rPr>
        <w:t>.</w:t>
      </w:r>
      <w:r w:rsidR="00E20196">
        <w:rPr>
          <w:rFonts w:ascii="Arial" w:eastAsia="Times New Roman" w:hAnsi="Arial" w:cs="Times New Roman"/>
          <w:b/>
          <w:szCs w:val="24"/>
          <w:lang w:val="en-US"/>
        </w:rPr>
        <w:t>2</w:t>
      </w:r>
    </w:p>
    <w:p w14:paraId="688A9326" w14:textId="676442B6" w:rsidR="00B65903" w:rsidRDefault="00B65903" w:rsidP="00B65903">
      <w:pPr>
        <w:jc w:val="center"/>
        <w:rPr>
          <w:rFonts w:ascii="Calibri" w:eastAsia="Calibri" w:hAnsi="Calibri" w:cs="Times New Roman"/>
          <w:b/>
          <w:bCs/>
          <w:sz w:val="32"/>
          <w:szCs w:val="32"/>
        </w:rPr>
      </w:pPr>
      <w:r w:rsidRPr="009E4D84">
        <w:rPr>
          <w:rFonts w:ascii="Calibri" w:eastAsia="Calibri" w:hAnsi="Calibri" w:cs="Times New Roman"/>
          <w:b/>
          <w:bCs/>
          <w:sz w:val="32"/>
          <w:szCs w:val="32"/>
        </w:rPr>
        <w:t xml:space="preserve">For use in West </w:t>
      </w:r>
      <w:r w:rsidR="00234740" w:rsidRPr="009E4D84">
        <w:rPr>
          <w:rFonts w:ascii="Calibri" w:eastAsia="Calibri" w:hAnsi="Calibri" w:cs="Times New Roman"/>
          <w:b/>
          <w:bCs/>
          <w:sz w:val="32"/>
          <w:szCs w:val="32"/>
        </w:rPr>
        <w:t>Essex</w:t>
      </w:r>
    </w:p>
    <w:p w14:paraId="16B5F81B" w14:textId="77777777" w:rsidR="00E20196" w:rsidRDefault="00E20196" w:rsidP="00E20196">
      <w:pPr>
        <w:spacing w:after="0"/>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5DFBEA2A" w14:textId="77777777" w:rsidR="00E20196" w:rsidRDefault="00E20196" w:rsidP="00E20196">
      <w:pPr>
        <w:spacing w:after="0"/>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E20196" w:rsidRPr="002A2513" w14:paraId="08936B20" w14:textId="77777777" w:rsidTr="00983B1D">
        <w:trPr>
          <w:trHeight w:val="247"/>
        </w:trPr>
        <w:tc>
          <w:tcPr>
            <w:tcW w:w="4815" w:type="dxa"/>
            <w:gridSpan w:val="2"/>
            <w:tcBorders>
              <w:right w:val="single" w:sz="4" w:space="0" w:color="auto"/>
            </w:tcBorders>
            <w:noWrap/>
          </w:tcPr>
          <w:p w14:paraId="24533C9A" w14:textId="77777777" w:rsidR="00E20196" w:rsidRPr="00B168C1" w:rsidRDefault="00E20196"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2848B6A4" w14:textId="77777777" w:rsidR="00E20196" w:rsidRPr="00131AEC" w:rsidRDefault="00E20196" w:rsidP="00983B1D">
            <w:pPr>
              <w:jc w:val="center"/>
              <w:rPr>
                <w:rFonts w:ascii="Arial" w:hAnsi="Arial" w:cs="Arial"/>
                <w:b/>
                <w:bCs/>
                <w:sz w:val="18"/>
                <w:szCs w:val="18"/>
              </w:rPr>
            </w:pPr>
            <w:r w:rsidRPr="00131AEC">
              <w:rPr>
                <w:rFonts w:ascii="Arial" w:hAnsi="Arial" w:cs="Arial"/>
                <w:b/>
                <w:bCs/>
              </w:rPr>
              <w:t>Drug information</w:t>
            </w:r>
          </w:p>
        </w:tc>
      </w:tr>
      <w:tr w:rsidR="00E20196" w:rsidRPr="002A2513" w14:paraId="31E8D642" w14:textId="77777777" w:rsidTr="00983B1D">
        <w:trPr>
          <w:trHeight w:val="510"/>
        </w:trPr>
        <w:tc>
          <w:tcPr>
            <w:tcW w:w="2852" w:type="dxa"/>
            <w:noWrap/>
            <w:hideMark/>
          </w:tcPr>
          <w:p w14:paraId="1A817149" w14:textId="77777777" w:rsidR="00E20196" w:rsidRPr="00B654C0" w:rsidRDefault="00E20196"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72E3BC02" w14:textId="77777777" w:rsidR="00E20196" w:rsidRPr="002A2513" w:rsidRDefault="00E20196"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5B0854D" w14:textId="77777777" w:rsidR="00E20196" w:rsidRPr="00B654C0" w:rsidRDefault="00E20196"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7FF69616" w14:textId="77777777" w:rsidR="00E20196" w:rsidRPr="002A2513" w:rsidRDefault="00E20196"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20196" w:rsidRPr="002A2513" w14:paraId="2EA7F13B" w14:textId="77777777" w:rsidTr="00983B1D">
        <w:trPr>
          <w:trHeight w:val="261"/>
        </w:trPr>
        <w:tc>
          <w:tcPr>
            <w:tcW w:w="2852" w:type="dxa"/>
            <w:noWrap/>
            <w:hideMark/>
          </w:tcPr>
          <w:p w14:paraId="4C707D04" w14:textId="77777777" w:rsidR="00E20196" w:rsidRPr="00B654C0" w:rsidRDefault="00E20196"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1278D088" w14:textId="77777777" w:rsidR="00E20196" w:rsidRPr="002A2513" w:rsidRDefault="00E20196"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3FE4AF39" w14:textId="77777777" w:rsidR="00E20196" w:rsidRPr="00B654C0" w:rsidRDefault="00E20196"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4322F1ED" w14:textId="77777777" w:rsidR="00E20196" w:rsidRPr="002A2513" w:rsidRDefault="00E20196"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20196" w:rsidRPr="002A2513" w14:paraId="2E4D133A" w14:textId="77777777" w:rsidTr="00983B1D">
        <w:trPr>
          <w:trHeight w:val="247"/>
        </w:trPr>
        <w:tc>
          <w:tcPr>
            <w:tcW w:w="2852" w:type="dxa"/>
            <w:noWrap/>
            <w:hideMark/>
          </w:tcPr>
          <w:p w14:paraId="7BDE3FFE" w14:textId="77777777" w:rsidR="00E20196" w:rsidRPr="00B654C0" w:rsidRDefault="00E20196"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1849F221" w14:textId="77777777" w:rsidR="00E20196" w:rsidRPr="002A2513" w:rsidRDefault="00E20196"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67DAA365" w14:textId="77777777" w:rsidR="00E20196" w:rsidRPr="00B654C0" w:rsidRDefault="00E20196"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49BB3780" w14:textId="77777777" w:rsidR="00E20196" w:rsidRPr="002A2513" w:rsidRDefault="00E20196"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20196" w:rsidRPr="002A2513" w14:paraId="19ED58CA" w14:textId="77777777" w:rsidTr="00983B1D">
        <w:trPr>
          <w:trHeight w:val="50"/>
        </w:trPr>
        <w:tc>
          <w:tcPr>
            <w:tcW w:w="2852" w:type="dxa"/>
            <w:noWrap/>
          </w:tcPr>
          <w:p w14:paraId="5DE756DC" w14:textId="77777777" w:rsidR="00E20196" w:rsidRPr="00B654C0" w:rsidRDefault="00E20196"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0EFC1802" w14:textId="77777777" w:rsidR="00E20196" w:rsidRPr="00B654C0" w:rsidRDefault="00E20196"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7831AF48" w14:textId="77777777" w:rsidR="00E20196" w:rsidRPr="00B654C0" w:rsidRDefault="00E20196"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251E63F4" w14:textId="77777777" w:rsidR="00E20196" w:rsidRPr="00B654C0" w:rsidRDefault="00E20196"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E20196" w:rsidRPr="002A2513" w14:paraId="69C4E37B" w14:textId="77777777" w:rsidTr="00983B1D">
        <w:trPr>
          <w:trHeight w:val="50"/>
        </w:trPr>
        <w:tc>
          <w:tcPr>
            <w:tcW w:w="4815" w:type="dxa"/>
            <w:gridSpan w:val="2"/>
            <w:tcBorders>
              <w:right w:val="single" w:sz="4" w:space="0" w:color="auto"/>
            </w:tcBorders>
            <w:noWrap/>
          </w:tcPr>
          <w:p w14:paraId="41740C5C" w14:textId="77777777" w:rsidR="00E20196" w:rsidRPr="00B168C1" w:rsidRDefault="00E20196"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1C0AEA22" w14:textId="77777777" w:rsidR="00E20196" w:rsidRPr="002A2513" w:rsidRDefault="00E20196"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E20196" w:rsidRPr="002A2513" w14:paraId="76B56B56" w14:textId="77777777" w:rsidTr="00983B1D">
        <w:trPr>
          <w:trHeight w:val="418"/>
        </w:trPr>
        <w:tc>
          <w:tcPr>
            <w:tcW w:w="4815" w:type="dxa"/>
            <w:gridSpan w:val="2"/>
            <w:tcBorders>
              <w:right w:val="single" w:sz="4" w:space="0" w:color="auto"/>
            </w:tcBorders>
            <w:noWrap/>
          </w:tcPr>
          <w:p w14:paraId="4157CA50" w14:textId="77777777" w:rsidR="00E20196" w:rsidRPr="00B168C1" w:rsidRDefault="00E20196"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5FF936BA" w14:textId="77777777" w:rsidR="00E20196" w:rsidRPr="002A2513" w:rsidRDefault="00E20196"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28E3C66B" w14:textId="77777777" w:rsidR="00E20196" w:rsidRPr="00B25DFC" w:rsidRDefault="00E20196" w:rsidP="00E20196">
      <w:pPr>
        <w:spacing w:after="0"/>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E20196" w14:paraId="13AA8A97" w14:textId="77777777" w:rsidTr="00983B1D">
        <w:trPr>
          <w:trHeight w:val="672"/>
        </w:trPr>
        <w:tc>
          <w:tcPr>
            <w:tcW w:w="11374" w:type="dxa"/>
            <w:gridSpan w:val="3"/>
          </w:tcPr>
          <w:p w14:paraId="453FBA3B" w14:textId="77777777" w:rsidR="00E20196" w:rsidRPr="00131AEC" w:rsidRDefault="00E20196"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38D84E96" w14:textId="77777777" w:rsidR="00E20196" w:rsidRPr="000E0E99" w:rsidRDefault="00E20196"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5D4BB292" w14:textId="77777777" w:rsidR="00E20196" w:rsidRPr="00B42EA4" w:rsidRDefault="00E20196" w:rsidP="00E20196">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3C0E8253" w14:textId="77777777" w:rsidR="00E20196" w:rsidRPr="00131AEC" w:rsidRDefault="00E20196" w:rsidP="00E20196">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E20196" w14:paraId="4435D168" w14:textId="77777777" w:rsidTr="00983B1D">
        <w:trPr>
          <w:trHeight w:val="461"/>
        </w:trPr>
        <w:tc>
          <w:tcPr>
            <w:tcW w:w="5375" w:type="dxa"/>
          </w:tcPr>
          <w:p w14:paraId="10936D91"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02DF1BB0"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E20196" w14:paraId="7042D1F0" w14:textId="77777777" w:rsidTr="00983B1D">
        <w:trPr>
          <w:trHeight w:val="461"/>
        </w:trPr>
        <w:tc>
          <w:tcPr>
            <w:tcW w:w="5375" w:type="dxa"/>
          </w:tcPr>
          <w:p w14:paraId="5FAF4B8A"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62F1C5EC"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20196" w14:paraId="059D07B1" w14:textId="77777777" w:rsidTr="00983B1D">
        <w:trPr>
          <w:trHeight w:val="360"/>
        </w:trPr>
        <w:tc>
          <w:tcPr>
            <w:tcW w:w="5375" w:type="dxa"/>
          </w:tcPr>
          <w:p w14:paraId="4E7CD0E8"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256743B4"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E20196" w14:paraId="5D71B947" w14:textId="77777777" w:rsidTr="00983B1D">
        <w:trPr>
          <w:trHeight w:val="360"/>
        </w:trPr>
        <w:tc>
          <w:tcPr>
            <w:tcW w:w="5375" w:type="dxa"/>
          </w:tcPr>
          <w:p w14:paraId="743CC6B9" w14:textId="77777777" w:rsidR="00E20196" w:rsidRPr="00B654C0" w:rsidRDefault="00E20196"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AA0949A" w14:textId="77777777" w:rsidR="00E20196" w:rsidRPr="00B654C0" w:rsidRDefault="00E20196" w:rsidP="00983B1D">
            <w:pPr>
              <w:rPr>
                <w:rFonts w:ascii="Arial" w:hAnsi="Arial" w:cs="Arial"/>
                <w:bCs/>
                <w:color w:val="000000"/>
                <w:lang w:eastAsia="en-GB"/>
              </w:rPr>
            </w:pPr>
          </w:p>
        </w:tc>
      </w:tr>
      <w:tr w:rsidR="00E20196" w14:paraId="3AC510E1" w14:textId="77777777" w:rsidTr="00983B1D">
        <w:trPr>
          <w:trHeight w:val="461"/>
        </w:trPr>
        <w:tc>
          <w:tcPr>
            <w:tcW w:w="5375" w:type="dxa"/>
          </w:tcPr>
          <w:p w14:paraId="6EDDB0C2"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9D2E5C2" w14:textId="77777777" w:rsidR="00E20196" w:rsidRPr="00B654C0" w:rsidRDefault="00E20196"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20196" w14:paraId="0246AC33" w14:textId="77777777" w:rsidTr="00983B1D">
        <w:trPr>
          <w:trHeight w:val="147"/>
        </w:trPr>
        <w:tc>
          <w:tcPr>
            <w:tcW w:w="11374" w:type="dxa"/>
            <w:gridSpan w:val="3"/>
          </w:tcPr>
          <w:p w14:paraId="35255391" w14:textId="77777777" w:rsidR="00E20196" w:rsidRDefault="00E20196" w:rsidP="00983B1D">
            <w:pPr>
              <w:contextualSpacing/>
              <w:jc w:val="both"/>
              <w:rPr>
                <w:rFonts w:ascii="Arial" w:hAnsi="Arial" w:cs="Arial"/>
                <w:b/>
                <w:u w:val="single"/>
              </w:rPr>
            </w:pPr>
            <w:r w:rsidRPr="000E0E99">
              <w:rPr>
                <w:rFonts w:ascii="Arial" w:hAnsi="Arial" w:cs="Arial"/>
                <w:b/>
                <w:u w:val="single"/>
              </w:rPr>
              <w:t>GP response to shared care</w:t>
            </w:r>
          </w:p>
          <w:p w14:paraId="7403B49E" w14:textId="77777777" w:rsidR="00E20196" w:rsidRPr="00B654C0" w:rsidRDefault="00E20196" w:rsidP="00983B1D">
            <w:pPr>
              <w:contextualSpacing/>
              <w:jc w:val="both"/>
              <w:rPr>
                <w:rFonts w:ascii="Arial" w:hAnsi="Arial" w:cs="Arial"/>
                <w:b/>
                <w:u w:val="single"/>
              </w:rPr>
            </w:pPr>
          </w:p>
          <w:p w14:paraId="4D351486" w14:textId="77777777" w:rsidR="00E20196" w:rsidRPr="000E0E99" w:rsidRDefault="00E20196"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08612DBA" w14:textId="77777777" w:rsidR="00E20196" w:rsidRPr="00B654C0" w:rsidRDefault="00E20196"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1323F245" w14:textId="77777777" w:rsidR="00E20196" w:rsidRPr="000E0E99" w:rsidRDefault="00E20196"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511EF4C" w14:textId="77777777" w:rsidR="00E20196" w:rsidRPr="000E0E99" w:rsidRDefault="00E20196"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7C161338" w14:textId="77777777" w:rsidR="00E20196" w:rsidRPr="009E68B2" w:rsidRDefault="00E20196" w:rsidP="00983B1D">
            <w:pPr>
              <w:contextualSpacing/>
              <w:rPr>
                <w:rFonts w:ascii="Arial" w:hAnsi="Arial" w:cs="Arial"/>
                <w:b/>
              </w:rPr>
            </w:pPr>
            <w:bookmarkStart w:id="0"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0"/>
          <w:p w14:paraId="75EC38A9" w14:textId="77777777" w:rsidR="00E20196" w:rsidRPr="000E0E99" w:rsidRDefault="00E20196" w:rsidP="00983B1D">
            <w:pPr>
              <w:contextualSpacing/>
              <w:rPr>
                <w:rFonts w:ascii="Arial" w:hAnsi="Arial" w:cs="Arial"/>
              </w:rPr>
            </w:pPr>
          </w:p>
        </w:tc>
      </w:tr>
      <w:tr w:rsidR="00E20196" w14:paraId="3E7958EE" w14:textId="77777777" w:rsidTr="00983B1D">
        <w:trPr>
          <w:trHeight w:val="462"/>
        </w:trPr>
        <w:tc>
          <w:tcPr>
            <w:tcW w:w="5645" w:type="dxa"/>
            <w:gridSpan w:val="2"/>
          </w:tcPr>
          <w:p w14:paraId="6C48DD4B" w14:textId="77777777" w:rsidR="00E20196" w:rsidRPr="00B654C0" w:rsidRDefault="00E20196"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425E6C00" w14:textId="77777777" w:rsidR="00E20196" w:rsidRDefault="00E20196"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3B62202E" w14:textId="77777777" w:rsidR="00E20196" w:rsidRPr="00B654C0" w:rsidRDefault="00E20196"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20196" w14:paraId="7345BD25" w14:textId="77777777" w:rsidTr="00983B1D">
        <w:trPr>
          <w:trHeight w:val="462"/>
        </w:trPr>
        <w:tc>
          <w:tcPr>
            <w:tcW w:w="5645" w:type="dxa"/>
            <w:gridSpan w:val="2"/>
          </w:tcPr>
          <w:p w14:paraId="50558298" w14:textId="77777777" w:rsidR="00E20196" w:rsidRPr="00B654C0" w:rsidRDefault="00E20196"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7B7FDCC7" w14:textId="77777777" w:rsidR="00E20196" w:rsidRPr="00B654C0" w:rsidRDefault="00E20196" w:rsidP="00983B1D">
            <w:pPr>
              <w:contextualSpacing/>
              <w:jc w:val="both"/>
              <w:rPr>
                <w:rFonts w:ascii="Arial" w:hAnsi="Arial" w:cs="Arial"/>
                <w:bCs/>
                <w:sz w:val="24"/>
                <w:szCs w:val="24"/>
                <w:u w:val="single"/>
              </w:rPr>
            </w:pPr>
          </w:p>
        </w:tc>
      </w:tr>
      <w:tr w:rsidR="00E20196" w14:paraId="3CF5D231" w14:textId="77777777" w:rsidTr="00983B1D">
        <w:trPr>
          <w:trHeight w:val="462"/>
        </w:trPr>
        <w:tc>
          <w:tcPr>
            <w:tcW w:w="5645" w:type="dxa"/>
            <w:gridSpan w:val="2"/>
          </w:tcPr>
          <w:p w14:paraId="55762236" w14:textId="77777777" w:rsidR="00E20196" w:rsidRPr="00B654C0" w:rsidRDefault="00E20196"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300B4F81" w14:textId="77777777" w:rsidR="00E20196" w:rsidRPr="00B654C0" w:rsidRDefault="00E20196" w:rsidP="00983B1D">
            <w:pPr>
              <w:contextualSpacing/>
              <w:jc w:val="both"/>
              <w:rPr>
                <w:rFonts w:ascii="Arial" w:hAnsi="Arial" w:cs="Arial"/>
                <w:bCs/>
                <w:sz w:val="24"/>
                <w:szCs w:val="24"/>
                <w:u w:val="single"/>
              </w:rPr>
            </w:pPr>
          </w:p>
        </w:tc>
      </w:tr>
      <w:tr w:rsidR="00E20196" w14:paraId="6BF66A24" w14:textId="77777777" w:rsidTr="00983B1D">
        <w:trPr>
          <w:trHeight w:val="462"/>
        </w:trPr>
        <w:tc>
          <w:tcPr>
            <w:tcW w:w="5645" w:type="dxa"/>
            <w:gridSpan w:val="2"/>
          </w:tcPr>
          <w:p w14:paraId="3D8D82D5" w14:textId="77777777" w:rsidR="00E20196" w:rsidRPr="00B654C0" w:rsidRDefault="00E20196"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78E107D5" w14:textId="77777777" w:rsidR="00E20196" w:rsidRPr="00B654C0" w:rsidRDefault="00E20196"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62F052D5" w14:textId="77777777" w:rsidR="002A2513" w:rsidRDefault="002A2513" w:rsidP="00E60DF5">
      <w:pPr>
        <w:spacing w:after="0"/>
        <w:rPr>
          <w:rFonts w:ascii="Arial" w:eastAsia="Times New Roman" w:hAnsi="Arial" w:cs="Arial"/>
          <w:b/>
          <w:sz w:val="8"/>
          <w:szCs w:val="8"/>
          <w:lang w:eastAsia="en-GB"/>
        </w:rPr>
      </w:pPr>
    </w:p>
    <w:p w14:paraId="692A4501" w14:textId="77777777" w:rsidR="002A2513" w:rsidRDefault="002A2513" w:rsidP="00E60DF5">
      <w:pPr>
        <w:spacing w:after="0"/>
        <w:rPr>
          <w:rFonts w:ascii="Arial" w:eastAsia="Times New Roman" w:hAnsi="Arial" w:cs="Arial"/>
          <w:b/>
          <w:sz w:val="8"/>
          <w:szCs w:val="8"/>
          <w:lang w:eastAsia="en-GB"/>
        </w:rPr>
      </w:pPr>
    </w:p>
    <w:p w14:paraId="70C2CD78" w14:textId="77777777" w:rsidR="002A2513" w:rsidRPr="00E60DF5" w:rsidRDefault="002A2513" w:rsidP="00E60DF5">
      <w:pPr>
        <w:spacing w:after="0"/>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rPr>
                <w:rFonts w:ascii="Arial" w:eastAsia="Times New Roman" w:hAnsi="Arial" w:cs="Arial"/>
                <w:b/>
                <w:bCs/>
                <w:sz w:val="24"/>
                <w:szCs w:val="24"/>
                <w:lang w:eastAsia="en-GB"/>
              </w:rPr>
            </w:pPr>
          </w:p>
          <w:p w14:paraId="73A01C94" w14:textId="77777777" w:rsidR="00E60DF5" w:rsidRPr="00E60DF5" w:rsidRDefault="00E60DF5" w:rsidP="00E60DF5">
            <w:pPr>
              <w:spacing w:after="0"/>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16D3B7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568E8FDB"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mycophenolate mofetil </w:t>
            </w:r>
            <w:r w:rsidRPr="000C7F57">
              <w:rPr>
                <w:rFonts w:ascii="Arial" w:eastAsia="Times New Roman" w:hAnsi="Arial" w:cs="Arial"/>
                <w:bCs/>
                <w:lang w:eastAsia="en-GB"/>
              </w:rPr>
              <w:t xml:space="preserve">once patient is clinically stable in line with protocol. </w:t>
            </w:r>
          </w:p>
          <w:p w14:paraId="36319FAC"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28C769FE"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53A0D51"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1F1DA050"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4E9BE64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DDDAA4D"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4BDB1F84" w14:textId="77777777" w:rsidR="00746DDF" w:rsidRPr="009E4D84" w:rsidRDefault="00746DDF">
            <w:pPr>
              <w:numPr>
                <w:ilvl w:val="0"/>
                <w:numId w:val="6"/>
              </w:numPr>
              <w:spacing w:after="0"/>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w:t>
            </w:r>
            <w:r w:rsidRPr="009E4D84">
              <w:rPr>
                <w:rFonts w:ascii="Arial" w:eastAsia="Times New Roman" w:hAnsi="Arial" w:cs="Arial"/>
                <w:bCs/>
                <w:lang w:eastAsia="en-GB"/>
              </w:rPr>
              <w:t>asplenia), see BNF or Green Book.</w:t>
            </w:r>
          </w:p>
          <w:p w14:paraId="5A44AA1D" w14:textId="77777777" w:rsidR="00D56106" w:rsidRPr="009E4D84" w:rsidRDefault="00D56106" w:rsidP="00D56106">
            <w:pPr>
              <w:numPr>
                <w:ilvl w:val="0"/>
                <w:numId w:val="6"/>
              </w:numPr>
              <w:spacing w:after="0"/>
              <w:rPr>
                <w:rFonts w:ascii="Arial" w:eastAsia="Times New Roman" w:hAnsi="Arial" w:cs="Arial"/>
                <w:bCs/>
                <w:lang w:eastAsia="en-GB"/>
              </w:rPr>
            </w:pPr>
            <w:r w:rsidRPr="009E4D84">
              <w:rPr>
                <w:rFonts w:ascii="Arial" w:eastAsia="Arial" w:hAnsi="Arial" w:cs="Arial"/>
                <w:color w:val="000000" w:themeColor="text1"/>
              </w:rPr>
              <w:t xml:space="preserve">COVID-19 vaccination is safe and recommended (see </w:t>
            </w:r>
            <w:hyperlink r:id="rId10">
              <w:r w:rsidRPr="009E4D84">
                <w:rPr>
                  <w:rStyle w:val="Hyperlink"/>
                  <w:rFonts w:ascii="Arial" w:eastAsia="Arial" w:hAnsi="Arial" w:cs="Arial"/>
                </w:rPr>
                <w:t>The Green Book, Chapter 14a</w:t>
              </w:r>
            </w:hyperlink>
            <w:r w:rsidRPr="009E4D84">
              <w:rPr>
                <w:rFonts w:ascii="Arial" w:eastAsia="Arial" w:hAnsi="Arial" w:cs="Arial"/>
                <w:color w:val="000000" w:themeColor="text1"/>
              </w:rPr>
              <w:t xml:space="preserve">). </w:t>
            </w:r>
          </w:p>
          <w:p w14:paraId="3054F919" w14:textId="46C94C5D" w:rsidR="00746DDF" w:rsidRPr="009E4D84" w:rsidRDefault="00746DDF">
            <w:pPr>
              <w:numPr>
                <w:ilvl w:val="0"/>
                <w:numId w:val="6"/>
              </w:numPr>
              <w:spacing w:after="0"/>
              <w:rPr>
                <w:rFonts w:ascii="Arial" w:eastAsia="Times New Roman" w:hAnsi="Arial" w:cs="Arial"/>
                <w:bCs/>
                <w:lang w:eastAsia="en-GB"/>
              </w:rPr>
            </w:pPr>
            <w:r w:rsidRPr="009E4D8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1" w:history="1">
              <w:r w:rsidR="002A2513" w:rsidRPr="009E4D84">
                <w:rPr>
                  <w:rStyle w:val="Hyperlink"/>
                  <w:rFonts w:ascii="Arial" w:hAnsi="Arial" w:cs="Arial"/>
                </w:rPr>
                <w:t>https://www.gov.uk/government/publications/post-exposure-prophylaxis-for-chickenpox-and-shingles</w:t>
              </w:r>
            </w:hyperlink>
            <w:r w:rsidR="002A2513" w:rsidRPr="009E4D84">
              <w:rPr>
                <w:rFonts w:ascii="Arial" w:hAnsi="Arial" w:cs="Arial"/>
              </w:rPr>
              <w:t xml:space="preserve"> </w:t>
            </w:r>
          </w:p>
          <w:p w14:paraId="46E50E5F"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C6527A1"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2FAE3284" w14:textId="77777777" w:rsidR="00746DDF" w:rsidRPr="004E6E87"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48D4C26D" w14:textId="77777777" w:rsidR="00746DDF"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2533AC96" w14:textId="77777777" w:rsidR="00746DDF" w:rsidRPr="00564EF4" w:rsidRDefault="00746DDF">
            <w:pPr>
              <w:numPr>
                <w:ilvl w:val="0"/>
                <w:numId w:val="6"/>
              </w:numPr>
              <w:spacing w:after="0"/>
              <w:rPr>
                <w:rFonts w:ascii="Arial" w:eastAsia="Times New Roman" w:hAnsi="Arial" w:cs="Arial"/>
                <w:bCs/>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4A70B9ED" w14:textId="77777777" w:rsidR="00746DDF" w:rsidRPr="00B843B5" w:rsidRDefault="00746DDF">
            <w:pPr>
              <w:numPr>
                <w:ilvl w:val="0"/>
                <w:numId w:val="6"/>
              </w:numPr>
              <w:spacing w:after="0"/>
              <w:jc w:val="both"/>
              <w:rPr>
                <w:rFonts w:ascii="Arial" w:eastAsia="Times New Roman" w:hAnsi="Arial" w:cs="Arial"/>
                <w:bCs/>
                <w:lang w:eastAsia="en-GB"/>
              </w:rPr>
            </w:pPr>
            <w:r>
              <w:rPr>
                <w:rFonts w:ascii="Arial" w:eastAsia="Times New Roman" w:hAnsi="Arial" w:cs="Arial"/>
                <w:bCs/>
                <w:lang w:eastAsia="en-GB"/>
              </w:rPr>
              <w:t xml:space="preserve">Reinforce the importance of women not becoming pregnant or breastfeeding whilst taking mycophenolate and informing their GP / Specialist if a woman thinks she may be pregnant. </w:t>
            </w:r>
            <w:r>
              <w:rPr>
                <w:rFonts w:ascii="Arial" w:eastAsia="Times New Roman" w:hAnsi="Arial" w:cs="Arial"/>
                <w:bCs/>
                <w:szCs w:val="24"/>
              </w:rPr>
              <w:t>(</w:t>
            </w:r>
            <w:r w:rsidRPr="00947B65">
              <w:rPr>
                <w:rFonts w:ascii="Arial" w:eastAsia="Times New Roman" w:hAnsi="Arial" w:cs="Arial"/>
                <w:bCs/>
                <w:szCs w:val="24"/>
              </w:rPr>
              <w:t>Effective contraception must be used before beginning therapy, during therapy, and for six weeks following discontinuation of therapy</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lang w:eastAsia="en-GB"/>
              </w:rPr>
              <w:t>Men who wish to father a child should discuss this with their specialist.</w:t>
            </w:r>
          </w:p>
          <w:p w14:paraId="6ABA1B2B" w14:textId="77777777" w:rsidR="00EA6396" w:rsidRDefault="00EA6396" w:rsidP="00746DDF">
            <w:pPr>
              <w:spacing w:after="0"/>
              <w:rPr>
                <w:rFonts w:ascii="Arial" w:eastAsia="Times New Roman" w:hAnsi="Arial" w:cs="Arial"/>
                <w:bCs/>
                <w:lang w:eastAsia="en-GB"/>
              </w:rPr>
            </w:pPr>
          </w:p>
          <w:p w14:paraId="262888D7" w14:textId="77777777" w:rsidR="00EA6396" w:rsidRDefault="00EA6396" w:rsidP="00746DDF">
            <w:pPr>
              <w:spacing w:after="0"/>
              <w:rPr>
                <w:rFonts w:ascii="Arial" w:eastAsia="Times New Roman" w:hAnsi="Arial" w:cs="Arial"/>
                <w:bCs/>
                <w:lang w:eastAsia="en-GB"/>
              </w:rPr>
            </w:pPr>
            <w:r w:rsidRPr="00EA6396">
              <w:rPr>
                <w:rFonts w:ascii="Arial" w:eastAsia="Times New Roman" w:hAnsi="Arial" w:cs="Arial"/>
                <w:b/>
                <w:lang w:eastAsia="en-GB"/>
              </w:rPr>
              <w:t>MONITORING AND ACTIONS TO BE TAKEN</w:t>
            </w:r>
            <w:r w:rsidRPr="00EA6396">
              <w:rPr>
                <w:rFonts w:ascii="Arial" w:eastAsia="Times New Roman" w:hAnsi="Arial" w:cs="Arial"/>
                <w:bCs/>
                <w:lang w:eastAsia="en-GB"/>
              </w:rPr>
              <w:t xml:space="preserve"> </w:t>
            </w:r>
          </w:p>
          <w:p w14:paraId="6199A538" w14:textId="00B12015" w:rsidR="00746DDF" w:rsidRPr="00EA6396" w:rsidRDefault="00EA6396" w:rsidP="00746DDF">
            <w:pPr>
              <w:spacing w:after="0"/>
              <w:rPr>
                <w:rFonts w:ascii="Arial" w:eastAsia="Times New Roman" w:hAnsi="Arial" w:cs="Arial"/>
                <w:b/>
                <w:u w:val="single"/>
                <w:lang w:eastAsia="en-GB"/>
              </w:rPr>
            </w:pPr>
            <w:r w:rsidRPr="00EA6396">
              <w:rPr>
                <w:rFonts w:ascii="Arial" w:eastAsia="Times New Roman" w:hAnsi="Arial" w:cs="Arial"/>
                <w:b/>
                <w:u w:val="single"/>
                <w:lang w:eastAsia="en-GB"/>
              </w:rPr>
              <w:t>Monitoring Table – see GP monitoring highlighted in grey</w:t>
            </w:r>
          </w:p>
          <w:p w14:paraId="48638FA2" w14:textId="77777777" w:rsidR="0015736E" w:rsidRPr="000C7F57" w:rsidRDefault="0015736E" w:rsidP="000C7F57">
            <w:pPr>
              <w:spacing w:after="0"/>
              <w:rPr>
                <w:rFonts w:ascii="Arial" w:eastAsia="Times New Roman" w:hAnsi="Arial" w:cs="Arial"/>
                <w:bCs/>
                <w:lang w:eastAsia="en-GB"/>
              </w:rPr>
            </w:pPr>
          </w:p>
          <w:tbl>
            <w:tblPr>
              <w:tblStyle w:val="TableGrid2"/>
              <w:tblW w:w="10000" w:type="dxa"/>
              <w:tblLook w:val="04A0" w:firstRow="1" w:lastRow="0" w:firstColumn="1" w:lastColumn="0" w:noHBand="0" w:noVBand="1"/>
            </w:tblPr>
            <w:tblGrid>
              <w:gridCol w:w="1379"/>
              <w:gridCol w:w="1784"/>
              <w:gridCol w:w="1131"/>
              <w:gridCol w:w="1384"/>
              <w:gridCol w:w="1534"/>
              <w:gridCol w:w="1398"/>
              <w:gridCol w:w="1390"/>
            </w:tblGrid>
            <w:tr w:rsidR="00746DDF" w:rsidRPr="00843717" w14:paraId="17BD81B5" w14:textId="77777777" w:rsidTr="002A2513">
              <w:tc>
                <w:tcPr>
                  <w:tcW w:w="3163" w:type="dxa"/>
                  <w:gridSpan w:val="2"/>
                  <w:shd w:val="clear" w:color="auto" w:fill="auto"/>
                </w:tcPr>
                <w:p w14:paraId="2B7FFC4B" w14:textId="77777777" w:rsidR="00746DDF" w:rsidRPr="00670C74" w:rsidRDefault="00746DDF" w:rsidP="00746DDF">
                  <w:pPr>
                    <w:rPr>
                      <w:rFonts w:ascii="Arial" w:hAnsi="Arial" w:cs="Arial"/>
                      <w:b/>
                      <w:sz w:val="20"/>
                      <w:szCs w:val="20"/>
                    </w:rPr>
                  </w:pPr>
                  <w:r w:rsidRPr="00670C74">
                    <w:rPr>
                      <w:rFonts w:ascii="Arial" w:hAnsi="Arial" w:cs="Arial"/>
                      <w:b/>
                      <w:sz w:val="20"/>
                      <w:szCs w:val="20"/>
                    </w:rPr>
                    <w:t>Monitoring table</w:t>
                  </w:r>
                </w:p>
              </w:tc>
              <w:tc>
                <w:tcPr>
                  <w:tcW w:w="1131" w:type="dxa"/>
                  <w:shd w:val="clear" w:color="auto" w:fill="auto"/>
                </w:tcPr>
                <w:p w14:paraId="67FE9200"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384" w:type="dxa"/>
                  <w:shd w:val="clear" w:color="auto" w:fill="auto"/>
                </w:tcPr>
                <w:p w14:paraId="2C33F227"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534" w:type="dxa"/>
                  <w:shd w:val="pct10" w:color="auto" w:fill="auto"/>
                </w:tcPr>
                <w:p w14:paraId="5FDD8813"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 / GP</w:t>
                  </w:r>
                </w:p>
              </w:tc>
              <w:tc>
                <w:tcPr>
                  <w:tcW w:w="1398" w:type="dxa"/>
                  <w:shd w:val="pct10" w:color="auto" w:fill="auto"/>
                </w:tcPr>
                <w:p w14:paraId="50BA2CCC"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 xml:space="preserve">GP </w:t>
                  </w:r>
                </w:p>
              </w:tc>
              <w:tc>
                <w:tcPr>
                  <w:tcW w:w="1390" w:type="dxa"/>
                  <w:shd w:val="clear" w:color="auto" w:fill="auto"/>
                </w:tcPr>
                <w:p w14:paraId="11557D88"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r>
            <w:tr w:rsidR="00746DDF" w:rsidRPr="00843717" w14:paraId="0205E11B" w14:textId="77777777" w:rsidTr="002A2513">
              <w:trPr>
                <w:trHeight w:val="843"/>
              </w:trPr>
              <w:tc>
                <w:tcPr>
                  <w:tcW w:w="1379" w:type="dxa"/>
                  <w:shd w:val="clear" w:color="auto" w:fill="auto"/>
                </w:tcPr>
                <w:p w14:paraId="5C25B22D" w14:textId="77777777" w:rsidR="00746DDF" w:rsidRPr="00670C74" w:rsidRDefault="00746DDF" w:rsidP="00746DDF">
                  <w:pPr>
                    <w:jc w:val="center"/>
                    <w:rPr>
                      <w:rFonts w:ascii="Arial" w:hAnsi="Arial" w:cs="Arial"/>
                      <w:b/>
                      <w:sz w:val="20"/>
                      <w:szCs w:val="20"/>
                    </w:rPr>
                  </w:pPr>
                </w:p>
                <w:p w14:paraId="2D3155BF"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Test</w:t>
                  </w:r>
                </w:p>
              </w:tc>
              <w:tc>
                <w:tcPr>
                  <w:tcW w:w="1784" w:type="dxa"/>
                  <w:shd w:val="clear" w:color="auto" w:fill="auto"/>
                </w:tcPr>
                <w:p w14:paraId="58B33B5B" w14:textId="77777777" w:rsidR="00746DDF" w:rsidRPr="00670C74" w:rsidRDefault="00746DDF" w:rsidP="00746DDF">
                  <w:pPr>
                    <w:jc w:val="center"/>
                    <w:rPr>
                      <w:rFonts w:ascii="Arial" w:hAnsi="Arial" w:cs="Arial"/>
                      <w:b/>
                      <w:sz w:val="20"/>
                      <w:szCs w:val="20"/>
                    </w:rPr>
                  </w:pPr>
                </w:p>
                <w:p w14:paraId="6EF8EA06"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Indication</w:t>
                  </w:r>
                </w:p>
              </w:tc>
              <w:tc>
                <w:tcPr>
                  <w:tcW w:w="1131" w:type="dxa"/>
                  <w:shd w:val="clear" w:color="auto" w:fill="auto"/>
                </w:tcPr>
                <w:p w14:paraId="5E36CB75"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Pre-treatment baseline</w:t>
                  </w:r>
                </w:p>
              </w:tc>
              <w:tc>
                <w:tcPr>
                  <w:tcW w:w="1384" w:type="dxa"/>
                  <w:shd w:val="clear" w:color="auto" w:fill="auto"/>
                </w:tcPr>
                <w:p w14:paraId="77283B4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During Treatment</w:t>
                  </w:r>
                  <w:r w:rsidRPr="00670C74">
                    <w:rPr>
                      <w:rFonts w:ascii="Arial" w:hAnsi="Arial" w:cs="Arial"/>
                      <w:b/>
                      <w:sz w:val="20"/>
                      <w:szCs w:val="20"/>
                    </w:rPr>
                    <w:t xml:space="preserve"> </w:t>
                  </w:r>
                  <w:r w:rsidRPr="00670C74">
                    <w:rPr>
                      <w:rFonts w:ascii="Arial" w:hAnsi="Arial" w:cs="Arial"/>
                      <w:sz w:val="20"/>
                      <w:szCs w:val="20"/>
                    </w:rPr>
                    <w:t>Initiation</w:t>
                  </w:r>
                </w:p>
              </w:tc>
              <w:tc>
                <w:tcPr>
                  <w:tcW w:w="1534" w:type="dxa"/>
                  <w:shd w:val="pct10" w:color="auto" w:fill="auto"/>
                </w:tcPr>
                <w:p w14:paraId="5D7691E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 xml:space="preserve">Following Treatment </w:t>
                  </w:r>
                </w:p>
                <w:p w14:paraId="28C7D12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Initiation</w:t>
                  </w:r>
                </w:p>
              </w:tc>
              <w:tc>
                <w:tcPr>
                  <w:tcW w:w="1398" w:type="dxa"/>
                  <w:shd w:val="pct10" w:color="auto" w:fill="auto"/>
                </w:tcPr>
                <w:p w14:paraId="14AF087B"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Ongoing</w:t>
                  </w:r>
                </w:p>
              </w:tc>
              <w:tc>
                <w:tcPr>
                  <w:tcW w:w="1390" w:type="dxa"/>
                  <w:shd w:val="clear" w:color="auto" w:fill="auto"/>
                </w:tcPr>
                <w:p w14:paraId="19E50537" w14:textId="77777777" w:rsidR="00746DDF" w:rsidRPr="00670C74" w:rsidRDefault="00746DDF" w:rsidP="00746DDF">
                  <w:pPr>
                    <w:rPr>
                      <w:rFonts w:ascii="Arial" w:hAnsi="Arial" w:cs="Arial"/>
                      <w:sz w:val="20"/>
                      <w:szCs w:val="20"/>
                    </w:rPr>
                  </w:pPr>
                  <w:proofErr w:type="gramStart"/>
                  <w:r w:rsidRPr="00670C74">
                    <w:rPr>
                      <w:rFonts w:ascii="Arial" w:hAnsi="Arial" w:cs="Arial"/>
                      <w:sz w:val="20"/>
                      <w:szCs w:val="20"/>
                    </w:rPr>
                    <w:t>6-12 month</w:t>
                  </w:r>
                  <w:proofErr w:type="gramEnd"/>
                  <w:r w:rsidRPr="00670C74">
                    <w:rPr>
                      <w:rFonts w:ascii="Arial" w:hAnsi="Arial" w:cs="Arial"/>
                      <w:sz w:val="20"/>
                      <w:szCs w:val="20"/>
                    </w:rPr>
                    <w:t xml:space="preserve"> review</w:t>
                  </w:r>
                </w:p>
              </w:tc>
            </w:tr>
            <w:tr w:rsidR="00746DDF" w:rsidRPr="00843717" w14:paraId="34158F8B" w14:textId="77777777" w:rsidTr="002A2513">
              <w:tc>
                <w:tcPr>
                  <w:tcW w:w="1379" w:type="dxa"/>
                  <w:shd w:val="clear" w:color="auto" w:fill="auto"/>
                </w:tcPr>
                <w:p w14:paraId="36997F48" w14:textId="77777777" w:rsidR="00746DDF" w:rsidRPr="00670C74" w:rsidRDefault="00746DDF" w:rsidP="00746DDF">
                  <w:pPr>
                    <w:rPr>
                      <w:rFonts w:ascii="Arial" w:hAnsi="Arial" w:cs="Arial"/>
                      <w:sz w:val="20"/>
                      <w:szCs w:val="20"/>
                    </w:rPr>
                  </w:pPr>
                  <w:r w:rsidRPr="00670C74">
                    <w:rPr>
                      <w:rFonts w:ascii="Arial" w:hAnsi="Arial" w:cs="Arial"/>
                      <w:sz w:val="20"/>
                      <w:szCs w:val="20"/>
                    </w:rPr>
                    <w:t>FBC</w:t>
                  </w:r>
                </w:p>
              </w:tc>
              <w:tc>
                <w:tcPr>
                  <w:tcW w:w="1784" w:type="dxa"/>
                  <w:vMerge w:val="restart"/>
                  <w:shd w:val="clear" w:color="auto" w:fill="auto"/>
                </w:tcPr>
                <w:p w14:paraId="39B4C905" w14:textId="77777777" w:rsidR="00746DDF" w:rsidRPr="00670C74" w:rsidRDefault="00746DDF" w:rsidP="00746DDF">
                  <w:pPr>
                    <w:rPr>
                      <w:rFonts w:ascii="Arial" w:hAnsi="Arial" w:cs="Arial"/>
                      <w:sz w:val="20"/>
                      <w:szCs w:val="20"/>
                    </w:rPr>
                  </w:pPr>
                  <w:r w:rsidRPr="00670C74">
                    <w:rPr>
                      <w:rFonts w:ascii="Arial" w:hAnsi="Arial" w:cs="Arial"/>
                      <w:sz w:val="20"/>
                      <w:szCs w:val="20"/>
                    </w:rPr>
                    <w:t>Baseline and ongoing assessment, including dose adjustment to confirm safe to prescribe</w:t>
                  </w:r>
                </w:p>
              </w:tc>
              <w:tc>
                <w:tcPr>
                  <w:tcW w:w="1131" w:type="dxa"/>
                  <w:vMerge w:val="restart"/>
                  <w:shd w:val="clear" w:color="auto" w:fill="auto"/>
                </w:tcPr>
                <w:p w14:paraId="6790A9D1" w14:textId="77777777" w:rsidR="00746DDF" w:rsidRPr="00670C74" w:rsidRDefault="00746DDF" w:rsidP="00746DDF">
                  <w:pPr>
                    <w:jc w:val="center"/>
                    <w:rPr>
                      <w:rFonts w:ascii="Arial" w:hAnsi="Arial" w:cs="Arial"/>
                      <w:sz w:val="20"/>
                      <w:szCs w:val="20"/>
                    </w:rPr>
                  </w:pPr>
                </w:p>
                <w:p w14:paraId="33CFB16F"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tcPr>
                <w:p w14:paraId="41D6C87D" w14:textId="77777777" w:rsidR="00746DDF" w:rsidRPr="00670C74" w:rsidRDefault="00746DDF" w:rsidP="00746DDF">
                  <w:pPr>
                    <w:rPr>
                      <w:rFonts w:ascii="Arial" w:hAnsi="Arial" w:cs="Arial"/>
                      <w:sz w:val="20"/>
                      <w:szCs w:val="20"/>
                    </w:rPr>
                  </w:pPr>
                  <w:r w:rsidRPr="00670C74">
                    <w:rPr>
                      <w:rFonts w:ascii="Arial" w:hAnsi="Arial" w:cs="Arial"/>
                      <w:b/>
                      <w:sz w:val="20"/>
                      <w:szCs w:val="20"/>
                      <w:u w:val="single"/>
                    </w:rPr>
                    <w:t>Phase I monitoring*</w:t>
                  </w:r>
                  <w:r w:rsidRPr="00670C74">
                    <w:rPr>
                      <w:rFonts w:ascii="Arial" w:hAnsi="Arial" w:cs="Arial"/>
                      <w:sz w:val="20"/>
                      <w:szCs w:val="20"/>
                    </w:rPr>
                    <w:t xml:space="preserve"> Every 2 weeks until stable dose for 6 weeks</w:t>
                  </w:r>
                </w:p>
              </w:tc>
              <w:tc>
                <w:tcPr>
                  <w:tcW w:w="1534" w:type="dxa"/>
                  <w:vMerge w:val="restart"/>
                  <w:shd w:val="pct10" w:color="auto" w:fill="auto"/>
                </w:tcPr>
                <w:p w14:paraId="67D64317" w14:textId="77777777" w:rsidR="00746DDF" w:rsidRPr="009E4D84" w:rsidRDefault="00746DDF" w:rsidP="00746DDF">
                  <w:pPr>
                    <w:rPr>
                      <w:rFonts w:ascii="Arial" w:hAnsi="Arial" w:cs="Arial"/>
                      <w:b/>
                      <w:sz w:val="20"/>
                      <w:szCs w:val="20"/>
                      <w:u w:val="single"/>
                    </w:rPr>
                  </w:pPr>
                  <w:r w:rsidRPr="009E4D84">
                    <w:rPr>
                      <w:rFonts w:ascii="Arial" w:hAnsi="Arial" w:cs="Arial"/>
                      <w:b/>
                      <w:sz w:val="20"/>
                      <w:szCs w:val="20"/>
                      <w:u w:val="single"/>
                    </w:rPr>
                    <w:t>Phase II monitoring*</w:t>
                  </w:r>
                </w:p>
                <w:p w14:paraId="21D8C7D6" w14:textId="77777777" w:rsidR="00746DDF" w:rsidRPr="009E4D84" w:rsidRDefault="00746DDF" w:rsidP="00746DDF">
                  <w:pPr>
                    <w:rPr>
                      <w:rFonts w:ascii="Arial" w:hAnsi="Arial" w:cs="Arial"/>
                      <w:sz w:val="20"/>
                      <w:szCs w:val="20"/>
                    </w:rPr>
                  </w:pPr>
                  <w:r w:rsidRPr="009E4D84">
                    <w:rPr>
                      <w:rFonts w:ascii="Arial" w:hAnsi="Arial" w:cs="Arial"/>
                      <w:sz w:val="20"/>
                      <w:szCs w:val="20"/>
                    </w:rPr>
                    <w:t>Every 4 weeks for next 12 weeks</w:t>
                  </w:r>
                </w:p>
                <w:p w14:paraId="2B96B5B8" w14:textId="77777777" w:rsidR="00EA6396" w:rsidRPr="009E4D84" w:rsidRDefault="00EA6396" w:rsidP="00EA6396">
                  <w:pPr>
                    <w:rPr>
                      <w:rFonts w:ascii="Arial" w:eastAsiaTheme="minorHAnsi" w:hAnsi="Arial" w:cs="Arial"/>
                      <w:i/>
                      <w:sz w:val="20"/>
                      <w:szCs w:val="20"/>
                    </w:rPr>
                  </w:pPr>
                  <w:r w:rsidRPr="009E4D84">
                    <w:rPr>
                      <w:rFonts w:ascii="Arial" w:eastAsiaTheme="minorHAnsi" w:hAnsi="Arial" w:cs="Arial"/>
                      <w:i/>
                      <w:sz w:val="20"/>
                      <w:szCs w:val="20"/>
                    </w:rPr>
                    <w:t xml:space="preserve">Hospital specialist will undertake the </w:t>
                  </w:r>
                  <w:r w:rsidRPr="009E4D84">
                    <w:rPr>
                      <w:rFonts w:ascii="Arial" w:eastAsiaTheme="minorHAnsi" w:hAnsi="Arial" w:cs="Arial"/>
                      <w:i/>
                      <w:sz w:val="20"/>
                      <w:szCs w:val="20"/>
                    </w:rPr>
                    <w:lastRenderedPageBreak/>
                    <w:t>first 4-week test</w:t>
                  </w:r>
                </w:p>
                <w:p w14:paraId="14772799" w14:textId="7F4995F6" w:rsidR="00746DDF" w:rsidRPr="009E4D84" w:rsidRDefault="00EA6396" w:rsidP="00EA6396">
                  <w:pPr>
                    <w:rPr>
                      <w:rFonts w:ascii="Arial" w:hAnsi="Arial" w:cs="Arial"/>
                      <w:b/>
                      <w:i/>
                      <w:sz w:val="20"/>
                      <w:szCs w:val="20"/>
                      <w:u w:val="single"/>
                    </w:rPr>
                  </w:pPr>
                  <w:r w:rsidRPr="009E4D84">
                    <w:rPr>
                      <w:rFonts w:ascii="Arial" w:eastAsiaTheme="minorHAnsi" w:hAnsi="Arial" w:cs="Arial"/>
                      <w:i/>
                      <w:sz w:val="20"/>
                      <w:szCs w:val="20"/>
                    </w:rPr>
                    <w:t>GP will undertake the second and third 4-week test</w:t>
                  </w:r>
                </w:p>
              </w:tc>
              <w:tc>
                <w:tcPr>
                  <w:tcW w:w="1398" w:type="dxa"/>
                  <w:vMerge w:val="restart"/>
                  <w:shd w:val="pct10" w:color="auto" w:fill="auto"/>
                </w:tcPr>
                <w:p w14:paraId="3A36DDAB"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lastRenderedPageBreak/>
                    <w:t>Phase III monitoring*</w:t>
                  </w:r>
                </w:p>
                <w:p w14:paraId="65E2AEBA" w14:textId="77777777" w:rsidR="00746DDF" w:rsidRPr="00670C74" w:rsidRDefault="00746DDF" w:rsidP="00746DDF">
                  <w:pPr>
                    <w:rPr>
                      <w:rFonts w:ascii="Arial" w:hAnsi="Arial" w:cs="Arial"/>
                      <w:sz w:val="20"/>
                      <w:szCs w:val="20"/>
                    </w:rPr>
                  </w:pPr>
                  <w:r w:rsidRPr="00670C74">
                    <w:rPr>
                      <w:rFonts w:ascii="Arial" w:hAnsi="Arial" w:cs="Arial"/>
                      <w:sz w:val="20"/>
                      <w:szCs w:val="20"/>
                    </w:rPr>
                    <w:t>Every 12 weeks</w:t>
                  </w:r>
                </w:p>
              </w:tc>
              <w:tc>
                <w:tcPr>
                  <w:tcW w:w="1390" w:type="dxa"/>
                  <w:vMerge w:val="restart"/>
                  <w:shd w:val="clear" w:color="auto" w:fill="auto"/>
                </w:tcPr>
                <w:p w14:paraId="44560BF5" w14:textId="77777777" w:rsidR="00746DDF" w:rsidRPr="00670C74" w:rsidRDefault="00746DDF" w:rsidP="00746DDF">
                  <w:pPr>
                    <w:rPr>
                      <w:rFonts w:ascii="Arial" w:hAnsi="Arial" w:cs="Arial"/>
                      <w:sz w:val="20"/>
                      <w:szCs w:val="20"/>
                    </w:rPr>
                  </w:pPr>
                  <w:r w:rsidRPr="00670C74">
                    <w:rPr>
                      <w:rFonts w:ascii="Arial" w:hAnsi="Arial" w:cs="Arial"/>
                      <w:sz w:val="20"/>
                      <w:szCs w:val="20"/>
                    </w:rPr>
                    <w:t>As part of review or as clinically indicated</w:t>
                  </w:r>
                </w:p>
              </w:tc>
            </w:tr>
            <w:tr w:rsidR="00746DDF" w:rsidRPr="00843717" w14:paraId="299CE414" w14:textId="77777777" w:rsidTr="002A2513">
              <w:tc>
                <w:tcPr>
                  <w:tcW w:w="1379" w:type="dxa"/>
                  <w:shd w:val="clear" w:color="auto" w:fill="auto"/>
                </w:tcPr>
                <w:p w14:paraId="3A30A3A9" w14:textId="77777777" w:rsidR="00746DDF" w:rsidRPr="00670C74" w:rsidRDefault="00746DDF" w:rsidP="00746DDF">
                  <w:pPr>
                    <w:rPr>
                      <w:rFonts w:ascii="Arial" w:hAnsi="Arial" w:cs="Arial"/>
                      <w:sz w:val="20"/>
                      <w:szCs w:val="20"/>
                    </w:rPr>
                  </w:pPr>
                  <w:r w:rsidRPr="00670C74">
                    <w:rPr>
                      <w:rFonts w:ascii="Arial" w:hAnsi="Arial" w:cs="Arial"/>
                      <w:sz w:val="20"/>
                      <w:szCs w:val="20"/>
                    </w:rPr>
                    <w:t>LFTs, Albumin</w:t>
                  </w:r>
                </w:p>
              </w:tc>
              <w:tc>
                <w:tcPr>
                  <w:tcW w:w="1784" w:type="dxa"/>
                  <w:vMerge/>
                  <w:shd w:val="clear" w:color="auto" w:fill="auto"/>
                </w:tcPr>
                <w:p w14:paraId="77034DE7" w14:textId="77777777" w:rsidR="00746DDF" w:rsidRPr="00670C74" w:rsidRDefault="00746DDF" w:rsidP="00746DDF">
                  <w:pPr>
                    <w:rPr>
                      <w:rFonts w:ascii="Arial" w:hAnsi="Arial" w:cs="Arial"/>
                      <w:sz w:val="20"/>
                      <w:szCs w:val="20"/>
                    </w:rPr>
                  </w:pPr>
                </w:p>
              </w:tc>
              <w:tc>
                <w:tcPr>
                  <w:tcW w:w="1131" w:type="dxa"/>
                  <w:vMerge/>
                  <w:shd w:val="clear" w:color="auto" w:fill="auto"/>
                </w:tcPr>
                <w:p w14:paraId="54D08A02" w14:textId="77777777" w:rsidR="00746DDF" w:rsidRPr="00670C74" w:rsidRDefault="00746DDF" w:rsidP="00746DDF">
                  <w:pPr>
                    <w:rPr>
                      <w:rFonts w:ascii="Arial" w:hAnsi="Arial" w:cs="Arial"/>
                      <w:sz w:val="20"/>
                      <w:szCs w:val="20"/>
                    </w:rPr>
                  </w:pPr>
                </w:p>
              </w:tc>
              <w:tc>
                <w:tcPr>
                  <w:tcW w:w="1384" w:type="dxa"/>
                  <w:vMerge/>
                  <w:shd w:val="clear" w:color="auto" w:fill="auto"/>
                </w:tcPr>
                <w:p w14:paraId="5F4B4890" w14:textId="77777777" w:rsidR="00746DDF" w:rsidRPr="00670C74" w:rsidRDefault="00746DDF" w:rsidP="00746DDF">
                  <w:pPr>
                    <w:rPr>
                      <w:rFonts w:ascii="Arial" w:hAnsi="Arial" w:cs="Arial"/>
                      <w:sz w:val="20"/>
                      <w:szCs w:val="20"/>
                    </w:rPr>
                  </w:pPr>
                </w:p>
              </w:tc>
              <w:tc>
                <w:tcPr>
                  <w:tcW w:w="1534" w:type="dxa"/>
                  <w:vMerge/>
                  <w:shd w:val="pct10" w:color="auto" w:fill="auto"/>
                </w:tcPr>
                <w:p w14:paraId="662BB458" w14:textId="77777777" w:rsidR="00746DDF" w:rsidRPr="00670C74" w:rsidRDefault="00746DDF" w:rsidP="00746DDF">
                  <w:pPr>
                    <w:rPr>
                      <w:rFonts w:ascii="Arial" w:hAnsi="Arial" w:cs="Arial"/>
                      <w:sz w:val="20"/>
                      <w:szCs w:val="20"/>
                    </w:rPr>
                  </w:pPr>
                </w:p>
              </w:tc>
              <w:tc>
                <w:tcPr>
                  <w:tcW w:w="1398" w:type="dxa"/>
                  <w:vMerge/>
                  <w:shd w:val="pct10" w:color="auto" w:fill="auto"/>
                </w:tcPr>
                <w:p w14:paraId="35B293B9" w14:textId="77777777" w:rsidR="00746DDF" w:rsidRPr="00670C74" w:rsidRDefault="00746DDF" w:rsidP="00746DDF">
                  <w:pPr>
                    <w:rPr>
                      <w:rFonts w:ascii="Arial" w:hAnsi="Arial" w:cs="Arial"/>
                      <w:sz w:val="20"/>
                      <w:szCs w:val="20"/>
                    </w:rPr>
                  </w:pPr>
                </w:p>
              </w:tc>
              <w:tc>
                <w:tcPr>
                  <w:tcW w:w="1390" w:type="dxa"/>
                  <w:vMerge/>
                  <w:shd w:val="clear" w:color="auto" w:fill="auto"/>
                </w:tcPr>
                <w:p w14:paraId="1ED9EE6F" w14:textId="77777777" w:rsidR="00746DDF" w:rsidRPr="00670C74" w:rsidRDefault="00746DDF" w:rsidP="00746DDF">
                  <w:pPr>
                    <w:rPr>
                      <w:rFonts w:ascii="Arial" w:hAnsi="Arial" w:cs="Arial"/>
                      <w:sz w:val="20"/>
                      <w:szCs w:val="20"/>
                    </w:rPr>
                  </w:pPr>
                </w:p>
              </w:tc>
            </w:tr>
            <w:tr w:rsidR="00746DDF" w:rsidRPr="00843717" w14:paraId="5B560520" w14:textId="77777777" w:rsidTr="002A2513">
              <w:tc>
                <w:tcPr>
                  <w:tcW w:w="1379" w:type="dxa"/>
                  <w:shd w:val="clear" w:color="auto" w:fill="auto"/>
                </w:tcPr>
                <w:p w14:paraId="02E69F3F" w14:textId="77777777" w:rsidR="00746DDF" w:rsidRPr="00670C74" w:rsidRDefault="00746DDF" w:rsidP="00746DDF">
                  <w:pPr>
                    <w:rPr>
                      <w:rFonts w:ascii="Arial" w:hAnsi="Arial" w:cs="Arial"/>
                      <w:sz w:val="20"/>
                      <w:szCs w:val="20"/>
                    </w:rPr>
                  </w:pPr>
                  <w:r w:rsidRPr="00670C74">
                    <w:rPr>
                      <w:rFonts w:ascii="Arial" w:hAnsi="Arial" w:cs="Arial"/>
                      <w:sz w:val="20"/>
                      <w:szCs w:val="20"/>
                    </w:rPr>
                    <w:t>U&amp;Es, eGFR</w:t>
                  </w:r>
                </w:p>
              </w:tc>
              <w:tc>
                <w:tcPr>
                  <w:tcW w:w="1784" w:type="dxa"/>
                  <w:vMerge/>
                  <w:shd w:val="clear" w:color="auto" w:fill="auto"/>
                </w:tcPr>
                <w:p w14:paraId="6477EE67" w14:textId="77777777" w:rsidR="00746DDF" w:rsidRPr="00670C74" w:rsidRDefault="00746DDF" w:rsidP="00746DDF">
                  <w:pPr>
                    <w:rPr>
                      <w:rFonts w:ascii="Arial" w:hAnsi="Arial" w:cs="Arial"/>
                      <w:sz w:val="20"/>
                      <w:szCs w:val="20"/>
                    </w:rPr>
                  </w:pPr>
                </w:p>
              </w:tc>
              <w:tc>
                <w:tcPr>
                  <w:tcW w:w="1131" w:type="dxa"/>
                  <w:vMerge/>
                  <w:shd w:val="clear" w:color="auto" w:fill="auto"/>
                </w:tcPr>
                <w:p w14:paraId="6801E04D" w14:textId="77777777" w:rsidR="00746DDF" w:rsidRPr="00670C74" w:rsidRDefault="00746DDF" w:rsidP="00746DDF">
                  <w:pPr>
                    <w:rPr>
                      <w:rFonts w:ascii="Arial" w:hAnsi="Arial" w:cs="Arial"/>
                      <w:sz w:val="20"/>
                      <w:szCs w:val="20"/>
                    </w:rPr>
                  </w:pPr>
                </w:p>
              </w:tc>
              <w:tc>
                <w:tcPr>
                  <w:tcW w:w="1384" w:type="dxa"/>
                  <w:vMerge/>
                  <w:shd w:val="clear" w:color="auto" w:fill="auto"/>
                </w:tcPr>
                <w:p w14:paraId="2B06D69F" w14:textId="77777777" w:rsidR="00746DDF" w:rsidRPr="00670C74" w:rsidRDefault="00746DDF" w:rsidP="00746DDF">
                  <w:pPr>
                    <w:rPr>
                      <w:rFonts w:ascii="Arial" w:hAnsi="Arial" w:cs="Arial"/>
                      <w:sz w:val="20"/>
                      <w:szCs w:val="20"/>
                    </w:rPr>
                  </w:pPr>
                </w:p>
              </w:tc>
              <w:tc>
                <w:tcPr>
                  <w:tcW w:w="1534" w:type="dxa"/>
                  <w:vMerge/>
                  <w:shd w:val="pct10" w:color="auto" w:fill="auto"/>
                </w:tcPr>
                <w:p w14:paraId="406453C6" w14:textId="77777777" w:rsidR="00746DDF" w:rsidRPr="00670C74" w:rsidRDefault="00746DDF" w:rsidP="00746DDF">
                  <w:pPr>
                    <w:rPr>
                      <w:rFonts w:ascii="Arial" w:hAnsi="Arial" w:cs="Arial"/>
                      <w:sz w:val="20"/>
                      <w:szCs w:val="20"/>
                    </w:rPr>
                  </w:pPr>
                </w:p>
              </w:tc>
              <w:tc>
                <w:tcPr>
                  <w:tcW w:w="1398" w:type="dxa"/>
                  <w:vMerge/>
                  <w:shd w:val="pct10" w:color="auto" w:fill="auto"/>
                </w:tcPr>
                <w:p w14:paraId="63EEADBE" w14:textId="77777777" w:rsidR="00746DDF" w:rsidRPr="00670C74" w:rsidRDefault="00746DDF" w:rsidP="00746DDF">
                  <w:pPr>
                    <w:rPr>
                      <w:rFonts w:ascii="Arial" w:hAnsi="Arial" w:cs="Arial"/>
                      <w:sz w:val="20"/>
                      <w:szCs w:val="20"/>
                    </w:rPr>
                  </w:pPr>
                </w:p>
              </w:tc>
              <w:tc>
                <w:tcPr>
                  <w:tcW w:w="1390" w:type="dxa"/>
                  <w:vMerge/>
                  <w:shd w:val="clear" w:color="auto" w:fill="auto"/>
                </w:tcPr>
                <w:p w14:paraId="568C318E" w14:textId="77777777" w:rsidR="00746DDF" w:rsidRPr="00670C74" w:rsidRDefault="00746DDF" w:rsidP="00746DDF">
                  <w:pPr>
                    <w:rPr>
                      <w:rFonts w:ascii="Arial" w:hAnsi="Arial" w:cs="Arial"/>
                      <w:sz w:val="20"/>
                      <w:szCs w:val="20"/>
                    </w:rPr>
                  </w:pPr>
                </w:p>
              </w:tc>
            </w:tr>
            <w:tr w:rsidR="009E4D84" w:rsidRPr="00843717" w14:paraId="4A7CC9E9" w14:textId="77777777" w:rsidTr="009E4D84">
              <w:tc>
                <w:tcPr>
                  <w:tcW w:w="1379" w:type="dxa"/>
                  <w:shd w:val="clear" w:color="auto" w:fill="auto"/>
                </w:tcPr>
                <w:p w14:paraId="0E0F9616" w14:textId="77777777" w:rsidR="009E4D84" w:rsidRPr="00670C74" w:rsidRDefault="009E4D84" w:rsidP="00746DDF">
                  <w:pPr>
                    <w:rPr>
                      <w:rFonts w:ascii="Arial" w:hAnsi="Arial" w:cs="Arial"/>
                      <w:sz w:val="20"/>
                      <w:szCs w:val="20"/>
                    </w:rPr>
                  </w:pPr>
                  <w:r w:rsidRPr="00670C74">
                    <w:rPr>
                      <w:rFonts w:ascii="Arial" w:hAnsi="Arial" w:cs="Arial"/>
                      <w:sz w:val="20"/>
                      <w:szCs w:val="20"/>
                    </w:rPr>
                    <w:t xml:space="preserve">ESR/CRP </w:t>
                  </w:r>
                </w:p>
              </w:tc>
              <w:tc>
                <w:tcPr>
                  <w:tcW w:w="1784" w:type="dxa"/>
                  <w:shd w:val="clear" w:color="auto" w:fill="auto"/>
                </w:tcPr>
                <w:p w14:paraId="06FD8E55" w14:textId="77777777" w:rsidR="009E4D84" w:rsidRPr="00670C74" w:rsidRDefault="009E4D84" w:rsidP="00746DDF">
                  <w:pPr>
                    <w:rPr>
                      <w:rFonts w:ascii="Arial" w:hAnsi="Arial" w:cs="Arial"/>
                      <w:sz w:val="20"/>
                      <w:szCs w:val="20"/>
                    </w:rPr>
                  </w:pPr>
                  <w:r w:rsidRPr="00670C74">
                    <w:rPr>
                      <w:rFonts w:ascii="Arial" w:hAnsi="Arial" w:cs="Arial"/>
                      <w:sz w:val="20"/>
                      <w:szCs w:val="20"/>
                    </w:rPr>
                    <w:t>Disease activity scoring</w:t>
                  </w:r>
                </w:p>
              </w:tc>
              <w:tc>
                <w:tcPr>
                  <w:tcW w:w="1131" w:type="dxa"/>
                  <w:shd w:val="clear" w:color="auto" w:fill="auto"/>
                </w:tcPr>
                <w:p w14:paraId="4849F92B" w14:textId="77777777" w:rsidR="009E4D84" w:rsidRPr="00670C74" w:rsidRDefault="009E4D84" w:rsidP="00746DDF">
                  <w:pPr>
                    <w:jc w:val="center"/>
                    <w:rPr>
                      <w:rFonts w:ascii="Arial" w:hAnsi="Arial" w:cs="Arial"/>
                      <w:sz w:val="20"/>
                      <w:szCs w:val="20"/>
                    </w:rPr>
                  </w:pPr>
                </w:p>
                <w:p w14:paraId="58E8B97E"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w:t>
                  </w:r>
                </w:p>
              </w:tc>
              <w:tc>
                <w:tcPr>
                  <w:tcW w:w="1384" w:type="dxa"/>
                  <w:shd w:val="clear" w:color="auto" w:fill="auto"/>
                </w:tcPr>
                <w:p w14:paraId="7320EC90"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Every 4 - 12 weeks</w:t>
                  </w:r>
                </w:p>
              </w:tc>
              <w:tc>
                <w:tcPr>
                  <w:tcW w:w="1534" w:type="dxa"/>
                  <w:vMerge w:val="restart"/>
                  <w:vAlign w:val="center"/>
                </w:tcPr>
                <w:p w14:paraId="4D1AABB7" w14:textId="77777777" w:rsidR="009E4D84" w:rsidRPr="00670C74" w:rsidRDefault="009E4D84" w:rsidP="009E4D84">
                  <w:pPr>
                    <w:rPr>
                      <w:rFonts w:ascii="Arial" w:hAnsi="Arial" w:cs="Arial"/>
                      <w:sz w:val="20"/>
                      <w:szCs w:val="20"/>
                    </w:rPr>
                  </w:pPr>
                </w:p>
                <w:p w14:paraId="133A7BF3" w14:textId="77777777" w:rsidR="009E4D84" w:rsidRPr="00670C74" w:rsidRDefault="009E4D84" w:rsidP="009E4D84">
                  <w:pPr>
                    <w:jc w:val="center"/>
                    <w:rPr>
                      <w:rFonts w:ascii="Arial" w:hAnsi="Arial" w:cs="Arial"/>
                      <w:sz w:val="20"/>
                      <w:szCs w:val="20"/>
                    </w:rPr>
                  </w:pPr>
                </w:p>
                <w:p w14:paraId="45B1E568" w14:textId="77777777" w:rsidR="009E4D84" w:rsidRPr="00670C74" w:rsidRDefault="009E4D84" w:rsidP="009E4D84">
                  <w:pPr>
                    <w:jc w:val="center"/>
                    <w:rPr>
                      <w:rFonts w:ascii="Arial" w:hAnsi="Arial" w:cs="Arial"/>
                      <w:sz w:val="20"/>
                      <w:szCs w:val="20"/>
                    </w:rPr>
                  </w:pPr>
                </w:p>
                <w:p w14:paraId="54BA8F3C" w14:textId="77777777" w:rsidR="009E4D84" w:rsidRPr="00670C74" w:rsidRDefault="009E4D84" w:rsidP="009E4D84">
                  <w:pPr>
                    <w:jc w:val="center"/>
                    <w:rPr>
                      <w:rFonts w:ascii="Arial" w:hAnsi="Arial" w:cs="Arial"/>
                      <w:sz w:val="20"/>
                      <w:szCs w:val="20"/>
                    </w:rPr>
                  </w:pPr>
                </w:p>
                <w:p w14:paraId="1415E371" w14:textId="77777777" w:rsidR="009E4D84" w:rsidRPr="00670C74" w:rsidRDefault="009E4D84" w:rsidP="009E4D84">
                  <w:pPr>
                    <w:jc w:val="center"/>
                    <w:rPr>
                      <w:rFonts w:ascii="Arial" w:hAnsi="Arial" w:cs="Arial"/>
                      <w:sz w:val="20"/>
                      <w:szCs w:val="20"/>
                    </w:rPr>
                  </w:pPr>
                </w:p>
                <w:p w14:paraId="26C31615" w14:textId="5FC4CACD"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398" w:type="dxa"/>
                  <w:shd w:val="clear" w:color="auto" w:fill="D9D9D9" w:themeFill="background1" w:themeFillShade="D9"/>
                </w:tcPr>
                <w:p w14:paraId="2532E7AA" w14:textId="4463FF2F" w:rsidR="009E4D84" w:rsidRPr="00670C74" w:rsidRDefault="009E4D84" w:rsidP="009E4D84">
                  <w:pPr>
                    <w:jc w:val="center"/>
                    <w:rPr>
                      <w:rFonts w:ascii="Arial" w:hAnsi="Arial" w:cs="Arial"/>
                      <w:sz w:val="20"/>
                      <w:szCs w:val="20"/>
                    </w:rPr>
                  </w:pPr>
                  <w:r w:rsidRPr="00670C74">
                    <w:rPr>
                      <w:rFonts w:ascii="Arial" w:hAnsi="Arial" w:cs="Arial"/>
                      <w:sz w:val="20"/>
                      <w:szCs w:val="20"/>
                    </w:rPr>
                    <w:t>Every 12 weeks on advice of specialist</w:t>
                  </w:r>
                </w:p>
              </w:tc>
              <w:tc>
                <w:tcPr>
                  <w:tcW w:w="1390" w:type="dxa"/>
                  <w:vMerge/>
                  <w:shd w:val="clear" w:color="auto" w:fill="auto"/>
                </w:tcPr>
                <w:p w14:paraId="2CEE3BE7" w14:textId="77777777" w:rsidR="009E4D84" w:rsidRPr="00670C74" w:rsidRDefault="009E4D84" w:rsidP="00746DDF">
                  <w:pPr>
                    <w:rPr>
                      <w:rFonts w:ascii="Arial" w:hAnsi="Arial" w:cs="Arial"/>
                      <w:sz w:val="20"/>
                      <w:szCs w:val="20"/>
                    </w:rPr>
                  </w:pPr>
                </w:p>
              </w:tc>
            </w:tr>
            <w:tr w:rsidR="009E4D84" w:rsidRPr="00843717" w14:paraId="3DBF5C29" w14:textId="77777777" w:rsidTr="009E4D84">
              <w:tc>
                <w:tcPr>
                  <w:tcW w:w="1379" w:type="dxa"/>
                  <w:shd w:val="clear" w:color="auto" w:fill="auto"/>
                </w:tcPr>
                <w:p w14:paraId="305AC3F1" w14:textId="77777777" w:rsidR="009E4D84" w:rsidRPr="00670C74" w:rsidRDefault="009E4D84" w:rsidP="00746DDF">
                  <w:pPr>
                    <w:rPr>
                      <w:rFonts w:ascii="Arial" w:hAnsi="Arial" w:cs="Arial"/>
                      <w:sz w:val="20"/>
                      <w:szCs w:val="20"/>
                    </w:rPr>
                  </w:pPr>
                  <w:r w:rsidRPr="00670C74">
                    <w:rPr>
                      <w:rFonts w:ascii="Arial" w:hAnsi="Arial" w:cs="Arial"/>
                      <w:sz w:val="20"/>
                      <w:szCs w:val="20"/>
                    </w:rPr>
                    <w:t>Height &amp; weight</w:t>
                  </w:r>
                </w:p>
                <w:p w14:paraId="251BB54A" w14:textId="77777777" w:rsidR="009E4D84" w:rsidRPr="00670C74" w:rsidRDefault="009E4D84" w:rsidP="00746DDF">
                  <w:pPr>
                    <w:rPr>
                      <w:rFonts w:ascii="Arial" w:hAnsi="Arial" w:cs="Arial"/>
                      <w:sz w:val="20"/>
                      <w:szCs w:val="20"/>
                    </w:rPr>
                  </w:pPr>
                  <w:r w:rsidRPr="00670C74">
                    <w:rPr>
                      <w:rFonts w:ascii="Arial" w:hAnsi="Arial" w:cs="Arial"/>
                      <w:sz w:val="20"/>
                      <w:szCs w:val="20"/>
                    </w:rPr>
                    <w:t>Blood pressure</w:t>
                  </w:r>
                </w:p>
              </w:tc>
              <w:tc>
                <w:tcPr>
                  <w:tcW w:w="1784" w:type="dxa"/>
                  <w:shd w:val="clear" w:color="auto" w:fill="auto"/>
                </w:tcPr>
                <w:p w14:paraId="3306AF53" w14:textId="77777777" w:rsidR="009E4D84" w:rsidRPr="00670C74" w:rsidRDefault="009E4D84" w:rsidP="00746DDF">
                  <w:pPr>
                    <w:rPr>
                      <w:rFonts w:ascii="Arial" w:hAnsi="Arial" w:cs="Arial"/>
                      <w:sz w:val="20"/>
                      <w:szCs w:val="20"/>
                    </w:rPr>
                  </w:pPr>
                  <w:r w:rsidRPr="00670C74">
                    <w:rPr>
                      <w:rFonts w:ascii="Arial" w:hAnsi="Arial" w:cs="Arial"/>
                      <w:sz w:val="20"/>
                      <w:szCs w:val="20"/>
                    </w:rPr>
                    <w:t xml:space="preserve">Baseline assessment </w:t>
                  </w:r>
                </w:p>
              </w:tc>
              <w:tc>
                <w:tcPr>
                  <w:tcW w:w="1131" w:type="dxa"/>
                  <w:shd w:val="clear" w:color="auto" w:fill="auto"/>
                </w:tcPr>
                <w:p w14:paraId="2280DC05" w14:textId="77777777" w:rsidR="009E4D84" w:rsidRPr="00670C74" w:rsidRDefault="009E4D84" w:rsidP="00746DDF">
                  <w:pPr>
                    <w:jc w:val="center"/>
                    <w:rPr>
                      <w:rFonts w:ascii="Arial" w:hAnsi="Arial" w:cs="Arial"/>
                      <w:sz w:val="20"/>
                      <w:szCs w:val="20"/>
                    </w:rPr>
                  </w:pPr>
                </w:p>
                <w:p w14:paraId="44856FA0"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vAlign w:val="center"/>
                </w:tcPr>
                <w:p w14:paraId="7665AE5E" w14:textId="3167AD54"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534" w:type="dxa"/>
                  <w:vMerge/>
                  <w:vAlign w:val="center"/>
                </w:tcPr>
                <w:p w14:paraId="35DF3B0B" w14:textId="4E6A517B" w:rsidR="009E4D84" w:rsidRPr="00670C74" w:rsidRDefault="009E4D84" w:rsidP="009E4D84">
                  <w:pPr>
                    <w:jc w:val="center"/>
                    <w:rPr>
                      <w:rFonts w:ascii="Arial" w:hAnsi="Arial" w:cs="Arial"/>
                      <w:sz w:val="20"/>
                      <w:szCs w:val="20"/>
                    </w:rPr>
                  </w:pPr>
                </w:p>
              </w:tc>
              <w:tc>
                <w:tcPr>
                  <w:tcW w:w="1398" w:type="dxa"/>
                  <w:vMerge w:val="restart"/>
                  <w:shd w:val="clear" w:color="auto" w:fill="D9D9D9" w:themeFill="background1" w:themeFillShade="D9"/>
                  <w:vAlign w:val="center"/>
                </w:tcPr>
                <w:p w14:paraId="7B5A25CC" w14:textId="01DB3C90"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390" w:type="dxa"/>
                  <w:vMerge w:val="restart"/>
                  <w:shd w:val="clear" w:color="auto" w:fill="auto"/>
                  <w:vAlign w:val="center"/>
                </w:tcPr>
                <w:p w14:paraId="5050905F" w14:textId="77777777" w:rsidR="009E4D84" w:rsidRPr="00670C74" w:rsidRDefault="009E4D84" w:rsidP="009E4D84">
                  <w:pPr>
                    <w:jc w:val="center"/>
                    <w:rPr>
                      <w:rFonts w:ascii="Arial" w:hAnsi="Arial" w:cs="Arial"/>
                      <w:sz w:val="20"/>
                      <w:szCs w:val="20"/>
                    </w:rPr>
                  </w:pPr>
                  <w:r w:rsidRPr="00670C74">
                    <w:rPr>
                      <w:rFonts w:ascii="Arial" w:hAnsi="Arial" w:cs="Arial"/>
                      <w:sz w:val="20"/>
                      <w:szCs w:val="20"/>
                    </w:rPr>
                    <w:t>If clinically indicated</w:t>
                  </w:r>
                </w:p>
              </w:tc>
            </w:tr>
            <w:tr w:rsidR="009E4D84" w:rsidRPr="00843717" w14:paraId="429A9047" w14:textId="77777777" w:rsidTr="009E4D84">
              <w:tc>
                <w:tcPr>
                  <w:tcW w:w="1379" w:type="dxa"/>
                  <w:shd w:val="clear" w:color="auto" w:fill="auto"/>
                </w:tcPr>
                <w:p w14:paraId="713F6DF4" w14:textId="77777777" w:rsidR="009E4D84" w:rsidRPr="00670C74" w:rsidRDefault="009E4D84" w:rsidP="00980660">
                  <w:pPr>
                    <w:rPr>
                      <w:rFonts w:ascii="Arial" w:hAnsi="Arial" w:cs="Arial"/>
                      <w:sz w:val="20"/>
                      <w:szCs w:val="20"/>
                    </w:rPr>
                  </w:pPr>
                  <w:r w:rsidRPr="00670C74">
                    <w:rPr>
                      <w:rFonts w:ascii="Arial" w:hAnsi="Arial" w:cs="Arial"/>
                      <w:sz w:val="20"/>
                      <w:szCs w:val="20"/>
                    </w:rPr>
                    <w:t xml:space="preserve">Hepatitis B, C  </w:t>
                  </w:r>
                </w:p>
                <w:p w14:paraId="296A1A69" w14:textId="77777777" w:rsidR="009E4D84" w:rsidRPr="00670C74" w:rsidRDefault="009E4D84" w:rsidP="00980660">
                  <w:pPr>
                    <w:rPr>
                      <w:rFonts w:ascii="Arial" w:hAnsi="Arial" w:cs="Arial"/>
                      <w:sz w:val="20"/>
                      <w:szCs w:val="20"/>
                    </w:rPr>
                  </w:pPr>
                  <w:r w:rsidRPr="00670C74">
                    <w:rPr>
                      <w:rFonts w:ascii="Arial" w:hAnsi="Arial" w:cs="Arial"/>
                      <w:sz w:val="20"/>
                      <w:szCs w:val="20"/>
                    </w:rPr>
                    <w:t>HIV</w:t>
                  </w:r>
                </w:p>
                <w:p w14:paraId="6683EFDB" w14:textId="45E5D24A" w:rsidR="009E4D84" w:rsidRPr="00670C74" w:rsidRDefault="009E4D84" w:rsidP="00980660">
                  <w:pPr>
                    <w:rPr>
                      <w:rFonts w:ascii="Arial" w:hAnsi="Arial" w:cs="Arial"/>
                      <w:sz w:val="20"/>
                      <w:szCs w:val="20"/>
                    </w:rPr>
                  </w:pPr>
                  <w:r w:rsidRPr="00670C74">
                    <w:rPr>
                      <w:rFonts w:ascii="Arial" w:hAnsi="Arial" w:cs="Arial"/>
                      <w:sz w:val="20"/>
                      <w:szCs w:val="20"/>
                    </w:rPr>
                    <w:t xml:space="preserve">VZV </w:t>
                  </w:r>
                  <w:r>
                    <w:rPr>
                      <w:rFonts w:ascii="Arial" w:hAnsi="Arial" w:cs="Arial"/>
                      <w:sz w:val="20"/>
                      <w:szCs w:val="20"/>
                    </w:rPr>
                    <w:t>s</w:t>
                  </w:r>
                  <w:r w:rsidRPr="00670C74">
                    <w:rPr>
                      <w:rFonts w:ascii="Arial" w:hAnsi="Arial" w:cs="Arial"/>
                      <w:sz w:val="20"/>
                      <w:szCs w:val="20"/>
                    </w:rPr>
                    <w:t>erology</w:t>
                  </w:r>
                </w:p>
              </w:tc>
              <w:tc>
                <w:tcPr>
                  <w:tcW w:w="1784" w:type="dxa"/>
                  <w:vMerge w:val="restart"/>
                  <w:shd w:val="clear" w:color="auto" w:fill="auto"/>
                </w:tcPr>
                <w:p w14:paraId="6E9589DC" w14:textId="77777777" w:rsidR="009E4D84" w:rsidRPr="00670C74" w:rsidRDefault="009E4D84" w:rsidP="00980660">
                  <w:pPr>
                    <w:rPr>
                      <w:rFonts w:ascii="Arial" w:hAnsi="Arial" w:cs="Arial"/>
                      <w:sz w:val="20"/>
                      <w:szCs w:val="20"/>
                    </w:rPr>
                  </w:pPr>
                  <w:r w:rsidRPr="00670C74">
                    <w:rPr>
                      <w:rFonts w:ascii="Arial" w:hAnsi="Arial" w:cs="Arial"/>
                      <w:sz w:val="20"/>
                      <w:szCs w:val="20"/>
                    </w:rPr>
                    <w:t>Baseline assessment, viral, respiratory and TB screening</w:t>
                  </w:r>
                </w:p>
              </w:tc>
              <w:tc>
                <w:tcPr>
                  <w:tcW w:w="1131" w:type="dxa"/>
                  <w:vMerge w:val="restart"/>
                  <w:shd w:val="clear" w:color="auto" w:fill="auto"/>
                </w:tcPr>
                <w:p w14:paraId="79D6ACF0" w14:textId="77777777" w:rsidR="009E4D84" w:rsidRPr="00670C74" w:rsidRDefault="009E4D84" w:rsidP="00980660">
                  <w:pPr>
                    <w:jc w:val="center"/>
                    <w:rPr>
                      <w:rFonts w:ascii="Arial" w:hAnsi="Arial" w:cs="Arial"/>
                      <w:sz w:val="20"/>
                      <w:szCs w:val="20"/>
                    </w:rPr>
                  </w:pPr>
                </w:p>
                <w:p w14:paraId="3BB5624F"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If clinically indicated</w:t>
                  </w:r>
                </w:p>
              </w:tc>
              <w:tc>
                <w:tcPr>
                  <w:tcW w:w="1384" w:type="dxa"/>
                  <w:vMerge/>
                  <w:shd w:val="clear" w:color="auto" w:fill="auto"/>
                </w:tcPr>
                <w:p w14:paraId="38893290" w14:textId="3DF31489" w:rsidR="009E4D84" w:rsidRPr="00670C74" w:rsidRDefault="009E4D84" w:rsidP="00980660">
                  <w:pPr>
                    <w:rPr>
                      <w:rFonts w:ascii="Arial" w:hAnsi="Arial" w:cs="Arial"/>
                      <w:sz w:val="20"/>
                      <w:szCs w:val="20"/>
                    </w:rPr>
                  </w:pPr>
                </w:p>
              </w:tc>
              <w:tc>
                <w:tcPr>
                  <w:tcW w:w="1534" w:type="dxa"/>
                  <w:vMerge/>
                  <w:vAlign w:val="center"/>
                </w:tcPr>
                <w:p w14:paraId="02658B31" w14:textId="60DD5A27" w:rsidR="009E4D84" w:rsidRPr="00670C74" w:rsidRDefault="009E4D84" w:rsidP="009E4D84">
                  <w:pPr>
                    <w:jc w:val="center"/>
                    <w:rPr>
                      <w:rFonts w:ascii="Arial" w:hAnsi="Arial" w:cs="Arial"/>
                      <w:sz w:val="20"/>
                      <w:szCs w:val="20"/>
                    </w:rPr>
                  </w:pPr>
                </w:p>
              </w:tc>
              <w:tc>
                <w:tcPr>
                  <w:tcW w:w="1398" w:type="dxa"/>
                  <w:vMerge/>
                  <w:shd w:val="clear" w:color="auto" w:fill="D9D9D9" w:themeFill="background1" w:themeFillShade="D9"/>
                </w:tcPr>
                <w:p w14:paraId="0C999837" w14:textId="55C1AB73" w:rsidR="009E4D84" w:rsidRPr="00670C74" w:rsidRDefault="009E4D84" w:rsidP="00980660">
                  <w:pPr>
                    <w:rPr>
                      <w:rFonts w:ascii="Arial" w:hAnsi="Arial" w:cs="Arial"/>
                      <w:sz w:val="20"/>
                      <w:szCs w:val="20"/>
                    </w:rPr>
                  </w:pPr>
                </w:p>
              </w:tc>
              <w:tc>
                <w:tcPr>
                  <w:tcW w:w="1390" w:type="dxa"/>
                  <w:vMerge/>
                  <w:shd w:val="clear" w:color="auto" w:fill="auto"/>
                </w:tcPr>
                <w:p w14:paraId="7B713F69" w14:textId="77777777" w:rsidR="009E4D84" w:rsidRPr="00670C74" w:rsidRDefault="009E4D84" w:rsidP="00980660">
                  <w:pPr>
                    <w:rPr>
                      <w:rFonts w:ascii="Arial" w:hAnsi="Arial" w:cs="Arial"/>
                      <w:sz w:val="20"/>
                      <w:szCs w:val="20"/>
                    </w:rPr>
                  </w:pPr>
                </w:p>
              </w:tc>
            </w:tr>
            <w:tr w:rsidR="009E4D84" w:rsidRPr="00843717" w14:paraId="5AAA824F" w14:textId="77777777" w:rsidTr="002A2513">
              <w:tc>
                <w:tcPr>
                  <w:tcW w:w="1379" w:type="dxa"/>
                  <w:shd w:val="clear" w:color="auto" w:fill="auto"/>
                </w:tcPr>
                <w:p w14:paraId="3E9DC923" w14:textId="77777777" w:rsidR="009E4D84" w:rsidRPr="00670C74" w:rsidRDefault="009E4D84" w:rsidP="00980660">
                  <w:pPr>
                    <w:rPr>
                      <w:rFonts w:ascii="Arial" w:hAnsi="Arial" w:cs="Arial"/>
                      <w:sz w:val="20"/>
                      <w:szCs w:val="20"/>
                    </w:rPr>
                  </w:pPr>
                  <w:r w:rsidRPr="00670C74">
                    <w:rPr>
                      <w:rFonts w:ascii="Arial" w:hAnsi="Arial" w:cs="Arial"/>
                      <w:sz w:val="20"/>
                      <w:szCs w:val="20"/>
                    </w:rPr>
                    <w:t>Chest X-ray</w:t>
                  </w:r>
                </w:p>
              </w:tc>
              <w:tc>
                <w:tcPr>
                  <w:tcW w:w="1784" w:type="dxa"/>
                  <w:vMerge/>
                  <w:shd w:val="clear" w:color="auto" w:fill="auto"/>
                </w:tcPr>
                <w:p w14:paraId="463A1948" w14:textId="77777777" w:rsidR="009E4D84" w:rsidRPr="00670C74" w:rsidRDefault="009E4D84" w:rsidP="00980660">
                  <w:pPr>
                    <w:rPr>
                      <w:rFonts w:ascii="Arial" w:hAnsi="Arial" w:cs="Arial"/>
                      <w:sz w:val="20"/>
                      <w:szCs w:val="20"/>
                    </w:rPr>
                  </w:pPr>
                </w:p>
              </w:tc>
              <w:tc>
                <w:tcPr>
                  <w:tcW w:w="1131" w:type="dxa"/>
                  <w:vMerge/>
                  <w:shd w:val="clear" w:color="auto" w:fill="auto"/>
                </w:tcPr>
                <w:p w14:paraId="3DE8C9A1" w14:textId="77777777" w:rsidR="009E4D84" w:rsidRPr="00670C74" w:rsidRDefault="009E4D84" w:rsidP="00980660">
                  <w:pPr>
                    <w:jc w:val="center"/>
                    <w:rPr>
                      <w:rFonts w:ascii="Arial" w:hAnsi="Arial" w:cs="Arial"/>
                      <w:sz w:val="20"/>
                      <w:szCs w:val="20"/>
                    </w:rPr>
                  </w:pPr>
                </w:p>
              </w:tc>
              <w:tc>
                <w:tcPr>
                  <w:tcW w:w="1384" w:type="dxa"/>
                  <w:vMerge/>
                  <w:shd w:val="clear" w:color="auto" w:fill="auto"/>
                </w:tcPr>
                <w:p w14:paraId="268C039A" w14:textId="77777777" w:rsidR="009E4D84" w:rsidRPr="00670C74" w:rsidRDefault="009E4D84" w:rsidP="00980660">
                  <w:pPr>
                    <w:rPr>
                      <w:rFonts w:ascii="Arial" w:hAnsi="Arial" w:cs="Arial"/>
                      <w:sz w:val="20"/>
                      <w:szCs w:val="20"/>
                    </w:rPr>
                  </w:pPr>
                </w:p>
              </w:tc>
              <w:tc>
                <w:tcPr>
                  <w:tcW w:w="1534" w:type="dxa"/>
                  <w:vMerge/>
                </w:tcPr>
                <w:p w14:paraId="6472E3D0" w14:textId="4EA4193A"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269A9D99" w14:textId="77777777" w:rsidR="009E4D84" w:rsidRPr="00670C74" w:rsidRDefault="009E4D84" w:rsidP="00980660">
                  <w:pPr>
                    <w:rPr>
                      <w:rFonts w:ascii="Arial" w:hAnsi="Arial" w:cs="Arial"/>
                      <w:sz w:val="20"/>
                      <w:szCs w:val="20"/>
                    </w:rPr>
                  </w:pPr>
                </w:p>
              </w:tc>
              <w:tc>
                <w:tcPr>
                  <w:tcW w:w="1390" w:type="dxa"/>
                  <w:vMerge/>
                  <w:shd w:val="clear" w:color="auto" w:fill="auto"/>
                </w:tcPr>
                <w:p w14:paraId="149CB3CD" w14:textId="77777777" w:rsidR="009E4D84" w:rsidRPr="00670C74" w:rsidRDefault="009E4D84" w:rsidP="00980660">
                  <w:pPr>
                    <w:rPr>
                      <w:rFonts w:ascii="Arial" w:hAnsi="Arial" w:cs="Arial"/>
                      <w:sz w:val="20"/>
                      <w:szCs w:val="20"/>
                    </w:rPr>
                  </w:pPr>
                </w:p>
              </w:tc>
            </w:tr>
            <w:tr w:rsidR="009E4D84" w:rsidRPr="00843717" w14:paraId="2A191BE1" w14:textId="77777777" w:rsidTr="002A2513">
              <w:tc>
                <w:tcPr>
                  <w:tcW w:w="1379" w:type="dxa"/>
                  <w:shd w:val="clear" w:color="auto" w:fill="auto"/>
                </w:tcPr>
                <w:p w14:paraId="5A55EB70" w14:textId="77777777" w:rsidR="009E4D84" w:rsidRPr="00670C74" w:rsidRDefault="009E4D84" w:rsidP="00980660">
                  <w:pPr>
                    <w:rPr>
                      <w:rFonts w:ascii="Arial" w:hAnsi="Arial" w:cs="Arial"/>
                      <w:sz w:val="20"/>
                      <w:szCs w:val="20"/>
                    </w:rPr>
                  </w:pPr>
                  <w:r w:rsidRPr="00670C74">
                    <w:rPr>
                      <w:rFonts w:ascii="Arial" w:hAnsi="Arial" w:cs="Arial"/>
                      <w:sz w:val="20"/>
                      <w:szCs w:val="20"/>
                    </w:rPr>
                    <w:t>TB screening if indicated</w:t>
                  </w:r>
                </w:p>
              </w:tc>
              <w:tc>
                <w:tcPr>
                  <w:tcW w:w="1784" w:type="dxa"/>
                  <w:vMerge/>
                  <w:shd w:val="clear" w:color="auto" w:fill="auto"/>
                </w:tcPr>
                <w:p w14:paraId="2D360041" w14:textId="77777777" w:rsidR="009E4D84" w:rsidRPr="00670C74" w:rsidRDefault="009E4D84" w:rsidP="00980660">
                  <w:pPr>
                    <w:rPr>
                      <w:rFonts w:ascii="Arial" w:hAnsi="Arial" w:cs="Arial"/>
                      <w:sz w:val="20"/>
                      <w:szCs w:val="20"/>
                    </w:rPr>
                  </w:pPr>
                </w:p>
              </w:tc>
              <w:tc>
                <w:tcPr>
                  <w:tcW w:w="1131" w:type="dxa"/>
                  <w:vMerge/>
                  <w:shd w:val="clear" w:color="auto" w:fill="auto"/>
                </w:tcPr>
                <w:p w14:paraId="0BB48BEB" w14:textId="77777777" w:rsidR="009E4D84" w:rsidRPr="00670C74" w:rsidRDefault="009E4D84" w:rsidP="00980660">
                  <w:pPr>
                    <w:jc w:val="center"/>
                    <w:rPr>
                      <w:rFonts w:ascii="Arial" w:hAnsi="Arial" w:cs="Arial"/>
                      <w:sz w:val="20"/>
                      <w:szCs w:val="20"/>
                    </w:rPr>
                  </w:pPr>
                </w:p>
              </w:tc>
              <w:tc>
                <w:tcPr>
                  <w:tcW w:w="1384" w:type="dxa"/>
                  <w:vMerge/>
                  <w:shd w:val="clear" w:color="auto" w:fill="auto"/>
                </w:tcPr>
                <w:p w14:paraId="286862BB" w14:textId="77777777" w:rsidR="009E4D84" w:rsidRPr="00670C74" w:rsidRDefault="009E4D84" w:rsidP="00980660">
                  <w:pPr>
                    <w:rPr>
                      <w:rFonts w:ascii="Arial" w:hAnsi="Arial" w:cs="Arial"/>
                      <w:sz w:val="20"/>
                      <w:szCs w:val="20"/>
                    </w:rPr>
                  </w:pPr>
                </w:p>
              </w:tc>
              <w:tc>
                <w:tcPr>
                  <w:tcW w:w="1534" w:type="dxa"/>
                  <w:vMerge/>
                </w:tcPr>
                <w:p w14:paraId="47A067CA" w14:textId="77777777"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6FBA91A3" w14:textId="77777777" w:rsidR="009E4D84" w:rsidRPr="00670C74" w:rsidRDefault="009E4D84" w:rsidP="00980660">
                  <w:pPr>
                    <w:rPr>
                      <w:rFonts w:ascii="Arial" w:hAnsi="Arial" w:cs="Arial"/>
                      <w:sz w:val="20"/>
                      <w:szCs w:val="20"/>
                    </w:rPr>
                  </w:pPr>
                </w:p>
              </w:tc>
              <w:tc>
                <w:tcPr>
                  <w:tcW w:w="1390" w:type="dxa"/>
                  <w:vMerge/>
                  <w:shd w:val="clear" w:color="auto" w:fill="auto"/>
                </w:tcPr>
                <w:p w14:paraId="63721193" w14:textId="77777777" w:rsidR="009E4D84" w:rsidRPr="00670C74" w:rsidRDefault="009E4D84" w:rsidP="00980660">
                  <w:pPr>
                    <w:rPr>
                      <w:rFonts w:ascii="Arial" w:hAnsi="Arial" w:cs="Arial"/>
                      <w:sz w:val="20"/>
                      <w:szCs w:val="20"/>
                    </w:rPr>
                  </w:pPr>
                </w:p>
              </w:tc>
            </w:tr>
            <w:tr w:rsidR="009E4D84" w:rsidRPr="00843717" w14:paraId="00286F54" w14:textId="77777777" w:rsidTr="002A2513">
              <w:tc>
                <w:tcPr>
                  <w:tcW w:w="1379" w:type="dxa"/>
                  <w:shd w:val="clear" w:color="auto" w:fill="auto"/>
                </w:tcPr>
                <w:p w14:paraId="204F5AA9" w14:textId="77777777" w:rsidR="009E4D84" w:rsidRPr="00670C74" w:rsidRDefault="009E4D84" w:rsidP="00980660">
                  <w:pPr>
                    <w:rPr>
                      <w:rFonts w:ascii="Arial" w:hAnsi="Arial" w:cs="Arial"/>
                      <w:sz w:val="20"/>
                      <w:szCs w:val="20"/>
                    </w:rPr>
                  </w:pPr>
                  <w:r w:rsidRPr="00670C74">
                    <w:rPr>
                      <w:rFonts w:ascii="Arial" w:hAnsi="Arial" w:cs="Arial"/>
                      <w:sz w:val="20"/>
                      <w:szCs w:val="20"/>
                    </w:rPr>
                    <w:t>Urinalysis</w:t>
                  </w:r>
                </w:p>
              </w:tc>
              <w:tc>
                <w:tcPr>
                  <w:tcW w:w="1784" w:type="dxa"/>
                  <w:shd w:val="clear" w:color="auto" w:fill="auto"/>
                </w:tcPr>
                <w:p w14:paraId="1F55C9A8" w14:textId="77777777" w:rsidR="009E4D84" w:rsidRPr="00670C74" w:rsidRDefault="009E4D84" w:rsidP="00980660">
                  <w:pPr>
                    <w:rPr>
                      <w:rFonts w:ascii="Arial" w:hAnsi="Arial" w:cs="Arial"/>
                      <w:sz w:val="20"/>
                      <w:szCs w:val="20"/>
                    </w:rPr>
                  </w:pPr>
                  <w:r w:rsidRPr="00670C74">
                    <w:rPr>
                      <w:rFonts w:ascii="Arial" w:hAnsi="Arial" w:cs="Arial"/>
                      <w:sz w:val="20"/>
                      <w:szCs w:val="20"/>
                    </w:rPr>
                    <w:t>To assess for or monitor renal disease (proteinuria) or infection</w:t>
                  </w:r>
                </w:p>
              </w:tc>
              <w:tc>
                <w:tcPr>
                  <w:tcW w:w="1131" w:type="dxa"/>
                  <w:shd w:val="clear" w:color="auto" w:fill="auto"/>
                </w:tcPr>
                <w:p w14:paraId="3925F7B7" w14:textId="77777777" w:rsidR="009E4D84" w:rsidRPr="00670C74" w:rsidRDefault="009E4D84" w:rsidP="00980660">
                  <w:pPr>
                    <w:jc w:val="center"/>
                    <w:rPr>
                      <w:rFonts w:ascii="Arial" w:hAnsi="Arial" w:cs="Arial"/>
                      <w:sz w:val="20"/>
                      <w:szCs w:val="20"/>
                    </w:rPr>
                  </w:pPr>
                </w:p>
                <w:p w14:paraId="009CFE7A" w14:textId="77777777" w:rsidR="009E4D84" w:rsidRPr="00670C74" w:rsidRDefault="009E4D84" w:rsidP="00980660">
                  <w:pPr>
                    <w:jc w:val="center"/>
                    <w:rPr>
                      <w:rFonts w:ascii="Arial" w:hAnsi="Arial" w:cs="Arial"/>
                      <w:sz w:val="20"/>
                      <w:szCs w:val="20"/>
                    </w:rPr>
                  </w:pPr>
                </w:p>
                <w:p w14:paraId="21DB3D61"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72CE6869" w14:textId="77777777" w:rsidR="009E4D84" w:rsidRPr="00670C74" w:rsidRDefault="009E4D84" w:rsidP="00980660">
                  <w:pPr>
                    <w:rPr>
                      <w:rFonts w:ascii="Arial" w:hAnsi="Arial" w:cs="Arial"/>
                      <w:sz w:val="20"/>
                      <w:szCs w:val="20"/>
                    </w:rPr>
                  </w:pPr>
                </w:p>
              </w:tc>
              <w:tc>
                <w:tcPr>
                  <w:tcW w:w="1534" w:type="dxa"/>
                  <w:vMerge/>
                </w:tcPr>
                <w:p w14:paraId="738875FF" w14:textId="77777777"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5523A4CE" w14:textId="77777777" w:rsidR="009E4D84" w:rsidRPr="00670C74" w:rsidRDefault="009E4D84" w:rsidP="00980660">
                  <w:pPr>
                    <w:rPr>
                      <w:rFonts w:ascii="Arial" w:hAnsi="Arial" w:cs="Arial"/>
                      <w:sz w:val="20"/>
                      <w:szCs w:val="20"/>
                    </w:rPr>
                  </w:pPr>
                </w:p>
              </w:tc>
              <w:tc>
                <w:tcPr>
                  <w:tcW w:w="1390" w:type="dxa"/>
                  <w:vMerge/>
                  <w:shd w:val="clear" w:color="auto" w:fill="auto"/>
                </w:tcPr>
                <w:p w14:paraId="537665B3" w14:textId="77777777" w:rsidR="009E4D84" w:rsidRPr="00670C74" w:rsidRDefault="009E4D84" w:rsidP="00980660">
                  <w:pPr>
                    <w:rPr>
                      <w:rFonts w:ascii="Arial" w:hAnsi="Arial" w:cs="Arial"/>
                      <w:sz w:val="20"/>
                      <w:szCs w:val="20"/>
                    </w:rPr>
                  </w:pPr>
                </w:p>
              </w:tc>
            </w:tr>
            <w:tr w:rsidR="009E4D84" w:rsidRPr="00843717" w14:paraId="23FA48EB" w14:textId="77777777" w:rsidTr="002A2513">
              <w:tc>
                <w:tcPr>
                  <w:tcW w:w="1379" w:type="dxa"/>
                  <w:shd w:val="clear" w:color="auto" w:fill="auto"/>
                </w:tcPr>
                <w:p w14:paraId="2A43A130" w14:textId="77777777" w:rsidR="009E4D84" w:rsidRPr="00670C74" w:rsidRDefault="009E4D84" w:rsidP="00980660">
                  <w:pPr>
                    <w:rPr>
                      <w:rFonts w:ascii="Arial" w:hAnsi="Arial" w:cs="Arial"/>
                      <w:sz w:val="20"/>
                      <w:szCs w:val="20"/>
                    </w:rPr>
                  </w:pPr>
                  <w:r w:rsidRPr="00670C74">
                    <w:rPr>
                      <w:rFonts w:ascii="Arial" w:hAnsi="Arial" w:cs="Arial"/>
                      <w:sz w:val="20"/>
                      <w:szCs w:val="20"/>
                    </w:rPr>
                    <w:t>Lipids</w:t>
                  </w:r>
                </w:p>
              </w:tc>
              <w:tc>
                <w:tcPr>
                  <w:tcW w:w="1784" w:type="dxa"/>
                  <w:shd w:val="clear" w:color="auto" w:fill="auto"/>
                </w:tcPr>
                <w:p w14:paraId="7F8B86B3" w14:textId="77777777" w:rsidR="009E4D84" w:rsidRPr="00670C74" w:rsidRDefault="009E4D84" w:rsidP="00980660">
                  <w:pPr>
                    <w:rPr>
                      <w:rFonts w:ascii="Arial" w:hAnsi="Arial" w:cs="Arial"/>
                      <w:sz w:val="20"/>
                      <w:szCs w:val="20"/>
                    </w:rPr>
                  </w:pPr>
                  <w:r w:rsidRPr="00670C74">
                    <w:rPr>
                      <w:rFonts w:ascii="Arial" w:hAnsi="Arial" w:cs="Arial"/>
                      <w:sz w:val="20"/>
                      <w:szCs w:val="20"/>
                    </w:rPr>
                    <w:t>Baseline assessment</w:t>
                  </w:r>
                </w:p>
              </w:tc>
              <w:tc>
                <w:tcPr>
                  <w:tcW w:w="1131" w:type="dxa"/>
                  <w:shd w:val="clear" w:color="auto" w:fill="auto"/>
                </w:tcPr>
                <w:p w14:paraId="26BB8E92" w14:textId="77777777" w:rsidR="009E4D84" w:rsidRPr="00670C74" w:rsidRDefault="009E4D84" w:rsidP="00980660">
                  <w:pPr>
                    <w:jc w:val="center"/>
                    <w:rPr>
                      <w:rFonts w:ascii="Arial" w:hAnsi="Arial" w:cs="Arial"/>
                      <w:sz w:val="20"/>
                      <w:szCs w:val="20"/>
                    </w:rPr>
                  </w:pPr>
                </w:p>
                <w:p w14:paraId="04592F2A"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6C73139B" w14:textId="77777777" w:rsidR="009E4D84" w:rsidRPr="00670C74" w:rsidRDefault="009E4D84" w:rsidP="00980660">
                  <w:pPr>
                    <w:rPr>
                      <w:rFonts w:ascii="Arial" w:hAnsi="Arial" w:cs="Arial"/>
                      <w:sz w:val="20"/>
                      <w:szCs w:val="20"/>
                    </w:rPr>
                  </w:pPr>
                </w:p>
              </w:tc>
              <w:tc>
                <w:tcPr>
                  <w:tcW w:w="1534" w:type="dxa"/>
                  <w:vMerge/>
                </w:tcPr>
                <w:p w14:paraId="15C407BD" w14:textId="77777777" w:rsidR="009E4D84" w:rsidRPr="00670C74" w:rsidRDefault="009E4D84"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1C699CD4" w14:textId="77777777" w:rsidR="009E4D84" w:rsidRPr="00670C74" w:rsidRDefault="009E4D84" w:rsidP="00980660">
                  <w:pPr>
                    <w:shd w:val="clear" w:color="auto" w:fill="D9D9D9" w:themeFill="background1" w:themeFillShade="D9"/>
                    <w:rPr>
                      <w:rFonts w:ascii="Arial" w:hAnsi="Arial" w:cs="Arial"/>
                      <w:sz w:val="20"/>
                      <w:szCs w:val="20"/>
                    </w:rPr>
                  </w:pPr>
                  <w:r w:rsidRPr="00670C74">
                    <w:rPr>
                      <w:rFonts w:ascii="Arial" w:hAnsi="Arial" w:cs="Arial"/>
                      <w:sz w:val="20"/>
                      <w:szCs w:val="20"/>
                    </w:rPr>
                    <w:t>Lipids</w:t>
                  </w:r>
                </w:p>
                <w:p w14:paraId="1AB22937" w14:textId="77777777" w:rsidR="009E4D84" w:rsidRPr="00670C74" w:rsidRDefault="009E4D84" w:rsidP="00980660">
                  <w:pPr>
                    <w:rPr>
                      <w:rFonts w:ascii="Arial" w:hAnsi="Arial" w:cs="Arial"/>
                      <w:sz w:val="20"/>
                      <w:szCs w:val="20"/>
                    </w:rPr>
                  </w:pPr>
                  <w:r>
                    <w:rPr>
                      <w:rFonts w:ascii="Arial" w:hAnsi="Arial" w:cs="Arial"/>
                      <w:sz w:val="20"/>
                      <w:szCs w:val="20"/>
                    </w:rPr>
                    <w:t>annually</w:t>
                  </w:r>
                </w:p>
              </w:tc>
              <w:tc>
                <w:tcPr>
                  <w:tcW w:w="1390" w:type="dxa"/>
                  <w:vMerge/>
                  <w:shd w:val="clear" w:color="auto" w:fill="auto"/>
                </w:tcPr>
                <w:p w14:paraId="3FE3DF4C" w14:textId="77777777" w:rsidR="009E4D84" w:rsidRPr="00670C74" w:rsidRDefault="009E4D84" w:rsidP="00980660">
                  <w:pPr>
                    <w:rPr>
                      <w:rFonts w:ascii="Arial" w:hAnsi="Arial" w:cs="Arial"/>
                      <w:sz w:val="20"/>
                      <w:szCs w:val="20"/>
                    </w:rPr>
                  </w:pPr>
                </w:p>
              </w:tc>
            </w:tr>
            <w:tr w:rsidR="00980660" w:rsidRPr="00843717" w14:paraId="5FCD366B" w14:textId="77777777" w:rsidTr="002A2513">
              <w:tc>
                <w:tcPr>
                  <w:tcW w:w="1379" w:type="dxa"/>
                  <w:shd w:val="clear" w:color="auto" w:fill="auto"/>
                </w:tcPr>
                <w:p w14:paraId="53CC1ED6" w14:textId="77777777" w:rsidR="00980660" w:rsidRPr="00FB36CE" w:rsidRDefault="00980660" w:rsidP="00980660">
                  <w:pPr>
                    <w:rPr>
                      <w:rFonts w:ascii="Arial" w:hAnsi="Arial" w:cs="Arial"/>
                      <w:sz w:val="20"/>
                      <w:szCs w:val="20"/>
                    </w:rPr>
                  </w:pPr>
                  <w:r w:rsidRPr="00FB36CE">
                    <w:rPr>
                      <w:rFonts w:ascii="Arial" w:hAnsi="Arial" w:cs="Arial"/>
                      <w:sz w:val="20"/>
                      <w:szCs w:val="20"/>
                    </w:rPr>
                    <w:t>Negative Pregnancy test (in those of childbearing potential)</w:t>
                  </w:r>
                </w:p>
              </w:tc>
              <w:tc>
                <w:tcPr>
                  <w:tcW w:w="1784" w:type="dxa"/>
                  <w:shd w:val="clear" w:color="auto" w:fill="auto"/>
                </w:tcPr>
                <w:p w14:paraId="58C7CBCF" w14:textId="77777777" w:rsidR="00980660" w:rsidRPr="00FB36CE" w:rsidRDefault="00980660" w:rsidP="00980660">
                  <w:pPr>
                    <w:rPr>
                      <w:rFonts w:ascii="Arial" w:hAnsi="Arial" w:cs="Arial"/>
                      <w:sz w:val="20"/>
                      <w:szCs w:val="20"/>
                    </w:rPr>
                  </w:pPr>
                  <w:r w:rsidRPr="00FB36CE">
                    <w:rPr>
                      <w:rFonts w:ascii="Arial" w:hAnsi="Arial" w:cs="Arial"/>
                      <w:sz w:val="20"/>
                      <w:szCs w:val="20"/>
                    </w:rPr>
                    <w:t>Baseline assessment</w:t>
                  </w:r>
                </w:p>
              </w:tc>
              <w:tc>
                <w:tcPr>
                  <w:tcW w:w="1131" w:type="dxa"/>
                  <w:shd w:val="clear" w:color="auto" w:fill="auto"/>
                </w:tcPr>
                <w:p w14:paraId="03E2BCC3" w14:textId="77777777" w:rsidR="00980660" w:rsidRPr="00FB36CE" w:rsidRDefault="00980660" w:rsidP="00980660">
                  <w:pPr>
                    <w:jc w:val="center"/>
                    <w:rPr>
                      <w:rFonts w:ascii="Arial" w:hAnsi="Arial" w:cs="Arial"/>
                      <w:sz w:val="20"/>
                      <w:szCs w:val="20"/>
                    </w:rPr>
                  </w:pPr>
                  <w:r w:rsidRPr="00FB36CE">
                    <w:rPr>
                      <w:rFonts w:ascii="Arial" w:hAnsi="Arial" w:cs="Arial"/>
                      <w:sz w:val="20"/>
                      <w:szCs w:val="20"/>
                    </w:rPr>
                    <w:t>√</w:t>
                  </w:r>
                </w:p>
              </w:tc>
              <w:tc>
                <w:tcPr>
                  <w:tcW w:w="1384" w:type="dxa"/>
                  <w:shd w:val="clear" w:color="auto" w:fill="auto"/>
                </w:tcPr>
                <w:p w14:paraId="2C704248" w14:textId="77777777" w:rsidR="00980660" w:rsidRPr="00FB36CE" w:rsidRDefault="00980660" w:rsidP="00980660">
                  <w:pPr>
                    <w:rPr>
                      <w:rFonts w:ascii="Arial" w:hAnsi="Arial" w:cs="Arial"/>
                      <w:sz w:val="20"/>
                      <w:szCs w:val="20"/>
                    </w:rPr>
                  </w:pPr>
                </w:p>
              </w:tc>
              <w:tc>
                <w:tcPr>
                  <w:tcW w:w="1534" w:type="dxa"/>
                </w:tcPr>
                <w:p w14:paraId="69AB9BE5" w14:textId="77777777" w:rsidR="00980660" w:rsidRPr="00670C74" w:rsidRDefault="00980660"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778894ED" w14:textId="77777777" w:rsidR="00980660" w:rsidRPr="001250BB" w:rsidRDefault="00980660" w:rsidP="00980660">
                  <w:pPr>
                    <w:autoSpaceDE w:val="0"/>
                    <w:autoSpaceDN w:val="0"/>
                    <w:adjustRightInd w:val="0"/>
                    <w:rPr>
                      <w:rFonts w:ascii="Arial" w:hAnsi="Arial" w:cs="Arial"/>
                      <w:sz w:val="18"/>
                      <w:szCs w:val="18"/>
                    </w:rPr>
                  </w:pPr>
                  <w:r w:rsidRPr="001250BB">
                    <w:rPr>
                      <w:rFonts w:ascii="Arial" w:hAnsi="Arial" w:cs="Arial"/>
                      <w:sz w:val="18"/>
                      <w:szCs w:val="18"/>
                    </w:rPr>
                    <w:t>If there is a break in contraception, ensure negative pregnancy test in</w:t>
                  </w:r>
                </w:p>
                <w:p w14:paraId="4DC64826" w14:textId="77777777" w:rsidR="00980660" w:rsidRPr="00670C74" w:rsidRDefault="00980660" w:rsidP="00980660">
                  <w:pPr>
                    <w:rPr>
                      <w:rFonts w:ascii="Arial" w:hAnsi="Arial" w:cs="Arial"/>
                      <w:sz w:val="20"/>
                      <w:szCs w:val="20"/>
                    </w:rPr>
                  </w:pPr>
                  <w:r w:rsidRPr="001250BB">
                    <w:rPr>
                      <w:rFonts w:ascii="Arial" w:hAnsi="Arial" w:cs="Arial"/>
                      <w:sz w:val="18"/>
                      <w:szCs w:val="18"/>
                    </w:rPr>
                    <w:t>those of childbearing potential</w:t>
                  </w:r>
                </w:p>
              </w:tc>
              <w:tc>
                <w:tcPr>
                  <w:tcW w:w="1390" w:type="dxa"/>
                  <w:shd w:val="clear" w:color="auto" w:fill="auto"/>
                </w:tcPr>
                <w:p w14:paraId="4ACAC3FA" w14:textId="77777777" w:rsidR="00980660" w:rsidRPr="00670C74" w:rsidRDefault="00980660" w:rsidP="00980660">
                  <w:pPr>
                    <w:rPr>
                      <w:rFonts w:ascii="Arial" w:hAnsi="Arial" w:cs="Arial"/>
                      <w:sz w:val="20"/>
                      <w:szCs w:val="20"/>
                    </w:rPr>
                  </w:pPr>
                </w:p>
              </w:tc>
            </w:tr>
            <w:tr w:rsidR="00980660" w:rsidRPr="00843717" w14:paraId="2D91A71F" w14:textId="77777777" w:rsidTr="002A2513">
              <w:tc>
                <w:tcPr>
                  <w:tcW w:w="3163" w:type="dxa"/>
                  <w:gridSpan w:val="2"/>
                  <w:shd w:val="clear" w:color="auto" w:fill="auto"/>
                </w:tcPr>
                <w:p w14:paraId="4476F207" w14:textId="24E05C6D" w:rsidR="00980660" w:rsidRPr="00670C74" w:rsidRDefault="00980660" w:rsidP="00980660">
                  <w:pPr>
                    <w:rPr>
                      <w:rFonts w:ascii="Arial" w:hAnsi="Arial" w:cs="Arial"/>
                      <w:sz w:val="20"/>
                      <w:szCs w:val="20"/>
                    </w:rPr>
                  </w:pPr>
                  <w:r w:rsidRPr="00670C74">
                    <w:rPr>
                      <w:rFonts w:ascii="Arial" w:hAnsi="Arial" w:cs="Arial"/>
                      <w:sz w:val="20"/>
                      <w:szCs w:val="20"/>
                    </w:rPr>
                    <w:t>Ask about oral ulceration, sore throat, unexplained rash or unusual bruising/bleeding</w:t>
                  </w:r>
                </w:p>
              </w:tc>
              <w:tc>
                <w:tcPr>
                  <w:tcW w:w="1131" w:type="dxa"/>
                  <w:shd w:val="clear" w:color="auto" w:fill="auto"/>
                </w:tcPr>
                <w:p w14:paraId="222FC1D9" w14:textId="77777777" w:rsidR="00980660" w:rsidRPr="00670C74" w:rsidRDefault="00980660" w:rsidP="00980660">
                  <w:pPr>
                    <w:jc w:val="center"/>
                    <w:rPr>
                      <w:rFonts w:ascii="Arial" w:hAnsi="Arial" w:cs="Arial"/>
                      <w:sz w:val="20"/>
                      <w:szCs w:val="20"/>
                    </w:rPr>
                  </w:pPr>
                  <w:r w:rsidRPr="00D063B9">
                    <w:rPr>
                      <w:rFonts w:ascii="Arial" w:hAnsi="Arial" w:cs="Arial"/>
                      <w:sz w:val="20"/>
                      <w:szCs w:val="20"/>
                    </w:rPr>
                    <w:t>√</w:t>
                  </w:r>
                </w:p>
              </w:tc>
              <w:tc>
                <w:tcPr>
                  <w:tcW w:w="2918" w:type="dxa"/>
                  <w:gridSpan w:val="2"/>
                  <w:shd w:val="clear" w:color="auto" w:fill="auto"/>
                </w:tcPr>
                <w:p w14:paraId="1D2C6A5D"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8" w:type="dxa"/>
                  <w:shd w:val="clear" w:color="auto" w:fill="D9D9D9" w:themeFill="background1" w:themeFillShade="D9"/>
                </w:tcPr>
                <w:p w14:paraId="4BF94508"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0" w:type="dxa"/>
                  <w:shd w:val="clear" w:color="auto" w:fill="auto"/>
                </w:tcPr>
                <w:p w14:paraId="34DA162E"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r>
            <w:tr w:rsidR="00980660" w:rsidRPr="00843717" w14:paraId="70FE63D9" w14:textId="77777777" w:rsidTr="00992C71">
              <w:tc>
                <w:tcPr>
                  <w:tcW w:w="10000" w:type="dxa"/>
                  <w:gridSpan w:val="7"/>
                </w:tcPr>
                <w:p w14:paraId="47C523E2" w14:textId="77777777" w:rsidR="00980660" w:rsidRPr="00843717" w:rsidRDefault="00980660" w:rsidP="00980660">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result </w:t>
            </w:r>
          </w:p>
          <w:p w14:paraId="5020CCA9" w14:textId="7818B548" w:rsidR="00097D24" w:rsidRDefault="00097D24" w:rsidP="00097D24">
            <w:pPr>
              <w:spacing w:after="40"/>
              <w:rPr>
                <w:rFonts w:ascii="Arial" w:hAnsi="Arial" w:cs="Arial"/>
                <w:b/>
                <w:u w:val="single"/>
              </w:rPr>
            </w:pPr>
            <w:r>
              <w:rPr>
                <w:rFonts w:ascii="Arial" w:hAnsi="Arial" w:cs="Arial"/>
              </w:rPr>
              <w:t xml:space="preserve">Normal reference range may vary slightly between labs. </w:t>
            </w:r>
            <w:r w:rsidR="002561D9" w:rsidRPr="002561D9">
              <w:rPr>
                <w:rFonts w:ascii="Arial" w:hAnsi="Arial" w:cs="Arial"/>
              </w:rPr>
              <w:t>Results should be recorded in the patient’s shared care monitoring record booklet (where in use).</w:t>
            </w:r>
            <w:r w:rsidR="002561D9">
              <w:rPr>
                <w:rFonts w:ascii="Arial" w:hAnsi="Arial" w:cs="Arial"/>
              </w:rPr>
              <w:t xml:space="preserve"> </w:t>
            </w:r>
            <w:r>
              <w:rPr>
                <w:rFonts w:ascii="Arial" w:hAnsi="Arial" w:cs="Arial"/>
              </w:rPr>
              <w:t xml:space="preserve">Please note an unusual fall or rise or a consistent downward or upward trend in any value should prompt review of the patient and extra vigilance. Some patients may have abnormal baseline values; specialist will advise if required. </w:t>
            </w:r>
          </w:p>
          <w:tbl>
            <w:tblPr>
              <w:tblStyle w:val="TableGrid"/>
              <w:tblW w:w="0" w:type="auto"/>
              <w:tblLook w:val="04A0" w:firstRow="1" w:lastRow="0" w:firstColumn="1" w:lastColumn="0" w:noHBand="0" w:noVBand="1"/>
            </w:tblPr>
            <w:tblGrid>
              <w:gridCol w:w="4261"/>
              <w:gridCol w:w="5799"/>
            </w:tblGrid>
            <w:tr w:rsidR="00746DDF" w:rsidRPr="00843717" w14:paraId="3585BECA" w14:textId="77777777" w:rsidTr="00992C71">
              <w:trPr>
                <w:trHeight w:val="280"/>
              </w:trPr>
              <w:tc>
                <w:tcPr>
                  <w:tcW w:w="4261" w:type="dxa"/>
                </w:tcPr>
                <w:p w14:paraId="1DB3657B" w14:textId="77777777" w:rsidR="00746DDF" w:rsidRPr="005E21BE" w:rsidRDefault="00746DDF" w:rsidP="00746DDF">
                  <w:pPr>
                    <w:jc w:val="center"/>
                    <w:rPr>
                      <w:rFonts w:ascii="Arial" w:hAnsi="Arial" w:cs="Arial"/>
                      <w:b/>
                    </w:rPr>
                  </w:pPr>
                  <w:r w:rsidRPr="005E21BE">
                    <w:rPr>
                      <w:rFonts w:ascii="Arial" w:hAnsi="Arial" w:cs="Arial"/>
                      <w:b/>
                    </w:rPr>
                    <w:t>Abnormal Result</w:t>
                  </w:r>
                </w:p>
              </w:tc>
              <w:tc>
                <w:tcPr>
                  <w:tcW w:w="5799" w:type="dxa"/>
                  <w:shd w:val="pct10" w:color="auto" w:fill="auto"/>
                </w:tcPr>
                <w:p w14:paraId="0648E4FF" w14:textId="77777777" w:rsidR="00746DDF" w:rsidRPr="005E21BE" w:rsidRDefault="00746DDF" w:rsidP="00746DDF">
                  <w:pPr>
                    <w:jc w:val="center"/>
                    <w:rPr>
                      <w:rFonts w:ascii="Arial" w:hAnsi="Arial" w:cs="Arial"/>
                      <w:b/>
                    </w:rPr>
                  </w:pPr>
                  <w:r w:rsidRPr="005E21BE">
                    <w:rPr>
                      <w:rFonts w:ascii="Arial" w:hAnsi="Arial" w:cs="Arial"/>
                      <w:b/>
                    </w:rPr>
                    <w:t>Action to be taken by GP</w:t>
                  </w:r>
                </w:p>
              </w:tc>
            </w:tr>
            <w:tr w:rsidR="00006F06" w:rsidRPr="00843717" w14:paraId="67C9C1B1" w14:textId="77777777" w:rsidTr="00992C71">
              <w:trPr>
                <w:trHeight w:val="724"/>
              </w:trPr>
              <w:tc>
                <w:tcPr>
                  <w:tcW w:w="4261" w:type="dxa"/>
                </w:tcPr>
                <w:p w14:paraId="66F50F0A" w14:textId="77777777" w:rsidR="00006F06" w:rsidRPr="00843717" w:rsidRDefault="00006F06" w:rsidP="00746DDF">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6D19F9C1" w14:textId="229D6E1B" w:rsidR="009572C7" w:rsidRDefault="009572C7" w:rsidP="00746DDF">
                  <w:pPr>
                    <w:rPr>
                      <w:rFonts w:ascii="Arial" w:hAnsi="Arial" w:cs="Arial"/>
                    </w:rPr>
                  </w:pPr>
                  <w:r w:rsidRPr="009572C7">
                    <w:rPr>
                      <w:rFonts w:ascii="Arial" w:hAnsi="Arial" w:cs="Arial"/>
                    </w:rPr>
                    <w:t>If &lt; 1.6 x 10</w:t>
                  </w:r>
                  <w:r w:rsidR="0045144B">
                    <w:rPr>
                      <w:rFonts w:ascii="Arial" w:hAnsi="Arial" w:cs="Arial"/>
                      <w:vertAlign w:val="superscript"/>
                    </w:rPr>
                    <w:t>9</w:t>
                  </w:r>
                  <w:r w:rsidRPr="009572C7">
                    <w:rPr>
                      <w:rFonts w:ascii="Arial" w:hAnsi="Arial" w:cs="Arial"/>
                    </w:rPr>
                    <w:t xml:space="preserve">/L stop. </w:t>
                  </w:r>
                </w:p>
                <w:p w14:paraId="09E66BFF" w14:textId="04DEA985" w:rsidR="00006F06" w:rsidRPr="00843717" w:rsidRDefault="009572C7" w:rsidP="00746DDF">
                  <w:pPr>
                    <w:rPr>
                      <w:rFonts w:ascii="Arial" w:hAnsi="Arial" w:cs="Arial"/>
                    </w:rPr>
                  </w:pPr>
                  <w:r w:rsidRPr="009572C7">
                    <w:rPr>
                      <w:rFonts w:ascii="Arial" w:hAnsi="Arial" w:cs="Arial"/>
                    </w:rPr>
                    <w:t>If between 1.6 - 2.0 - discuss with specialist to consider 50% dose reduction</w:t>
                  </w:r>
                </w:p>
              </w:tc>
            </w:tr>
            <w:tr w:rsidR="00006F06" w:rsidRPr="00843717" w14:paraId="3206911E" w14:textId="77777777" w:rsidTr="00992C71">
              <w:tc>
                <w:tcPr>
                  <w:tcW w:w="4261" w:type="dxa"/>
                </w:tcPr>
                <w:p w14:paraId="42189C03" w14:textId="77777777" w:rsidR="00006F06" w:rsidRPr="00843717" w:rsidRDefault="00006F06" w:rsidP="00746DDF">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4AE0C849" w14:textId="77777777" w:rsidR="009572C7" w:rsidRDefault="009572C7" w:rsidP="00746DDF">
                  <w:pPr>
                    <w:rPr>
                      <w:rFonts w:ascii="Arial" w:hAnsi="Arial" w:cs="Arial"/>
                    </w:rPr>
                  </w:pPr>
                  <w:r w:rsidRPr="009572C7">
                    <w:rPr>
                      <w:rFonts w:ascii="Arial" w:hAnsi="Arial" w:cs="Arial"/>
                    </w:rPr>
                    <w:t xml:space="preserve">If &lt;3.0 stop and contact specialist </w:t>
                  </w:r>
                </w:p>
                <w:p w14:paraId="65E8E0D7" w14:textId="188F41EC" w:rsidR="00006F06" w:rsidRPr="00843717" w:rsidRDefault="009572C7" w:rsidP="00746DDF">
                  <w:pPr>
                    <w:rPr>
                      <w:rFonts w:ascii="Arial" w:hAnsi="Arial" w:cs="Arial"/>
                    </w:rPr>
                  </w:pPr>
                  <w:r w:rsidRPr="009572C7">
                    <w:rPr>
                      <w:rFonts w:ascii="Arial" w:hAnsi="Arial" w:cs="Arial"/>
                    </w:rPr>
                    <w:t>If 3.0-3.5 repeat, review dose with specialist if still &lt;3.5, (NB - It is normal to get a low lymphocyte count, discuss with specialist if any concerns.)</w:t>
                  </w:r>
                </w:p>
              </w:tc>
            </w:tr>
            <w:tr w:rsidR="00006F06" w:rsidRPr="00843717" w14:paraId="3C0DACC5" w14:textId="77777777" w:rsidTr="0045144B">
              <w:trPr>
                <w:trHeight w:val="614"/>
              </w:trPr>
              <w:tc>
                <w:tcPr>
                  <w:tcW w:w="4261" w:type="dxa"/>
                </w:tcPr>
                <w:p w14:paraId="4EFDC066" w14:textId="3DC69D79" w:rsidR="00006F06" w:rsidRPr="00843717" w:rsidRDefault="00006F06" w:rsidP="00746DDF">
                  <w:pPr>
                    <w:rPr>
                      <w:rFonts w:ascii="Arial" w:hAnsi="Arial" w:cs="Arial"/>
                    </w:rPr>
                  </w:pPr>
                  <w:r w:rsidRPr="00843717">
                    <w:rPr>
                      <w:rFonts w:ascii="Arial" w:hAnsi="Arial" w:cs="Arial"/>
                    </w:rPr>
                    <w:lastRenderedPageBreak/>
                    <w:t>Unexplained eosinophilia &gt; 0.5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77CAD9AD" w14:textId="167AECE4" w:rsidR="00006F06" w:rsidRPr="00843717" w:rsidRDefault="009572C7" w:rsidP="00746DDF">
                  <w:pPr>
                    <w:rPr>
                      <w:rFonts w:ascii="Arial" w:hAnsi="Arial" w:cs="Arial"/>
                    </w:rPr>
                  </w:pPr>
                  <w:r w:rsidRPr="009572C7">
                    <w:rPr>
                      <w:rFonts w:ascii="Arial" w:hAnsi="Arial" w:cs="Arial"/>
                    </w:rPr>
                    <w:t>Contact specialist for advice. Withhold mycophenolate mofetil if no response from specialist in 5-7 days.</w:t>
                  </w:r>
                </w:p>
              </w:tc>
            </w:tr>
            <w:tr w:rsidR="0045144B" w:rsidRPr="00843717" w14:paraId="5525806A" w14:textId="77777777" w:rsidTr="00992C71">
              <w:tc>
                <w:tcPr>
                  <w:tcW w:w="4261" w:type="dxa"/>
                </w:tcPr>
                <w:p w14:paraId="27BB212E" w14:textId="031AC452" w:rsidR="0045144B" w:rsidRPr="004C0564" w:rsidRDefault="0045144B" w:rsidP="0045144B">
                  <w:pPr>
                    <w:rPr>
                      <w:rStyle w:val="normaltextrun"/>
                      <w:rFonts w:ascii="Arial" w:hAnsi="Arial" w:cs="Arial"/>
                      <w:highlight w:val="yellow"/>
                    </w:rPr>
                  </w:pPr>
                  <w:r w:rsidRPr="00843717">
                    <w:rPr>
                      <w:rFonts w:ascii="Arial" w:hAnsi="Arial" w:cs="Arial"/>
                    </w:rPr>
                    <w:t>Anaemia</w:t>
                  </w:r>
                </w:p>
              </w:tc>
              <w:tc>
                <w:tcPr>
                  <w:tcW w:w="5799" w:type="dxa"/>
                  <w:shd w:val="pct10" w:color="auto" w:fill="auto"/>
                </w:tcPr>
                <w:p w14:paraId="50F4A9DE" w14:textId="34EA29A0" w:rsidR="0045144B" w:rsidRPr="00843717" w:rsidRDefault="0045144B" w:rsidP="0045144B">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5144B" w:rsidRPr="00843717" w14:paraId="14609E50" w14:textId="77777777" w:rsidTr="00992C71">
              <w:tc>
                <w:tcPr>
                  <w:tcW w:w="4261" w:type="dxa"/>
                </w:tcPr>
                <w:p w14:paraId="73A9E332" w14:textId="6AD92F54" w:rsidR="0045144B" w:rsidRPr="009E4D84" w:rsidRDefault="0045144B" w:rsidP="0045144B">
                  <w:pPr>
                    <w:rPr>
                      <w:rFonts w:ascii="Arial" w:hAnsi="Arial" w:cs="Arial"/>
                    </w:rPr>
                  </w:pPr>
                  <w:r w:rsidRPr="009E4D84">
                    <w:rPr>
                      <w:rStyle w:val="normaltextrun"/>
                      <w:rFonts w:ascii="Arial" w:hAnsi="Arial" w:cs="Arial"/>
                    </w:rPr>
                    <w:t>Lymphocytes &lt; 0.5x10</w:t>
                  </w:r>
                  <w:r w:rsidRPr="009E4D84">
                    <w:rPr>
                      <w:rStyle w:val="normaltextrun"/>
                      <w:rFonts w:ascii="Arial" w:hAnsi="Arial" w:cs="Arial"/>
                      <w:vertAlign w:val="superscript"/>
                    </w:rPr>
                    <w:t>9</w:t>
                  </w:r>
                  <w:r w:rsidRPr="009E4D84">
                    <w:rPr>
                      <w:rStyle w:val="normaltextrun"/>
                      <w:rFonts w:ascii="Arial" w:hAnsi="Arial" w:cs="Arial"/>
                    </w:rPr>
                    <w:t>/L</w:t>
                  </w:r>
                  <w:r w:rsidRPr="009E4D84">
                    <w:rPr>
                      <w:rStyle w:val="eop"/>
                      <w:rFonts w:ascii="Arial" w:hAnsi="Arial" w:cs="Arial"/>
                    </w:rPr>
                    <w:t> </w:t>
                  </w:r>
                </w:p>
              </w:tc>
              <w:tc>
                <w:tcPr>
                  <w:tcW w:w="5799" w:type="dxa"/>
                  <w:shd w:val="pct10" w:color="auto" w:fill="auto"/>
                </w:tcPr>
                <w:p w14:paraId="577DE901" w14:textId="18A9E1B3" w:rsidR="0045144B" w:rsidRPr="009E4D84" w:rsidRDefault="0045144B" w:rsidP="0045144B">
                  <w:pPr>
                    <w:rPr>
                      <w:rFonts w:ascii="Arial" w:hAnsi="Arial" w:cs="Arial"/>
                    </w:rPr>
                  </w:pPr>
                  <w:r w:rsidRPr="009E4D84">
                    <w:rPr>
                      <w:rFonts w:ascii="Arial" w:hAnsi="Arial" w:cs="Arial"/>
                    </w:rPr>
                    <w:t>Discuss urgently with specialist team, and consider interruption</w:t>
                  </w:r>
                </w:p>
              </w:tc>
            </w:tr>
            <w:tr w:rsidR="0045144B" w:rsidRPr="00843717" w14:paraId="279042F7" w14:textId="77777777" w:rsidTr="00992C71">
              <w:tc>
                <w:tcPr>
                  <w:tcW w:w="4261" w:type="dxa"/>
                </w:tcPr>
                <w:p w14:paraId="59A61976" w14:textId="77777777" w:rsidR="0045144B" w:rsidRPr="00843717" w:rsidRDefault="0045144B" w:rsidP="0045144B">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542B98C3" w14:textId="5053FD10" w:rsidR="0045144B" w:rsidRPr="00843717" w:rsidRDefault="0045144B" w:rsidP="0045144B">
                  <w:pPr>
                    <w:rPr>
                      <w:rFonts w:ascii="Arial" w:hAnsi="Arial" w:cs="Arial"/>
                    </w:rPr>
                  </w:pPr>
                  <w:r w:rsidRPr="0045144B">
                    <w:rPr>
                      <w:rFonts w:ascii="Arial" w:hAnsi="Arial" w:cs="Arial"/>
                    </w:rPr>
                    <w:t>Contact specialist for advice. Withhold mycophenolate mofetil if no response from specialist in 5-7 days.</w:t>
                  </w:r>
                </w:p>
              </w:tc>
            </w:tr>
            <w:tr w:rsidR="0045144B" w:rsidRPr="00843717" w14:paraId="380C5C1D" w14:textId="77777777" w:rsidTr="00992C71">
              <w:tc>
                <w:tcPr>
                  <w:tcW w:w="4261" w:type="dxa"/>
                </w:tcPr>
                <w:p w14:paraId="6465B434" w14:textId="52185FAF" w:rsidR="0045144B" w:rsidRPr="00843717" w:rsidRDefault="0045144B" w:rsidP="0045144B">
                  <w:pPr>
                    <w:rPr>
                      <w:rFonts w:ascii="Arial" w:hAnsi="Arial" w:cs="Arial"/>
                    </w:rPr>
                  </w:pPr>
                  <w:r w:rsidRPr="00843717">
                    <w:rPr>
                      <w:rFonts w:ascii="Arial" w:hAnsi="Arial" w:cs="Arial"/>
                    </w:rPr>
                    <w:t>MCV</w:t>
                  </w:r>
                  <w:r>
                    <w:rPr>
                      <w:rFonts w:ascii="Arial" w:hAnsi="Arial" w:cs="Arial"/>
                    </w:rPr>
                    <w:t xml:space="preserve"> </w:t>
                  </w:r>
                  <w:r w:rsidRPr="0045144B">
                    <w:rPr>
                      <w:rFonts w:ascii="Arial" w:hAnsi="Arial" w:cs="Arial"/>
                    </w:rPr>
                    <w:t xml:space="preserve">&gt;105fL    </w:t>
                  </w:r>
                </w:p>
              </w:tc>
              <w:tc>
                <w:tcPr>
                  <w:tcW w:w="5799" w:type="dxa"/>
                  <w:shd w:val="pct10" w:color="auto" w:fill="auto"/>
                </w:tcPr>
                <w:p w14:paraId="2CBF0AC1" w14:textId="48C7EC8F" w:rsidR="0045144B" w:rsidRPr="00843717" w:rsidRDefault="0045144B" w:rsidP="0045144B">
                  <w:pPr>
                    <w:rPr>
                      <w:rFonts w:ascii="Arial" w:hAnsi="Arial" w:cs="Arial"/>
                    </w:rPr>
                  </w:pPr>
                  <w:r w:rsidRPr="0045144B">
                    <w:rPr>
                      <w:rFonts w:ascii="Arial" w:hAnsi="Arial" w:cs="Arial"/>
                    </w:rPr>
                    <w:t>Check B12 &amp; folate, alcohol history &amp; TFT: if &lt;120fL and folate &amp; B12 are normal continue, if &gt;120fL stop mycophenolate mofetil and contact specialist.</w:t>
                  </w:r>
                </w:p>
              </w:tc>
            </w:tr>
            <w:tr w:rsidR="0045144B" w:rsidRPr="00843717" w14:paraId="49EA16AD" w14:textId="77777777" w:rsidTr="00992C71">
              <w:tc>
                <w:tcPr>
                  <w:tcW w:w="4261" w:type="dxa"/>
                </w:tcPr>
                <w:p w14:paraId="4D36A1BF" w14:textId="77777777" w:rsidR="0045144B" w:rsidRPr="00843717" w:rsidRDefault="0045144B" w:rsidP="0045144B">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43E7F4BA" w14:textId="77777777" w:rsidR="0045144B" w:rsidRDefault="0045144B" w:rsidP="0045144B">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 xml:space="preserve">x ULN hold </w:t>
                  </w:r>
                  <w:r>
                    <w:rPr>
                      <w:rFonts w:ascii="Arial" w:hAnsi="Arial" w:cs="Arial"/>
                    </w:rPr>
                    <w:t>mycophenolate</w:t>
                  </w:r>
                  <w:r w:rsidRPr="00631DFD">
                    <w:rPr>
                      <w:rFonts w:ascii="Arial" w:hAnsi="Arial" w:cs="Arial"/>
                    </w:rPr>
                    <w:t xml:space="preserve"> </w:t>
                  </w:r>
                  <w:r>
                    <w:rPr>
                      <w:rFonts w:ascii="Arial" w:hAnsi="Arial" w:cs="Arial"/>
                    </w:rPr>
                    <w:t xml:space="preserve">mofetil </w:t>
                  </w:r>
                  <w:r w:rsidRPr="00631DFD">
                    <w:rPr>
                      <w:rFonts w:ascii="Arial" w:hAnsi="Arial" w:cs="Arial"/>
                    </w:rPr>
                    <w:t>and seek specialist advice.</w:t>
                  </w:r>
                </w:p>
                <w:p w14:paraId="34A46354" w14:textId="77777777" w:rsidR="0045144B" w:rsidRDefault="0045144B" w:rsidP="0045144B">
                  <w:pPr>
                    <w:rPr>
                      <w:rFonts w:ascii="Arial" w:hAnsi="Arial" w:cs="Arial"/>
                    </w:rPr>
                  </w:pPr>
                  <w:r>
                    <w:rPr>
                      <w:rFonts w:ascii="Arial" w:hAnsi="Arial" w:cs="Arial"/>
                    </w:rPr>
                    <w:t>F</w:t>
                  </w:r>
                  <w:r w:rsidRPr="00843717">
                    <w:rPr>
                      <w:rFonts w:ascii="Arial" w:hAnsi="Arial" w:cs="Arial"/>
                    </w:rPr>
                    <w:t xml:space="preserve">or results between 2 - 3 x ULN, continue </w:t>
                  </w:r>
                  <w:r>
                    <w:rPr>
                      <w:rFonts w:ascii="Arial" w:hAnsi="Arial" w:cs="Arial"/>
                    </w:rPr>
                    <w:t>mycophenolate</w:t>
                  </w:r>
                  <w:r w:rsidRPr="00843717">
                    <w:rPr>
                      <w:rFonts w:ascii="Arial" w:hAnsi="Arial" w:cs="Arial"/>
                    </w:rPr>
                    <w:t xml:space="preserve">, repeat bloods and seek specialist advice. </w:t>
                  </w:r>
                </w:p>
                <w:p w14:paraId="21836C9A" w14:textId="77777777" w:rsidR="0045144B" w:rsidRPr="00843717" w:rsidRDefault="0045144B" w:rsidP="0045144B">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5144B" w:rsidRPr="00843717" w14:paraId="4C0C30D2" w14:textId="77777777" w:rsidTr="00992C71">
              <w:tc>
                <w:tcPr>
                  <w:tcW w:w="4261" w:type="dxa"/>
                </w:tcPr>
                <w:p w14:paraId="3474D6AC" w14:textId="77777777" w:rsidR="0045144B" w:rsidRPr="00843717" w:rsidRDefault="0045144B" w:rsidP="0045144B">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015C4693" w14:textId="77777777" w:rsidR="0045144B" w:rsidRPr="00843717" w:rsidRDefault="0045144B" w:rsidP="0045144B">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5144B" w:rsidRPr="00843717" w14:paraId="6F1DD1B3" w14:textId="77777777" w:rsidTr="00992C71">
              <w:tc>
                <w:tcPr>
                  <w:tcW w:w="4261" w:type="dxa"/>
                </w:tcPr>
                <w:p w14:paraId="0AB9C3B5" w14:textId="77777777" w:rsidR="0045144B" w:rsidRPr="00843717" w:rsidRDefault="0045144B" w:rsidP="0045144B">
                  <w:pPr>
                    <w:rPr>
                      <w:rFonts w:ascii="Arial" w:hAnsi="Arial" w:cs="Arial"/>
                    </w:rPr>
                  </w:pPr>
                  <w:r>
                    <w:rPr>
                      <w:rFonts w:ascii="Arial" w:hAnsi="Arial" w:cs="Arial"/>
                    </w:rPr>
                    <w:t>Rising ESR / CRP</w:t>
                  </w:r>
                </w:p>
              </w:tc>
              <w:tc>
                <w:tcPr>
                  <w:tcW w:w="5799" w:type="dxa"/>
                  <w:shd w:val="pct10" w:color="auto" w:fill="auto"/>
                </w:tcPr>
                <w:p w14:paraId="1395A669" w14:textId="77777777" w:rsidR="0045144B" w:rsidRPr="00843717" w:rsidRDefault="0045144B" w:rsidP="0045144B">
                  <w:pPr>
                    <w:rPr>
                      <w:rFonts w:ascii="Arial" w:hAnsi="Arial" w:cs="Arial"/>
                    </w:rPr>
                  </w:pPr>
                  <w:r>
                    <w:rPr>
                      <w:rFonts w:ascii="Arial" w:hAnsi="Arial" w:cs="Arial"/>
                    </w:rPr>
                    <w:t>Contact specialist for advice.</w:t>
                  </w:r>
                </w:p>
              </w:tc>
            </w:tr>
            <w:tr w:rsidR="0045144B" w:rsidRPr="00843717" w14:paraId="0735612F" w14:textId="77777777" w:rsidTr="00992C71">
              <w:tc>
                <w:tcPr>
                  <w:tcW w:w="4261" w:type="dxa"/>
                </w:tcPr>
                <w:p w14:paraId="6602ABC6" w14:textId="77777777" w:rsidR="0045144B" w:rsidRPr="00843717" w:rsidRDefault="0045144B" w:rsidP="0045144B">
                  <w:pPr>
                    <w:pStyle w:val="ListParagraph"/>
                    <w:numPr>
                      <w:ilvl w:val="0"/>
                      <w:numId w:val="9"/>
                    </w:numPr>
                    <w:rPr>
                      <w:rFonts w:ascii="Arial" w:hAnsi="Arial" w:cs="Arial"/>
                    </w:rPr>
                  </w:pPr>
                  <w:r w:rsidRPr="00843717">
                    <w:rPr>
                      <w:rFonts w:ascii="Arial" w:hAnsi="Arial" w:cs="Arial"/>
                    </w:rPr>
                    <w:t xml:space="preserve">If renal impairment develops </w:t>
                  </w:r>
                </w:p>
                <w:p w14:paraId="0F84AC91" w14:textId="77777777" w:rsidR="0045144B" w:rsidRPr="00E06022" w:rsidRDefault="0045144B" w:rsidP="0045144B">
                  <w:pPr>
                    <w:pStyle w:val="ListParagraph"/>
                    <w:numPr>
                      <w:ilvl w:val="0"/>
                      <w:numId w:val="9"/>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6FDCDDC9" w14:textId="77777777" w:rsidR="0045144B" w:rsidRPr="00843717" w:rsidRDefault="0045144B" w:rsidP="0045144B">
                  <w:pPr>
                    <w:rPr>
                      <w:rFonts w:ascii="Arial" w:hAnsi="Arial" w:cs="Arial"/>
                    </w:rPr>
                  </w:pPr>
                  <w:r>
                    <w:rPr>
                      <w:rFonts w:ascii="Arial" w:hAnsi="Arial" w:cs="Arial"/>
                    </w:rPr>
                    <w:t>Contact specialist for advice. Withhold mycophenolate mofetil</w:t>
                  </w:r>
                  <w:r w:rsidRPr="00843717">
                    <w:rPr>
                      <w:rFonts w:ascii="Arial" w:hAnsi="Arial" w:cs="Arial"/>
                    </w:rPr>
                    <w:t xml:space="preserve"> if no response from specialist in 5-7 days</w:t>
                  </w:r>
                  <w:r>
                    <w:rPr>
                      <w:rFonts w:ascii="Arial" w:hAnsi="Arial" w:cs="Arial"/>
                    </w:rPr>
                    <w:t>.</w:t>
                  </w:r>
                </w:p>
              </w:tc>
            </w:tr>
          </w:tbl>
          <w:p w14:paraId="70CF71F8" w14:textId="77777777" w:rsidR="00E60DF5" w:rsidRPr="00755AEA" w:rsidRDefault="00E60DF5" w:rsidP="00755AEA">
            <w:pPr>
              <w:spacing w:after="0"/>
              <w:rPr>
                <w:rFonts w:ascii="Arial" w:eastAsia="Times New Roman" w:hAnsi="Arial" w:cs="Arial"/>
                <w:bCs/>
                <w:lang w:eastAsia="en-GB"/>
              </w:rPr>
            </w:pPr>
          </w:p>
        </w:tc>
      </w:tr>
    </w:tbl>
    <w:p w14:paraId="309FF779" w14:textId="77777777" w:rsidR="005430C6" w:rsidRDefault="005430C6" w:rsidP="008522DD">
      <w:pPr>
        <w:spacing w:after="0"/>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521F6A2E" w:rsidR="00E85B9D" w:rsidRPr="00D7659F" w:rsidRDefault="005D1B7A" w:rsidP="00D7659F">
      <w:pPr>
        <w:pStyle w:val="ListParagraph"/>
        <w:numPr>
          <w:ilvl w:val="0"/>
          <w:numId w:val="5"/>
        </w:numPr>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E20196">
        <w:rPr>
          <w:rFonts w:ascii="Arial" w:hAnsi="Arial" w:cs="Arial"/>
        </w:rPr>
        <w:t>1</w:t>
      </w:r>
      <w:r w:rsidRPr="00D7659F">
        <w:rPr>
          <w:rFonts w:ascii="Arial" w:hAnsi="Arial" w:cs="Arial"/>
        </w:rPr>
        <w:t xml:space="preserve">). </w:t>
      </w:r>
    </w:p>
    <w:p w14:paraId="05CBA057" w14:textId="77777777" w:rsidR="00097D24" w:rsidRDefault="00097D24" w:rsidP="00015A9D">
      <w:pPr>
        <w:spacing w:after="120"/>
        <w:rPr>
          <w:rFonts w:ascii="Arial" w:eastAsia="Times New Roman" w:hAnsi="Arial" w:cs="Arial"/>
          <w:b/>
          <w:sz w:val="28"/>
          <w:szCs w:val="24"/>
          <w:u w:val="single"/>
          <w:lang w:val="en-US"/>
        </w:rPr>
      </w:pPr>
    </w:p>
    <w:p w14:paraId="5FF87A45" w14:textId="77777777" w:rsidR="002561D9" w:rsidRDefault="002561D9" w:rsidP="00015A9D">
      <w:pPr>
        <w:spacing w:after="120"/>
        <w:rPr>
          <w:rFonts w:ascii="Arial" w:eastAsia="Times New Roman" w:hAnsi="Arial" w:cs="Arial"/>
          <w:b/>
          <w:sz w:val="28"/>
          <w:szCs w:val="24"/>
          <w:u w:val="single"/>
          <w:lang w:val="en-US"/>
        </w:rPr>
      </w:pPr>
    </w:p>
    <w:p w14:paraId="35C071A3" w14:textId="77777777" w:rsidR="002561D9" w:rsidRDefault="002561D9" w:rsidP="00015A9D">
      <w:pPr>
        <w:spacing w:after="120"/>
        <w:rPr>
          <w:rFonts w:ascii="Arial" w:eastAsia="Times New Roman" w:hAnsi="Arial" w:cs="Arial"/>
          <w:b/>
          <w:sz w:val="28"/>
          <w:szCs w:val="24"/>
          <w:u w:val="single"/>
          <w:lang w:val="en-US"/>
        </w:rPr>
      </w:pPr>
    </w:p>
    <w:p w14:paraId="131FF780" w14:textId="77777777" w:rsidR="002561D9" w:rsidRDefault="002561D9" w:rsidP="00015A9D">
      <w:pPr>
        <w:spacing w:after="120"/>
        <w:rPr>
          <w:rFonts w:ascii="Arial" w:eastAsia="Times New Roman" w:hAnsi="Arial" w:cs="Arial"/>
          <w:b/>
          <w:sz w:val="28"/>
          <w:szCs w:val="24"/>
          <w:u w:val="single"/>
          <w:lang w:val="en-US"/>
        </w:rPr>
      </w:pPr>
    </w:p>
    <w:p w14:paraId="16A12001" w14:textId="77777777" w:rsidR="002561D9" w:rsidRDefault="002561D9" w:rsidP="00015A9D">
      <w:pPr>
        <w:spacing w:after="120"/>
        <w:rPr>
          <w:rFonts w:ascii="Arial" w:eastAsia="Times New Roman" w:hAnsi="Arial" w:cs="Arial"/>
          <w:b/>
          <w:sz w:val="28"/>
          <w:szCs w:val="24"/>
          <w:u w:val="single"/>
          <w:lang w:val="en-US"/>
        </w:rPr>
      </w:pPr>
    </w:p>
    <w:p w14:paraId="7357BA6F" w14:textId="77777777" w:rsidR="002561D9" w:rsidRDefault="002561D9" w:rsidP="00015A9D">
      <w:pPr>
        <w:spacing w:after="120"/>
        <w:rPr>
          <w:rFonts w:ascii="Arial" w:eastAsia="Times New Roman" w:hAnsi="Arial" w:cs="Arial"/>
          <w:b/>
          <w:sz w:val="28"/>
          <w:szCs w:val="24"/>
          <w:u w:val="single"/>
          <w:lang w:val="en-US"/>
        </w:rPr>
      </w:pPr>
    </w:p>
    <w:p w14:paraId="74019DEC" w14:textId="77777777" w:rsidR="002561D9" w:rsidRDefault="002561D9" w:rsidP="00015A9D">
      <w:pPr>
        <w:spacing w:after="120"/>
        <w:rPr>
          <w:rFonts w:ascii="Arial" w:eastAsia="Times New Roman" w:hAnsi="Arial" w:cs="Arial"/>
          <w:b/>
          <w:sz w:val="28"/>
          <w:szCs w:val="24"/>
          <w:u w:val="single"/>
          <w:lang w:val="en-US"/>
        </w:rPr>
      </w:pPr>
    </w:p>
    <w:p w14:paraId="13E5E9B1" w14:textId="77777777" w:rsidR="002561D9" w:rsidRDefault="002561D9" w:rsidP="00015A9D">
      <w:pPr>
        <w:spacing w:after="120"/>
        <w:rPr>
          <w:rFonts w:ascii="Arial" w:eastAsia="Times New Roman" w:hAnsi="Arial" w:cs="Arial"/>
          <w:b/>
          <w:sz w:val="28"/>
          <w:szCs w:val="24"/>
          <w:u w:val="single"/>
          <w:lang w:val="en-US"/>
        </w:rPr>
      </w:pPr>
    </w:p>
    <w:p w14:paraId="0012B6D4" w14:textId="77777777" w:rsidR="002561D9" w:rsidRDefault="002561D9" w:rsidP="00015A9D">
      <w:pPr>
        <w:spacing w:after="120"/>
        <w:rPr>
          <w:rFonts w:ascii="Arial" w:eastAsia="Times New Roman" w:hAnsi="Arial" w:cs="Arial"/>
          <w:b/>
          <w:sz w:val="28"/>
          <w:szCs w:val="24"/>
          <w:u w:val="single"/>
          <w:lang w:val="en-US"/>
        </w:rPr>
      </w:pPr>
    </w:p>
    <w:p w14:paraId="3DB02B3D" w14:textId="77777777" w:rsidR="002561D9" w:rsidRDefault="002561D9" w:rsidP="00015A9D">
      <w:pPr>
        <w:spacing w:after="120"/>
        <w:rPr>
          <w:rFonts w:ascii="Arial" w:eastAsia="Times New Roman" w:hAnsi="Arial" w:cs="Arial"/>
          <w:b/>
          <w:sz w:val="28"/>
          <w:szCs w:val="24"/>
          <w:u w:val="single"/>
          <w:lang w:val="en-US"/>
        </w:rPr>
      </w:pPr>
    </w:p>
    <w:p w14:paraId="4AE2CE42" w14:textId="77777777" w:rsidR="002561D9" w:rsidRDefault="002561D9" w:rsidP="00015A9D">
      <w:pPr>
        <w:spacing w:after="120"/>
        <w:rPr>
          <w:rFonts w:ascii="Arial" w:eastAsia="Times New Roman" w:hAnsi="Arial" w:cs="Arial"/>
          <w:b/>
          <w:sz w:val="28"/>
          <w:szCs w:val="24"/>
          <w:u w:val="single"/>
          <w:lang w:val="en-US"/>
        </w:rPr>
      </w:pPr>
    </w:p>
    <w:p w14:paraId="40C96011" w14:textId="77777777" w:rsidR="002561D9" w:rsidRDefault="002561D9" w:rsidP="00015A9D">
      <w:pPr>
        <w:spacing w:after="120"/>
        <w:rPr>
          <w:rFonts w:ascii="Arial" w:eastAsia="Times New Roman" w:hAnsi="Arial" w:cs="Arial"/>
          <w:b/>
          <w:sz w:val="28"/>
          <w:szCs w:val="24"/>
          <w:u w:val="single"/>
          <w:lang w:val="en-US"/>
        </w:rPr>
      </w:pPr>
    </w:p>
    <w:p w14:paraId="61BD6505" w14:textId="77777777" w:rsidR="002561D9" w:rsidRDefault="002561D9" w:rsidP="00015A9D">
      <w:pPr>
        <w:spacing w:after="120"/>
        <w:rPr>
          <w:rFonts w:ascii="Arial" w:eastAsia="Times New Roman" w:hAnsi="Arial" w:cs="Arial"/>
          <w:b/>
          <w:sz w:val="28"/>
          <w:szCs w:val="24"/>
          <w:u w:val="single"/>
          <w:lang w:val="en-US"/>
        </w:rPr>
      </w:pPr>
    </w:p>
    <w:p w14:paraId="6513E706" w14:textId="77777777" w:rsidR="002561D9" w:rsidRDefault="002561D9" w:rsidP="00015A9D">
      <w:pPr>
        <w:spacing w:after="120"/>
        <w:rPr>
          <w:rFonts w:ascii="Arial" w:eastAsia="Times New Roman" w:hAnsi="Arial" w:cs="Arial"/>
          <w:b/>
          <w:sz w:val="28"/>
          <w:szCs w:val="24"/>
          <w:u w:val="single"/>
          <w:lang w:val="en-US"/>
        </w:rPr>
      </w:pPr>
    </w:p>
    <w:p w14:paraId="612AAB50" w14:textId="77777777" w:rsidR="002561D9" w:rsidRDefault="002561D9" w:rsidP="00015A9D">
      <w:pPr>
        <w:spacing w:after="120"/>
        <w:rPr>
          <w:rFonts w:ascii="Arial" w:eastAsia="Times New Roman" w:hAnsi="Arial" w:cs="Arial"/>
          <w:b/>
          <w:sz w:val="28"/>
          <w:szCs w:val="24"/>
          <w:u w:val="single"/>
          <w:lang w:val="en-US"/>
        </w:rPr>
      </w:pPr>
    </w:p>
    <w:p w14:paraId="06B202D0" w14:textId="77777777" w:rsidR="002561D9" w:rsidRDefault="002561D9" w:rsidP="00015A9D">
      <w:pPr>
        <w:spacing w:after="120"/>
        <w:rPr>
          <w:rFonts w:ascii="Arial" w:eastAsia="Times New Roman" w:hAnsi="Arial" w:cs="Arial"/>
          <w:b/>
          <w:sz w:val="28"/>
          <w:szCs w:val="24"/>
          <w:u w:val="single"/>
          <w:lang w:val="en-US"/>
        </w:rPr>
      </w:pPr>
    </w:p>
    <w:p w14:paraId="281C68E5" w14:textId="77777777" w:rsidR="002561D9" w:rsidRDefault="002561D9" w:rsidP="00015A9D">
      <w:pPr>
        <w:spacing w:after="120"/>
        <w:rPr>
          <w:rFonts w:ascii="Arial" w:eastAsia="Times New Roman" w:hAnsi="Arial" w:cs="Arial"/>
          <w:b/>
          <w:sz w:val="28"/>
          <w:szCs w:val="24"/>
          <w:u w:val="single"/>
          <w:lang w:val="en-US"/>
        </w:rPr>
      </w:pPr>
    </w:p>
    <w:p w14:paraId="48B534A9" w14:textId="6EB0E192" w:rsidR="002A009B" w:rsidRPr="002B0C19" w:rsidRDefault="00C83EBD" w:rsidP="002A009B">
      <w:pPr>
        <w:spacing w:after="0"/>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jc w:val="center"/>
        <w:rPr>
          <w:rFonts w:ascii="Arial" w:eastAsia="Times New Roman" w:hAnsi="Arial" w:cs="Times New Roman"/>
          <w:b/>
          <w:bCs/>
          <w:sz w:val="12"/>
          <w:szCs w:val="24"/>
        </w:rPr>
      </w:pPr>
    </w:p>
    <w:p w14:paraId="2C3229BB"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heme="minorHAnsi" w:hAnsi="Arial" w:cs="Arial"/>
          <w:b/>
        </w:rPr>
      </w:pPr>
      <w:r w:rsidRPr="00D56106">
        <w:rPr>
          <w:rFonts w:ascii="Arial" w:eastAsiaTheme="minorHAnsi" w:hAnsi="Arial" w:cs="Arial"/>
          <w:b/>
        </w:rPr>
        <w:t>Mycophenolate mofetil (MMF)</w:t>
      </w:r>
    </w:p>
    <w:p w14:paraId="1B77AE5F"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use in adults with multisystem autoimmune disease: </w:t>
      </w:r>
    </w:p>
    <w:p w14:paraId="59693845" w14:textId="2A3A15E2" w:rsidR="00D56106" w:rsidRPr="00702FB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D0721">
        <w:rPr>
          <w:rFonts w:ascii="Arial" w:eastAsiaTheme="minorHAnsi" w:hAnsi="Arial" w:cs="Arial"/>
          <w:b/>
        </w:rPr>
        <w:t>Nephrology</w:t>
      </w:r>
      <w:r w:rsidRPr="00D56106">
        <w:rPr>
          <w:rFonts w:ascii="Arial" w:eastAsiaTheme="minorHAnsi" w:hAnsi="Arial" w:cs="Arial"/>
          <w:b/>
        </w:rPr>
        <w:t xml:space="preserve"> / Rheumatology / Dermatology / </w:t>
      </w:r>
      <w:r w:rsidRPr="00702FB6">
        <w:rPr>
          <w:rFonts w:ascii="Arial" w:eastAsiaTheme="minorHAnsi" w:hAnsi="Arial" w:cs="Arial"/>
          <w:b/>
        </w:rPr>
        <w:t>Respiratory / Haematology / Neurology /</w:t>
      </w:r>
      <w:r w:rsidR="00D9407E" w:rsidRPr="00702FB6">
        <w:rPr>
          <w:rFonts w:ascii="Arial" w:eastAsiaTheme="minorHAnsi" w:hAnsi="Arial" w:cs="Arial"/>
          <w:b/>
        </w:rPr>
        <w:t xml:space="preserve"> </w:t>
      </w:r>
      <w:r w:rsidRPr="00702FB6">
        <w:rPr>
          <w:rFonts w:ascii="Arial" w:eastAsiaTheme="minorHAnsi" w:hAnsi="Arial" w:cs="Arial"/>
          <w:b/>
        </w:rPr>
        <w:t>Ophthalmology / Gastroenterology</w:t>
      </w:r>
    </w:p>
    <w:p w14:paraId="34A08D07" w14:textId="57C71199"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702FB6">
        <w:rPr>
          <w:rFonts w:ascii="Arial" w:eastAsia="Times New Roman" w:hAnsi="Arial" w:cs="Arial"/>
          <w:b/>
          <w:lang w:val="en-US"/>
        </w:rPr>
        <w:t>Shared Care Protocol: Guideline No 6; Version 2</w:t>
      </w:r>
      <w:r w:rsidR="00CC3B9F">
        <w:rPr>
          <w:rFonts w:ascii="Arial" w:eastAsia="Times New Roman" w:hAnsi="Arial" w:cs="Arial"/>
          <w:b/>
          <w:lang w:val="en-US"/>
        </w:rPr>
        <w:t>.</w:t>
      </w:r>
      <w:r w:rsidR="00E20196">
        <w:rPr>
          <w:rFonts w:ascii="Arial" w:eastAsia="Times New Roman" w:hAnsi="Arial" w:cs="Arial"/>
          <w:b/>
          <w:lang w:val="en-US"/>
        </w:rPr>
        <w:t>2</w:t>
      </w:r>
    </w:p>
    <w:p w14:paraId="30A1C624" w14:textId="7D36F7D5" w:rsidR="007615C2" w:rsidRPr="002A009B" w:rsidRDefault="00004CD4" w:rsidP="002A009B">
      <w:pPr>
        <w:spacing w:after="120"/>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92C11">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rPr>
          <w:rFonts w:ascii="Arial" w:hAnsi="Arial" w:cs="Arial"/>
          <w:b/>
        </w:rPr>
      </w:pPr>
      <w:r w:rsidRPr="00004CD4">
        <w:rPr>
          <w:rFonts w:ascii="Arial" w:hAnsi="Arial" w:cs="Arial"/>
          <w:b/>
        </w:rPr>
        <w:t>BACKGROUND AND INDICATION(S) FOR USE</w:t>
      </w:r>
    </w:p>
    <w:p w14:paraId="2AA4BFB1"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Mycophenolate mofetil (MMF) is a pro-drug of mycophenolic acid. It is a reversible inhibitor of inosine monophosphate dehydrogenase and thus inhibits purine synthesis, with potent cytostatic effects on both T</w:t>
      </w:r>
      <w:r>
        <w:rPr>
          <w:rFonts w:ascii="Arial" w:hAnsi="Arial" w:cs="Arial"/>
        </w:rPr>
        <w:t xml:space="preserve"> </w:t>
      </w:r>
      <w:r w:rsidRPr="00D7055D">
        <w:rPr>
          <w:rFonts w:ascii="Arial" w:hAnsi="Arial" w:cs="Arial"/>
        </w:rPr>
        <w:t xml:space="preserve">and B-lymphocytes. It does not inhibit production of interleukins as does ciclosporin and tacrolimus. Different brands and formulations of </w:t>
      </w:r>
      <w:r>
        <w:rPr>
          <w:rFonts w:ascii="Arial" w:hAnsi="Arial" w:cs="Arial"/>
        </w:rPr>
        <w:t>m</w:t>
      </w:r>
      <w:r w:rsidRPr="00D7055D">
        <w:rPr>
          <w:rFonts w:ascii="Arial" w:hAnsi="Arial" w:cs="Arial"/>
        </w:rPr>
        <w:t xml:space="preserve">ycophenolate have small differences in bioavailability, but this is not a problem in this group of patients. </w:t>
      </w:r>
    </w:p>
    <w:p w14:paraId="0D5AB967"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Time to response is usually between 6 weeks and 3 months. </w:t>
      </w:r>
    </w:p>
    <w:p w14:paraId="6C875E8F"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See SPC for full details </w:t>
      </w:r>
      <w:hyperlink r:id="rId14" w:history="1">
        <w:r w:rsidRPr="00D7055D">
          <w:rPr>
            <w:rStyle w:val="Hyperlink"/>
            <w:rFonts w:ascii="Arial" w:hAnsi="Arial" w:cs="Arial"/>
          </w:rPr>
          <w:t>http://www.medicines.org.uk/emc/medicine/1680</w:t>
        </w:r>
      </w:hyperlink>
    </w:p>
    <w:p w14:paraId="2043925B" w14:textId="77777777" w:rsidR="00746DDF"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B527104"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Transplant and other indications not specified below are not covered by this Shared Care Protocol.</w:t>
      </w:r>
    </w:p>
    <w:p w14:paraId="04C69CFE" w14:textId="77777777" w:rsidR="00746DDF" w:rsidRPr="00004CD4"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2817D63" w14:textId="77777777" w:rsidR="00746DDF" w:rsidRPr="00C235FE"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szCs w:val="20"/>
        </w:rPr>
      </w:pPr>
      <w:r w:rsidRPr="00C235FE">
        <w:rPr>
          <w:rFonts w:ascii="Arial" w:hAnsi="Arial" w:cs="Arial"/>
          <w:b/>
          <w:color w:val="000000"/>
          <w:szCs w:val="20"/>
        </w:rPr>
        <w:t>Unlicensed indications:</w:t>
      </w:r>
    </w:p>
    <w:p w14:paraId="4CB412E2" w14:textId="62DCF21F" w:rsidR="00746DDF"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rPr>
      </w:pPr>
      <w:r w:rsidRPr="008310AC">
        <w:rPr>
          <w:rFonts w:ascii="Arial" w:hAnsi="Arial" w:cs="Arial"/>
          <w:color w:val="000000"/>
          <w:szCs w:val="20"/>
        </w:rPr>
        <w:t xml:space="preserve">Connective tissue diseases (rheumatoid arthritis, cutaneous and systemic lupus erythematosus and lupus nephritis, scleroderma, dermatomyositis and polymyositis), severe psoriasis, severe atopic dermatitis, blistering conditions, pyoderma gangrenosum, vasculitis, autoimmune bullous dermatoses such as pemphigus, </w:t>
      </w:r>
      <w:bookmarkStart w:id="1" w:name="_Hlk159517213"/>
      <w:r w:rsidRPr="008310AC">
        <w:rPr>
          <w:rFonts w:ascii="Arial" w:hAnsi="Arial" w:cs="Arial"/>
          <w:color w:val="000000"/>
          <w:szCs w:val="20"/>
        </w:rPr>
        <w:t>inflammatory eye disease (uveitis and scleritis), myasthenia gravis, haemolytic anaemia, idiopathic thrombocytopenic purpura</w:t>
      </w:r>
      <w:r>
        <w:rPr>
          <w:rFonts w:ascii="Arial" w:hAnsi="Arial" w:cs="Arial"/>
          <w:color w:val="000000"/>
          <w:szCs w:val="20"/>
        </w:rPr>
        <w:t>,</w:t>
      </w:r>
      <w:bookmarkEnd w:id="1"/>
      <w:r>
        <w:rPr>
          <w:rFonts w:ascii="Arial" w:hAnsi="Arial" w:cs="Arial"/>
          <w:color w:val="000000"/>
          <w:szCs w:val="20"/>
        </w:rPr>
        <w:t xml:space="preserve"> autoimmune hepatitis, disease-associated interstitial lung disease (not idiopathic pulmonary fibrosis)</w:t>
      </w:r>
      <w:r w:rsidR="004C0564">
        <w:rPr>
          <w:rFonts w:ascii="Arial" w:hAnsi="Arial" w:cs="Arial"/>
          <w:color w:val="000000"/>
          <w:sz w:val="20"/>
          <w:szCs w:val="20"/>
        </w:rPr>
        <w:t xml:space="preserve">, </w:t>
      </w:r>
    </w:p>
    <w:p w14:paraId="5A776090" w14:textId="77777777" w:rsidR="002A009B" w:rsidRPr="005430C6" w:rsidRDefault="002A009B" w:rsidP="002A009B">
      <w:pPr>
        <w:spacing w:after="0"/>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185F62DA"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rPr>
          <w:rFonts w:ascii="Arial" w:eastAsiaTheme="minorHAnsi" w:hAnsi="Arial" w:cs="Arial"/>
          <w:b/>
        </w:rPr>
      </w:pPr>
      <w:r w:rsidRPr="002561D9">
        <w:rPr>
          <w:rFonts w:ascii="Arial" w:eastAsiaTheme="minorHAnsi" w:hAnsi="Arial" w:cs="Arial"/>
          <w:b/>
        </w:rPr>
        <w:t>Adult dosage and administration</w:t>
      </w:r>
    </w:p>
    <w:p w14:paraId="1E5FF141"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color w:val="000000"/>
          <w:szCs w:val="20"/>
        </w:rPr>
        <w:t xml:space="preserve">The recommended adult dose is between 1g and 3g daily, taken in 2 divided doses. Gastrointestinal adverse effects (most commonly diarrhoea and nausea) may be limited by increasing dose frequency (e.g. 500mg four times daily rather than 1g bd). Dosage may need to be reduced in patients with renal impairment. </w:t>
      </w:r>
    </w:p>
    <w:p w14:paraId="61B71CF5" w14:textId="77777777" w:rsid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b/>
          <w:bCs/>
          <w:color w:val="000000"/>
          <w:szCs w:val="20"/>
        </w:rPr>
        <w:t xml:space="preserve">Available as: </w:t>
      </w:r>
      <w:r w:rsidRPr="002561D9">
        <w:rPr>
          <w:rFonts w:ascii="Arial" w:eastAsiaTheme="minorHAnsi" w:hAnsi="Arial" w:cs="Arial"/>
          <w:color w:val="000000"/>
          <w:szCs w:val="20"/>
        </w:rPr>
        <w:t>mycophenolate mofetil tablets 500mg, capsules 250mg and oral suspension 1g/5ml.</w:t>
      </w:r>
    </w:p>
    <w:p w14:paraId="2DA1B63C" w14:textId="77777777" w:rsidR="00CC3B9F" w:rsidRDefault="00CC3B9F"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p>
    <w:p w14:paraId="74215996" w14:textId="77777777" w:rsidR="00CC3B9F" w:rsidRPr="00CC3B9F" w:rsidRDefault="00CC3B9F" w:rsidP="00CC3B9F">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u w:val="single"/>
        </w:rPr>
      </w:pPr>
      <w:r w:rsidRPr="00CC3B9F">
        <w:rPr>
          <w:rFonts w:ascii="Arial" w:eastAsiaTheme="minorHAnsi" w:hAnsi="Arial" w:cs="Arial"/>
          <w:color w:val="000000"/>
          <w:szCs w:val="20"/>
          <w:u w:val="single"/>
        </w:rPr>
        <w:t>Swallowing difficulties</w:t>
      </w:r>
    </w:p>
    <w:p w14:paraId="3148C068" w14:textId="531E7E0D" w:rsidR="00CC3B9F" w:rsidRPr="00CC3B9F" w:rsidRDefault="00CC3B9F"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b/>
          <w:bCs/>
          <w:color w:val="000000"/>
          <w:szCs w:val="20"/>
        </w:rPr>
      </w:pPr>
      <w:r w:rsidRPr="00CC3B9F">
        <w:rPr>
          <w:rFonts w:ascii="Arial" w:eastAsiaTheme="minorHAnsi" w:hAnsi="Arial" w:cs="Arial"/>
          <w:color w:val="000000"/>
          <w:szCs w:val="20"/>
        </w:rPr>
        <w:t xml:space="preserve">Please refer to the </w:t>
      </w:r>
      <w:hyperlink r:id="rId15" w:history="1">
        <w:r w:rsidRPr="00CC3B9F">
          <w:rPr>
            <w:rStyle w:val="Hyperlink"/>
            <w:rFonts w:ascii="Arial" w:eastAsiaTheme="minorHAnsi" w:hAnsi="Arial" w:cs="Arial"/>
            <w:szCs w:val="20"/>
          </w:rPr>
          <w:t>‘specials’ alternative guidance</w:t>
        </w:r>
      </w:hyperlink>
      <w:r w:rsidRPr="00CC3B9F">
        <w:rPr>
          <w:rFonts w:ascii="Arial" w:eastAsiaTheme="minorHAnsi" w:hAnsi="Arial" w:cs="Arial"/>
          <w:color w:val="000000"/>
          <w:szCs w:val="20"/>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CC3B9F">
        <w:rPr>
          <w:rFonts w:ascii="Arial" w:eastAsiaTheme="minorHAnsi" w:hAnsi="Arial" w:cs="Arial"/>
          <w:color w:val="000000"/>
          <w:szCs w:val="20"/>
        </w:rPr>
        <w:t>takes into account</w:t>
      </w:r>
      <w:proofErr w:type="gramEnd"/>
      <w:r w:rsidRPr="00CC3B9F">
        <w:rPr>
          <w:rFonts w:ascii="Arial" w:eastAsiaTheme="minorHAnsi" w:hAnsi="Arial" w:cs="Arial"/>
          <w:color w:val="000000"/>
          <w:szCs w:val="20"/>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48DED4BF"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4"/>
        </w:rPr>
      </w:pPr>
    </w:p>
    <w:p w14:paraId="3F4076AE" w14:textId="6916422F" w:rsidR="00097D24" w:rsidRPr="002561D9" w:rsidRDefault="002561D9" w:rsidP="00097D24">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2561D9">
        <w:rPr>
          <w:rFonts w:ascii="Arial" w:eastAsiaTheme="minorHAnsi" w:hAnsi="Arial" w:cs="Arial"/>
        </w:rPr>
        <w:t>Also refer to page 1/2</w:t>
      </w:r>
    </w:p>
    <w:p w14:paraId="65E14DB2" w14:textId="77777777" w:rsidR="0057501A" w:rsidRDefault="0057501A" w:rsidP="0057501A">
      <w:pPr>
        <w:spacing w:after="0"/>
        <w:rPr>
          <w:rFonts w:ascii="Arial" w:hAnsi="Arial" w:cs="Arial"/>
          <w:b/>
          <w:sz w:val="18"/>
        </w:rPr>
      </w:pPr>
    </w:p>
    <w:p w14:paraId="0F6E95C3" w14:textId="77777777" w:rsidR="0057501A" w:rsidRPr="0057501A" w:rsidRDefault="0057501A" w:rsidP="0057501A">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52F6559"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mycophenolate mofetil</w:t>
            </w:r>
            <w:r w:rsidRPr="0018705A">
              <w:rPr>
                <w:rFonts w:ascii="Arial" w:eastAsia="Times New Roman" w:hAnsi="Arial" w:cs="Arial"/>
                <w:bCs/>
                <w:lang w:eastAsia="en-GB"/>
              </w:rPr>
              <w:t xml:space="preserve"> and initiate treatment. </w:t>
            </w:r>
          </w:p>
          <w:p w14:paraId="664FE5AA"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222A9EE6" w14:textId="77777777" w:rsidR="00746DDF" w:rsidRPr="008D03D1" w:rsidRDefault="00746DDF">
            <w:pPr>
              <w:pStyle w:val="ListParagraph"/>
              <w:numPr>
                <w:ilvl w:val="0"/>
                <w:numId w:val="13"/>
              </w:numPr>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581EA5DC"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2ACDCDA1"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345651C3"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lastRenderedPageBreak/>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8B691F"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754CCECF" w14:textId="77777777" w:rsidR="00746DDF" w:rsidRPr="00275F77" w:rsidRDefault="00746DDF">
            <w:pPr>
              <w:numPr>
                <w:ilvl w:val="0"/>
                <w:numId w:val="13"/>
              </w:numPr>
              <w:spacing w:after="0"/>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1EA6C17B"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E593CE8"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40829D72"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DDF0058"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1F1D1952" w14:textId="77777777" w:rsidR="00746DDF" w:rsidRPr="00564EF4" w:rsidRDefault="00746DDF">
            <w:pPr>
              <w:numPr>
                <w:ilvl w:val="0"/>
                <w:numId w:val="13"/>
              </w:numPr>
              <w:shd w:val="clear" w:color="auto" w:fill="FFFFFF"/>
              <w:spacing w:after="0"/>
              <w:rPr>
                <w:rFonts w:ascii="Arial" w:eastAsia="Times New Roman" w:hAnsi="Arial" w:cs="Arial"/>
                <w:color w:val="000000"/>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3A9F1B9F" w14:textId="10283F35" w:rsidR="0057501A" w:rsidRPr="009E4D84" w:rsidRDefault="00746DDF">
            <w:pPr>
              <w:pStyle w:val="Default"/>
              <w:numPr>
                <w:ilvl w:val="0"/>
                <w:numId w:val="13"/>
              </w:numPr>
              <w:rPr>
                <w:color w:val="auto"/>
                <w:sz w:val="22"/>
                <w:szCs w:val="22"/>
              </w:rPr>
            </w:pPr>
            <w:r w:rsidRPr="002561D9">
              <w:rPr>
                <w:rFonts w:eastAsia="Times New Roman"/>
                <w:sz w:val="22"/>
                <w:szCs w:val="22"/>
              </w:rPr>
              <w:t xml:space="preserve">If the patient is a woman of </w:t>
            </w:r>
            <w:proofErr w:type="gramStart"/>
            <w:r w:rsidRPr="002561D9">
              <w:rPr>
                <w:rFonts w:eastAsia="Times New Roman"/>
                <w:sz w:val="22"/>
                <w:szCs w:val="22"/>
              </w:rPr>
              <w:t>child bearing</w:t>
            </w:r>
            <w:proofErr w:type="gramEnd"/>
            <w:r w:rsidRPr="002561D9">
              <w:rPr>
                <w:rFonts w:eastAsia="Times New Roman"/>
                <w:sz w:val="22"/>
                <w:szCs w:val="22"/>
              </w:rPr>
              <w:t xml:space="preserve"> potential ensure that they are aware of the importance of effective contraception and the need to discuss with their consultant if they wish to become pregnant (See MHRA safety updates for more information)</w:t>
            </w:r>
          </w:p>
          <w:p w14:paraId="0AEA07EC" w14:textId="77777777" w:rsidR="00616BB8" w:rsidRPr="00616BB8" w:rsidRDefault="00616BB8" w:rsidP="00616BB8">
            <w:pPr>
              <w:pStyle w:val="ListParagraph"/>
              <w:numPr>
                <w:ilvl w:val="0"/>
                <w:numId w:val="13"/>
              </w:numPr>
              <w:rPr>
                <w:rFonts w:ascii="Arial" w:eastAsia="Calibri" w:hAnsi="Arial" w:cs="Arial"/>
                <w:lang w:eastAsia="en-GB"/>
              </w:rPr>
            </w:pPr>
            <w:r w:rsidRPr="00616BB8">
              <w:rPr>
                <w:rFonts w:ascii="Arial" w:eastAsia="Calibri" w:hAnsi="Arial" w:cs="Arial"/>
                <w:lang w:eastAsia="en-GB"/>
              </w:rPr>
              <w:t>Ensure they are aware either male patients or their female partners use reliable contraception and that men planning to have children discuss this with their doctor. (See MHRA safety updates for more information)</w:t>
            </w:r>
          </w:p>
          <w:p w14:paraId="63980F92" w14:textId="77777777" w:rsidR="0057271E" w:rsidRPr="00702FB6" w:rsidRDefault="0057271E">
            <w:pPr>
              <w:pStyle w:val="Default"/>
              <w:numPr>
                <w:ilvl w:val="0"/>
                <w:numId w:val="13"/>
              </w:numPr>
              <w:rPr>
                <w:color w:val="auto"/>
                <w:sz w:val="22"/>
                <w:szCs w:val="22"/>
              </w:rPr>
            </w:pPr>
            <w:r w:rsidRPr="00702FB6">
              <w:rPr>
                <w:rFonts w:eastAsia="Times New Roman"/>
                <w:sz w:val="22"/>
                <w:szCs w:val="22"/>
              </w:rPr>
              <w:t>Encourage all women aged 25-64 years old to participate in national cervical cancer screening programmes. There is no need to attend more frequently than recommended.</w:t>
            </w:r>
          </w:p>
          <w:p w14:paraId="497F2D21" w14:textId="77777777" w:rsidR="004705AE" w:rsidRPr="00702FB6" w:rsidRDefault="004705AE" w:rsidP="004705AE">
            <w:pPr>
              <w:pStyle w:val="Default"/>
              <w:rPr>
                <w:sz w:val="22"/>
                <w:szCs w:val="22"/>
              </w:rPr>
            </w:pPr>
          </w:p>
          <w:p w14:paraId="351ADCF1" w14:textId="77777777" w:rsidR="004705AE" w:rsidRPr="00702FB6" w:rsidRDefault="004705AE" w:rsidP="004705AE">
            <w:pPr>
              <w:spacing w:after="0"/>
              <w:rPr>
                <w:rFonts w:ascii="Arial" w:eastAsia="Times New Roman" w:hAnsi="Arial" w:cs="Arial"/>
                <w:b/>
                <w:sz w:val="24"/>
                <w:szCs w:val="24"/>
                <w:lang w:eastAsia="en-GB"/>
              </w:rPr>
            </w:pPr>
            <w:r w:rsidRPr="00702FB6">
              <w:rPr>
                <w:rFonts w:ascii="Arial" w:eastAsia="Times New Roman" w:hAnsi="Arial" w:cs="Arial"/>
                <w:b/>
                <w:sz w:val="24"/>
                <w:szCs w:val="24"/>
                <w:lang w:eastAsia="en-GB"/>
              </w:rPr>
              <w:t>General Practitioner with Specialist Interest in Rheumatology (for West Essex patients under the care of Princess Alexandra Hospital)</w:t>
            </w:r>
          </w:p>
          <w:p w14:paraId="629AD1A1"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Accept patients with stable disease markers and DAS&lt;3.2 for ongoing case management after 6</w:t>
            </w:r>
          </w:p>
          <w:p w14:paraId="686903A6"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months of consultant led care.</w:t>
            </w:r>
          </w:p>
          <w:p w14:paraId="1FBDE24E"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Provide ongoing patient education</w:t>
            </w:r>
          </w:p>
          <w:p w14:paraId="529F8C7F"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Annual review of all patients as per NICE guidance</w:t>
            </w:r>
          </w:p>
          <w:p w14:paraId="4DDDCCE3"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5109F7C1"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7CF94A46" w14:textId="3AD74B3D" w:rsidR="004705AE" w:rsidRPr="004705AE"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Evaluate any reported adverse effects by GP or patient.</w:t>
            </w:r>
          </w:p>
        </w:tc>
      </w:tr>
    </w:tbl>
    <w:p w14:paraId="517031F9" w14:textId="77777777" w:rsidR="005E21BE" w:rsidRDefault="005E21BE" w:rsidP="00004CD4">
      <w:pPr>
        <w:spacing w:after="0"/>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3E752C4"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E20196">
        <w:rPr>
          <w:rFonts w:ascii="Arial" w:eastAsia="Times New Roman" w:hAnsi="Arial" w:cs="Arial"/>
          <w:bCs/>
          <w:szCs w:val="24"/>
        </w:rPr>
        <w:t>1</w:t>
      </w:r>
      <w:r w:rsidR="00E06022">
        <w:rPr>
          <w:rFonts w:ascii="Arial" w:eastAsia="Times New Roman" w:hAnsi="Arial" w:cs="Arial"/>
          <w:bCs/>
          <w:szCs w:val="24"/>
        </w:rPr>
        <w:t>.</w:t>
      </w:r>
    </w:p>
    <w:p w14:paraId="7399C154" w14:textId="77777777" w:rsidR="005E21BE" w:rsidRDefault="005E21BE"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B13D76F" w14:textId="77777777" w:rsidR="00746DDF" w:rsidRDefault="00746DDF">
            <w:pPr>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533C97D6" w14:textId="77777777" w:rsidR="00746DDF" w:rsidRPr="000C7F57" w:rsidRDefault="00746DDF">
            <w:pPr>
              <w:numPr>
                <w:ilvl w:val="0"/>
                <w:numId w:val="7"/>
              </w:numPr>
              <w:spacing w:after="0"/>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699D6C4"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6D0F7DD"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79C1D13E"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1B85304F"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5F9B190B"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5C1CACBC" w14:textId="77777777" w:rsidR="00746DDF" w:rsidRDefault="00746DDF">
            <w:pPr>
              <w:numPr>
                <w:ilvl w:val="0"/>
                <w:numId w:val="7"/>
              </w:numPr>
              <w:spacing w:after="0"/>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r w:rsidRPr="00710AA9">
              <w:rPr>
                <w:rFonts w:ascii="Arial" w:eastAsia="Times New Roman" w:hAnsi="Arial" w:cs="Arial"/>
                <w:bCs/>
                <w:lang w:eastAsia="en-GB"/>
              </w:rPr>
              <w:t xml:space="preserve"> </w:t>
            </w:r>
          </w:p>
          <w:p w14:paraId="27723B19" w14:textId="77777777" w:rsidR="008B71E0" w:rsidRDefault="00746DDF">
            <w:pPr>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Patients should take adequate precautions to avoid pregnancy.</w:t>
            </w:r>
          </w:p>
          <w:p w14:paraId="404788E8" w14:textId="77777777" w:rsidR="0057271E" w:rsidRPr="00702FB6" w:rsidRDefault="0057271E">
            <w:pPr>
              <w:numPr>
                <w:ilvl w:val="0"/>
                <w:numId w:val="7"/>
              </w:numPr>
              <w:spacing w:after="0"/>
              <w:ind w:left="357" w:hanging="357"/>
              <w:rPr>
                <w:rFonts w:ascii="Arial" w:eastAsia="Times New Roman" w:hAnsi="Arial" w:cs="Arial"/>
                <w:bCs/>
                <w:lang w:eastAsia="en-GB"/>
              </w:rPr>
            </w:pPr>
            <w:r w:rsidRPr="00702FB6">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6B5B749D" w:rsidR="0008179D" w:rsidRPr="00746DDF" w:rsidRDefault="0008179D">
            <w:pPr>
              <w:numPr>
                <w:ilvl w:val="0"/>
                <w:numId w:val="7"/>
              </w:numPr>
              <w:spacing w:after="0"/>
              <w:ind w:left="357" w:hanging="357"/>
              <w:rPr>
                <w:rFonts w:ascii="Arial" w:eastAsia="Times New Roman" w:hAnsi="Arial" w:cs="Arial"/>
                <w:bCs/>
                <w:lang w:eastAsia="en-GB"/>
              </w:rPr>
            </w:pPr>
            <w:r w:rsidRPr="00702FB6">
              <w:rPr>
                <w:rFonts w:ascii="Arial" w:eastAsia="Times New Roman" w:hAnsi="Arial" w:cs="Arial"/>
                <w:color w:val="000000"/>
                <w:lang w:eastAsia="en-GB"/>
              </w:rPr>
              <w:lastRenderedPageBreak/>
              <w:t xml:space="preserve">Be aware skin may be more sensitive to exposure to UV light while taking mycophenolate. Use appropriate self-care: e.g. sun avoidance, protective clothing, avoiding tanning (including tanning beds) and to purchase and use a </w:t>
            </w:r>
            <w:proofErr w:type="gramStart"/>
            <w:r w:rsidRPr="00702FB6">
              <w:rPr>
                <w:rFonts w:ascii="Arial" w:eastAsia="Times New Roman" w:hAnsi="Arial" w:cs="Arial"/>
                <w:color w:val="000000"/>
                <w:lang w:eastAsia="en-GB"/>
              </w:rPr>
              <w:t>broad spectrum</w:t>
            </w:r>
            <w:proofErr w:type="gramEnd"/>
            <w:r w:rsidRPr="00702FB6">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rPr>
          <w:rFonts w:ascii="Arial" w:hAnsi="Arial" w:cs="Arial"/>
          <w:b/>
          <w:sz w:val="18"/>
        </w:rPr>
      </w:pPr>
    </w:p>
    <w:p w14:paraId="0A2AE3DF"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5600306" w:rsidR="00CA1BB1" w:rsidRPr="00CA1BB1" w:rsidRDefault="00DD1664">
            <w:pPr>
              <w:pStyle w:val="ListParagraph"/>
              <w:numPr>
                <w:ilvl w:val="0"/>
                <w:numId w:val="8"/>
              </w:numPr>
              <w:spacing w:after="0"/>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51093">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rPr>
          <w:rFonts w:ascii="Arial" w:hAnsi="Arial" w:cs="Arial"/>
          <w:b/>
          <w:sz w:val="18"/>
        </w:rPr>
      </w:pPr>
    </w:p>
    <w:p w14:paraId="1F53F6A2"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6"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7"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8"/>
              </w:numPr>
              <w:spacing w:after="0"/>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8"/>
              </w:numPr>
              <w:spacing w:after="0"/>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rPr>
                <w:rFonts w:ascii="Arial" w:hAnsi="Arial" w:cs="Arial"/>
                <w:bCs/>
              </w:rPr>
            </w:pPr>
          </w:p>
          <w:tbl>
            <w:tblPr>
              <w:tblStyle w:val="TableGrid"/>
              <w:tblW w:w="10314" w:type="dxa"/>
              <w:tblLook w:val="04A0" w:firstRow="1" w:lastRow="0" w:firstColumn="1" w:lastColumn="0" w:noHBand="0" w:noVBand="1"/>
            </w:tblPr>
            <w:tblGrid>
              <w:gridCol w:w="4644"/>
              <w:gridCol w:w="5670"/>
            </w:tblGrid>
            <w:tr w:rsidR="00746DDF" w:rsidRPr="00190D36" w14:paraId="6CC22E58" w14:textId="77777777" w:rsidTr="00992C71">
              <w:trPr>
                <w:trHeight w:val="223"/>
              </w:trPr>
              <w:tc>
                <w:tcPr>
                  <w:tcW w:w="4644" w:type="dxa"/>
                </w:tcPr>
                <w:p w14:paraId="0BA30D28" w14:textId="77777777" w:rsidR="00746DDF" w:rsidRPr="00843717" w:rsidRDefault="00746DDF" w:rsidP="00746DDF">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093C6382" w14:textId="77777777" w:rsidR="00746DDF" w:rsidRPr="00843717" w:rsidRDefault="00746DDF" w:rsidP="00746DDF">
                  <w:pPr>
                    <w:pStyle w:val="Default"/>
                    <w:jc w:val="center"/>
                    <w:rPr>
                      <w:b/>
                      <w:color w:val="auto"/>
                      <w:sz w:val="22"/>
                      <w:szCs w:val="22"/>
                    </w:rPr>
                  </w:pPr>
                  <w:r w:rsidRPr="00843717">
                    <w:rPr>
                      <w:b/>
                      <w:color w:val="auto"/>
                      <w:sz w:val="22"/>
                      <w:szCs w:val="22"/>
                    </w:rPr>
                    <w:t>Action to be taken by GP</w:t>
                  </w:r>
                </w:p>
              </w:tc>
            </w:tr>
            <w:tr w:rsidR="00746DDF" w14:paraId="1351E961" w14:textId="77777777" w:rsidTr="00992C71">
              <w:trPr>
                <w:trHeight w:val="497"/>
              </w:trPr>
              <w:tc>
                <w:tcPr>
                  <w:tcW w:w="4644" w:type="dxa"/>
                </w:tcPr>
                <w:p w14:paraId="7078E124" w14:textId="77777777" w:rsidR="00746DDF" w:rsidRPr="00843717" w:rsidRDefault="00746DDF" w:rsidP="00746DDF">
                  <w:pPr>
                    <w:pStyle w:val="Default"/>
                    <w:rPr>
                      <w:sz w:val="22"/>
                      <w:szCs w:val="22"/>
                    </w:rPr>
                  </w:pPr>
                  <w:r w:rsidRPr="00843717">
                    <w:rPr>
                      <w:sz w:val="22"/>
                      <w:szCs w:val="22"/>
                    </w:rPr>
                    <w:t>Nausea</w:t>
                  </w:r>
                </w:p>
              </w:tc>
              <w:tc>
                <w:tcPr>
                  <w:tcW w:w="5670" w:type="dxa"/>
                  <w:shd w:val="pct10" w:color="auto" w:fill="auto"/>
                </w:tcPr>
                <w:p w14:paraId="68620475" w14:textId="77777777" w:rsidR="00746DDF" w:rsidRPr="00843717" w:rsidRDefault="00746DDF" w:rsidP="00746DDF">
                  <w:pPr>
                    <w:pStyle w:val="Default"/>
                    <w:rPr>
                      <w:b/>
                      <w:color w:val="auto"/>
                      <w:sz w:val="22"/>
                      <w:szCs w:val="22"/>
                      <w:u w:val="single"/>
                    </w:rPr>
                  </w:pPr>
                  <w:r w:rsidRPr="00843717">
                    <w:rPr>
                      <w:sz w:val="22"/>
                      <w:szCs w:val="22"/>
                    </w:rPr>
                    <w:t>If symptoms mild, change time to with meal</w:t>
                  </w:r>
                  <w:r>
                    <w:rPr>
                      <w:sz w:val="22"/>
                      <w:szCs w:val="22"/>
                    </w:rPr>
                    <w:t>s</w:t>
                  </w:r>
                  <w:r w:rsidRPr="00843717">
                    <w:rPr>
                      <w:sz w:val="22"/>
                      <w:szCs w:val="22"/>
                    </w:rPr>
                    <w:t>.</w:t>
                  </w:r>
                </w:p>
              </w:tc>
            </w:tr>
            <w:tr w:rsidR="00746DDF" w14:paraId="367ABED3" w14:textId="77777777" w:rsidTr="00992C71">
              <w:trPr>
                <w:trHeight w:val="495"/>
              </w:trPr>
              <w:tc>
                <w:tcPr>
                  <w:tcW w:w="4644" w:type="dxa"/>
                </w:tcPr>
                <w:p w14:paraId="4872DECB" w14:textId="77777777" w:rsidR="00746DDF" w:rsidRPr="00843717" w:rsidRDefault="00746DDF" w:rsidP="00746DDF">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79D9E031" w14:textId="77777777" w:rsidR="00746DDF" w:rsidRPr="00843717" w:rsidRDefault="00746DDF" w:rsidP="00746DDF">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746DDF" w14:paraId="74F21D7F" w14:textId="77777777" w:rsidTr="00992C71">
              <w:trPr>
                <w:trHeight w:val="754"/>
              </w:trPr>
              <w:tc>
                <w:tcPr>
                  <w:tcW w:w="4644" w:type="dxa"/>
                </w:tcPr>
                <w:p w14:paraId="1DF7646B" w14:textId="77777777" w:rsidR="00746DDF" w:rsidRPr="000236E1" w:rsidRDefault="00746DDF" w:rsidP="00746DDF">
                  <w:pPr>
                    <w:pStyle w:val="Default"/>
                    <w:rPr>
                      <w:sz w:val="22"/>
                      <w:szCs w:val="22"/>
                    </w:rPr>
                  </w:pPr>
                  <w:r w:rsidRPr="000236E1">
                    <w:rPr>
                      <w:bCs/>
                      <w:sz w:val="22"/>
                      <w:szCs w:val="22"/>
                    </w:rPr>
                    <w:t>Infection</w:t>
                  </w:r>
                </w:p>
                <w:p w14:paraId="36D42674" w14:textId="77777777" w:rsidR="00746DDF" w:rsidRPr="00843717" w:rsidRDefault="00746DDF" w:rsidP="00746DDF">
                  <w:pPr>
                    <w:pStyle w:val="Default"/>
                    <w:rPr>
                      <w:sz w:val="22"/>
                      <w:szCs w:val="22"/>
                    </w:rPr>
                  </w:pPr>
                </w:p>
              </w:tc>
              <w:tc>
                <w:tcPr>
                  <w:tcW w:w="5670" w:type="dxa"/>
                  <w:shd w:val="pct10" w:color="auto" w:fill="auto"/>
                </w:tcPr>
                <w:p w14:paraId="03D3F1DB" w14:textId="77777777" w:rsidR="00746DDF" w:rsidRPr="00843717" w:rsidRDefault="00746DDF" w:rsidP="00746DDF">
                  <w:pPr>
                    <w:pStyle w:val="Default"/>
                    <w:rPr>
                      <w:b/>
                      <w:color w:val="auto"/>
                      <w:sz w:val="22"/>
                      <w:szCs w:val="22"/>
                      <w:u w:val="single"/>
                    </w:rPr>
                  </w:pPr>
                  <w:r w:rsidRPr="000236E1">
                    <w:rPr>
                      <w:color w:val="auto"/>
                      <w:sz w:val="22"/>
                      <w:szCs w:val="22"/>
                    </w:rPr>
                    <w:t>Mycophenolate can cause hypogammaglobulinaemia which can be associated with recurrent infections. Discuss with specialist if the patient has recurrent infections</w:t>
                  </w:r>
                </w:p>
              </w:tc>
            </w:tr>
            <w:tr w:rsidR="00746DDF" w:rsidRPr="004A3F03" w14:paraId="3A3D904D" w14:textId="77777777" w:rsidTr="00992C71">
              <w:trPr>
                <w:trHeight w:val="769"/>
              </w:trPr>
              <w:tc>
                <w:tcPr>
                  <w:tcW w:w="4644" w:type="dxa"/>
                </w:tcPr>
                <w:p w14:paraId="07628129" w14:textId="77777777" w:rsidR="00746DDF" w:rsidRPr="00843717" w:rsidRDefault="00746DDF" w:rsidP="00746DDF">
                  <w:pPr>
                    <w:pStyle w:val="Default"/>
                    <w:rPr>
                      <w:sz w:val="22"/>
                      <w:szCs w:val="22"/>
                    </w:rPr>
                  </w:pPr>
                  <w:r w:rsidRPr="00843717">
                    <w:rPr>
                      <w:sz w:val="22"/>
                      <w:szCs w:val="22"/>
                    </w:rPr>
                    <w:t>Flu like symptoms/</w:t>
                  </w:r>
                </w:p>
                <w:p w14:paraId="6901A449" w14:textId="77777777" w:rsidR="00746DDF" w:rsidRPr="00843717" w:rsidRDefault="00746DDF" w:rsidP="00746DDF">
                  <w:pPr>
                    <w:pStyle w:val="Default"/>
                    <w:rPr>
                      <w:sz w:val="22"/>
                      <w:szCs w:val="22"/>
                    </w:rPr>
                  </w:pPr>
                  <w:r w:rsidRPr="00843717">
                    <w:rPr>
                      <w:sz w:val="22"/>
                      <w:szCs w:val="22"/>
                    </w:rPr>
                    <w:t>myalgia/headache</w:t>
                  </w:r>
                </w:p>
              </w:tc>
              <w:tc>
                <w:tcPr>
                  <w:tcW w:w="5670" w:type="dxa"/>
                  <w:shd w:val="pct10" w:color="auto" w:fill="auto"/>
                </w:tcPr>
                <w:p w14:paraId="7F086CAB" w14:textId="77777777" w:rsidR="00746DDF" w:rsidRPr="00843717" w:rsidRDefault="00746DDF" w:rsidP="00746DDF">
                  <w:pPr>
                    <w:pStyle w:val="Default"/>
                    <w:rPr>
                      <w:sz w:val="22"/>
                      <w:szCs w:val="22"/>
                    </w:rPr>
                  </w:pPr>
                  <w:r w:rsidRPr="00843717">
                    <w:rPr>
                      <w:sz w:val="22"/>
                      <w:szCs w:val="22"/>
                    </w:rPr>
                    <w:t xml:space="preserve">Mild – continue </w:t>
                  </w:r>
                </w:p>
                <w:p w14:paraId="013DC866" w14:textId="77777777" w:rsidR="00746DDF" w:rsidRPr="00843717" w:rsidRDefault="00746DDF" w:rsidP="00746DDF">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746DDF" w:rsidRPr="004A3F03" w14:paraId="253EE7B9" w14:textId="77777777" w:rsidTr="00992C71">
              <w:trPr>
                <w:trHeight w:val="270"/>
              </w:trPr>
              <w:tc>
                <w:tcPr>
                  <w:tcW w:w="4644" w:type="dxa"/>
                </w:tcPr>
                <w:p w14:paraId="66D5A9FF" w14:textId="77777777" w:rsidR="00746DDF" w:rsidRPr="00843717" w:rsidRDefault="00746DDF" w:rsidP="00746DDF">
                  <w:pPr>
                    <w:pStyle w:val="Default"/>
                    <w:rPr>
                      <w:sz w:val="22"/>
                      <w:szCs w:val="22"/>
                    </w:rPr>
                  </w:pPr>
                  <w:r w:rsidRPr="00843717">
                    <w:rPr>
                      <w:sz w:val="22"/>
                      <w:szCs w:val="22"/>
                    </w:rPr>
                    <w:t>Fever, sore throat, mouth ulceration</w:t>
                  </w:r>
                </w:p>
              </w:tc>
              <w:tc>
                <w:tcPr>
                  <w:tcW w:w="5670" w:type="dxa"/>
                  <w:shd w:val="pct10" w:color="auto" w:fill="auto"/>
                </w:tcPr>
                <w:p w14:paraId="2DE780A4" w14:textId="77777777" w:rsidR="00746DDF" w:rsidRPr="00843717" w:rsidRDefault="00746DDF" w:rsidP="00746DDF">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746DDF" w14:paraId="726CA75A" w14:textId="77777777" w:rsidTr="00992C71">
              <w:trPr>
                <w:trHeight w:val="591"/>
              </w:trPr>
              <w:tc>
                <w:tcPr>
                  <w:tcW w:w="4644" w:type="dxa"/>
                </w:tcPr>
                <w:p w14:paraId="794C7D5E" w14:textId="77777777" w:rsidR="00746DDF" w:rsidRPr="00843717" w:rsidRDefault="00746DDF" w:rsidP="00746DDF">
                  <w:pPr>
                    <w:pStyle w:val="Default"/>
                    <w:rPr>
                      <w:color w:val="auto"/>
                      <w:sz w:val="22"/>
                      <w:szCs w:val="22"/>
                    </w:rPr>
                  </w:pPr>
                  <w:r w:rsidRPr="00843717">
                    <w:rPr>
                      <w:sz w:val="22"/>
                      <w:szCs w:val="22"/>
                    </w:rPr>
                    <w:t>Abnormal bruising or bleeding</w:t>
                  </w:r>
                </w:p>
              </w:tc>
              <w:tc>
                <w:tcPr>
                  <w:tcW w:w="5670" w:type="dxa"/>
                  <w:shd w:val="pct10" w:color="auto" w:fill="auto"/>
                </w:tcPr>
                <w:p w14:paraId="06728533" w14:textId="77777777" w:rsidR="00746DDF" w:rsidRPr="00843717" w:rsidRDefault="00746DDF" w:rsidP="00746DDF">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746DDF" w:rsidRPr="005B4B6F" w14:paraId="05996C2A" w14:textId="77777777" w:rsidTr="00992C71">
              <w:trPr>
                <w:trHeight w:val="913"/>
              </w:trPr>
              <w:tc>
                <w:tcPr>
                  <w:tcW w:w="4644" w:type="dxa"/>
                </w:tcPr>
                <w:p w14:paraId="4D5D1FE1" w14:textId="77777777" w:rsidR="00746DDF" w:rsidRPr="00843717" w:rsidRDefault="00746DDF" w:rsidP="00746DDF">
                  <w:pPr>
                    <w:pStyle w:val="Default"/>
                    <w:rPr>
                      <w:sz w:val="22"/>
                      <w:szCs w:val="22"/>
                    </w:rPr>
                  </w:pPr>
                  <w:r w:rsidRPr="000236E1">
                    <w:rPr>
                      <w:bCs/>
                      <w:sz w:val="22"/>
                      <w:szCs w:val="22"/>
                    </w:rPr>
                    <w:t xml:space="preserve">Progressive multifocal leukoencephalopathy (PML) </w:t>
                  </w:r>
                </w:p>
              </w:tc>
              <w:tc>
                <w:tcPr>
                  <w:tcW w:w="5670" w:type="dxa"/>
                  <w:shd w:val="pct10" w:color="auto" w:fill="auto"/>
                </w:tcPr>
                <w:p w14:paraId="089CE211" w14:textId="77777777" w:rsidR="00746DDF" w:rsidRPr="00843717" w:rsidRDefault="00746DDF" w:rsidP="00746DDF">
                  <w:pPr>
                    <w:pStyle w:val="Default"/>
                    <w:rPr>
                      <w:sz w:val="22"/>
                      <w:szCs w:val="22"/>
                    </w:rPr>
                  </w:pPr>
                  <w:r w:rsidRPr="00492EFD">
                    <w:rPr>
                      <w:sz w:val="22"/>
                      <w:szCs w:val="22"/>
                    </w:rPr>
                    <w:t>Should</w:t>
                  </w:r>
                  <w:r w:rsidRPr="000236E1">
                    <w:rPr>
                      <w:sz w:val="22"/>
                      <w:szCs w:val="22"/>
                    </w:rPr>
                    <w:t xml:space="preserve"> be considered a differential diagnosis in patients reporting neurological symptoms </w:t>
                  </w:r>
                  <w:r>
                    <w:rPr>
                      <w:sz w:val="22"/>
                      <w:szCs w:val="22"/>
                    </w:rPr>
                    <w:t>on treatment with mycophenolate. Discuss with specialist.</w:t>
                  </w:r>
                </w:p>
              </w:tc>
            </w:tr>
            <w:tr w:rsidR="00746DDF" w:rsidRPr="005B4B6F" w14:paraId="7B287D40" w14:textId="77777777" w:rsidTr="00992C71">
              <w:trPr>
                <w:trHeight w:val="1407"/>
              </w:trPr>
              <w:tc>
                <w:tcPr>
                  <w:tcW w:w="4644" w:type="dxa"/>
                </w:tcPr>
                <w:p w14:paraId="69D72D65" w14:textId="77777777" w:rsidR="00746DDF" w:rsidRPr="00670C74" w:rsidRDefault="00746DDF" w:rsidP="00746DDF">
                  <w:pPr>
                    <w:pStyle w:val="Default"/>
                    <w:rPr>
                      <w:bCs/>
                      <w:sz w:val="22"/>
                      <w:szCs w:val="22"/>
                    </w:rPr>
                  </w:pPr>
                  <w:r>
                    <w:rPr>
                      <w:bCs/>
                      <w:sz w:val="22"/>
                      <w:szCs w:val="22"/>
                    </w:rPr>
                    <w:t>Suspected Pancreatitis</w:t>
                  </w:r>
                  <w:r w:rsidRPr="00670C74">
                    <w:rPr>
                      <w:bCs/>
                      <w:sz w:val="22"/>
                      <w:szCs w:val="22"/>
                    </w:rPr>
                    <w:t xml:space="preserve"> </w:t>
                  </w:r>
                </w:p>
              </w:tc>
              <w:tc>
                <w:tcPr>
                  <w:tcW w:w="5670" w:type="dxa"/>
                  <w:shd w:val="pct10" w:color="auto" w:fill="auto"/>
                </w:tcPr>
                <w:p w14:paraId="277CD5F2" w14:textId="43954461" w:rsidR="00746DDF" w:rsidRPr="005779CC" w:rsidRDefault="00746DDF" w:rsidP="00746DDF">
                  <w:pPr>
                    <w:pStyle w:val="Default"/>
                    <w:jc w:val="both"/>
                    <w:rPr>
                      <w:sz w:val="22"/>
                      <w:szCs w:val="22"/>
                    </w:rPr>
                  </w:pPr>
                  <w:r w:rsidRPr="005779CC">
                    <w:rPr>
                      <w:sz w:val="22"/>
                      <w:szCs w:val="22"/>
                    </w:rPr>
                    <w:t>Check amylase level and STOP DRUG until result of amylase is available. If amylase raised, withhold until discussed with specialist team. Make clinical assessment and refer to hospital if appropriate. Check Amylase, FBC, LFT, U&amp;E, CRP.</w:t>
                  </w:r>
                </w:p>
              </w:tc>
            </w:tr>
            <w:tr w:rsidR="00746DDF" w:rsidRPr="005B4B6F" w14:paraId="1FFF71AB" w14:textId="77777777" w:rsidTr="004C63A3">
              <w:trPr>
                <w:trHeight w:val="859"/>
              </w:trPr>
              <w:tc>
                <w:tcPr>
                  <w:tcW w:w="4644" w:type="dxa"/>
                </w:tcPr>
                <w:p w14:paraId="5B5A065F" w14:textId="77777777" w:rsidR="00746DDF" w:rsidRPr="005779CC" w:rsidRDefault="00746DDF" w:rsidP="00746DDF">
                  <w:pPr>
                    <w:pStyle w:val="Default"/>
                    <w:rPr>
                      <w:bCs/>
                      <w:sz w:val="22"/>
                      <w:szCs w:val="22"/>
                    </w:rPr>
                  </w:pPr>
                  <w:r>
                    <w:rPr>
                      <w:bCs/>
                      <w:sz w:val="22"/>
                      <w:szCs w:val="22"/>
                    </w:rPr>
                    <w:t>Alopecia</w:t>
                  </w:r>
                </w:p>
              </w:tc>
              <w:tc>
                <w:tcPr>
                  <w:tcW w:w="5670" w:type="dxa"/>
                  <w:shd w:val="pct10" w:color="auto" w:fill="auto"/>
                </w:tcPr>
                <w:p w14:paraId="27B349BF" w14:textId="77777777" w:rsidR="00746DDF" w:rsidRPr="005779CC" w:rsidRDefault="00746DDF" w:rsidP="00746DDF">
                  <w:pPr>
                    <w:pStyle w:val="Default"/>
                    <w:jc w:val="both"/>
                    <w:rPr>
                      <w:sz w:val="22"/>
                      <w:szCs w:val="22"/>
                    </w:rPr>
                  </w:pPr>
                  <w:r w:rsidRPr="005779CC">
                    <w:rPr>
                      <w:sz w:val="22"/>
                      <w:szCs w:val="22"/>
                    </w:rPr>
                    <w:t xml:space="preserve">If mild, reassure and continue. </w:t>
                  </w:r>
                </w:p>
                <w:p w14:paraId="2420F90F" w14:textId="77777777" w:rsidR="00746DDF" w:rsidRPr="005779CC" w:rsidRDefault="00746DDF" w:rsidP="00746DDF">
                  <w:pPr>
                    <w:pStyle w:val="Default"/>
                    <w:jc w:val="both"/>
                    <w:rPr>
                      <w:sz w:val="22"/>
                      <w:szCs w:val="22"/>
                    </w:rPr>
                  </w:pPr>
                  <w:r w:rsidRPr="005779CC">
                    <w:rPr>
                      <w:sz w:val="22"/>
                      <w:szCs w:val="22"/>
                    </w:rPr>
                    <w:t>If significant, contact specialist team to discuss treatment alternatives.</w:t>
                  </w:r>
                </w:p>
              </w:tc>
            </w:tr>
            <w:tr w:rsidR="00746DDF" w:rsidRPr="005B4B6F" w14:paraId="0C75E029" w14:textId="77777777" w:rsidTr="004C63A3">
              <w:trPr>
                <w:trHeight w:val="418"/>
              </w:trPr>
              <w:tc>
                <w:tcPr>
                  <w:tcW w:w="4644" w:type="dxa"/>
                </w:tcPr>
                <w:p w14:paraId="2FABE4BE" w14:textId="7C78DBCD" w:rsidR="00746DDF" w:rsidRPr="00670C74" w:rsidRDefault="00746DDF" w:rsidP="00746DDF">
                  <w:pPr>
                    <w:pStyle w:val="Default"/>
                    <w:rPr>
                      <w:bCs/>
                      <w:sz w:val="22"/>
                      <w:szCs w:val="22"/>
                    </w:rPr>
                  </w:pPr>
                  <w:r>
                    <w:rPr>
                      <w:bCs/>
                      <w:sz w:val="22"/>
                      <w:szCs w:val="22"/>
                    </w:rPr>
                    <w:t>Hypercholesterolaemia</w:t>
                  </w:r>
                </w:p>
              </w:tc>
              <w:tc>
                <w:tcPr>
                  <w:tcW w:w="5670" w:type="dxa"/>
                  <w:shd w:val="pct10" w:color="auto" w:fill="auto"/>
                </w:tcPr>
                <w:p w14:paraId="70732596" w14:textId="77777777" w:rsidR="00746DDF" w:rsidRPr="005779CC" w:rsidRDefault="00746DDF" w:rsidP="00746DDF">
                  <w:pPr>
                    <w:pStyle w:val="Default"/>
                    <w:jc w:val="both"/>
                    <w:rPr>
                      <w:sz w:val="22"/>
                      <w:szCs w:val="22"/>
                    </w:rPr>
                  </w:pPr>
                  <w:r w:rsidRPr="00670C74">
                    <w:rPr>
                      <w:sz w:val="22"/>
                      <w:szCs w:val="22"/>
                    </w:rPr>
                    <w:t>Discuss abnormal result with specialist team</w:t>
                  </w:r>
                </w:p>
              </w:tc>
            </w:tr>
          </w:tbl>
          <w:p w14:paraId="330F8072" w14:textId="77777777" w:rsidR="00B061F6" w:rsidRPr="00B061F6" w:rsidRDefault="00B061F6" w:rsidP="00B061F6">
            <w:pPr>
              <w:spacing w:after="0"/>
              <w:rPr>
                <w:rFonts w:ascii="Arial" w:hAnsi="Arial" w:cs="Arial"/>
                <w:bCs/>
              </w:rPr>
            </w:pPr>
          </w:p>
          <w:p w14:paraId="52EF43CC" w14:textId="77777777" w:rsidR="00CA1BB1" w:rsidRPr="00CA1BB1" w:rsidRDefault="00CA1BB1" w:rsidP="00CA1BB1">
            <w:pPr>
              <w:spacing w:after="0"/>
              <w:rPr>
                <w:rFonts w:ascii="Arial" w:eastAsia="Times New Roman" w:hAnsi="Arial" w:cs="Arial"/>
                <w:bCs/>
                <w:lang w:eastAsia="en-GB"/>
              </w:rPr>
            </w:pPr>
          </w:p>
        </w:tc>
      </w:tr>
    </w:tbl>
    <w:p w14:paraId="2B0657A2" w14:textId="77777777" w:rsidR="00D73BA6" w:rsidRDefault="00D73BA6" w:rsidP="00004CD4">
      <w:pPr>
        <w:keepNext/>
        <w:spacing w:after="0"/>
        <w:contextualSpacing/>
        <w:jc w:val="both"/>
        <w:outlineLvl w:val="0"/>
        <w:rPr>
          <w:rFonts w:ascii="Arial" w:eastAsia="Times New Roman" w:hAnsi="Arial" w:cs="Times New Roman"/>
          <w:b/>
          <w:bCs/>
          <w:sz w:val="18"/>
          <w:szCs w:val="24"/>
        </w:rPr>
      </w:pPr>
    </w:p>
    <w:p w14:paraId="6A84E730" w14:textId="77777777" w:rsidR="00CC3B9F" w:rsidRDefault="00CC3B9F" w:rsidP="00004CD4">
      <w:pPr>
        <w:keepNext/>
        <w:spacing w:after="0"/>
        <w:contextualSpacing/>
        <w:jc w:val="both"/>
        <w:outlineLvl w:val="0"/>
        <w:rPr>
          <w:rFonts w:ascii="Arial" w:eastAsia="Times New Roman" w:hAnsi="Arial" w:cs="Times New Roman"/>
          <w:b/>
          <w:bCs/>
          <w:sz w:val="18"/>
          <w:szCs w:val="24"/>
        </w:rPr>
      </w:pPr>
    </w:p>
    <w:p w14:paraId="77AD29F4" w14:textId="77777777" w:rsidR="00CC3B9F" w:rsidRDefault="00CC3B9F" w:rsidP="00004CD4">
      <w:pPr>
        <w:keepNext/>
        <w:spacing w:after="0"/>
        <w:contextualSpacing/>
        <w:jc w:val="both"/>
        <w:outlineLvl w:val="0"/>
        <w:rPr>
          <w:rFonts w:ascii="Arial" w:eastAsia="Times New Roman" w:hAnsi="Arial" w:cs="Times New Roman"/>
          <w:b/>
          <w:bCs/>
          <w:sz w:val="18"/>
          <w:szCs w:val="24"/>
        </w:rPr>
      </w:pPr>
    </w:p>
    <w:p w14:paraId="39EE9211" w14:textId="77777777" w:rsidR="00CC3B9F" w:rsidRPr="005430C6" w:rsidRDefault="00CC3B9F" w:rsidP="00004CD4">
      <w:pPr>
        <w:keepNext/>
        <w:spacing w:after="0"/>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8"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9"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D6927B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heme="minorHAnsi" w:hAnsi="Arial" w:cs="Arial"/>
          <w:b/>
        </w:rPr>
      </w:pPr>
      <w:r w:rsidRPr="00751093">
        <w:rPr>
          <w:rFonts w:ascii="Arial" w:eastAsiaTheme="minorHAnsi" w:hAnsi="Arial" w:cs="Arial"/>
          <w:b/>
        </w:rPr>
        <w:t>Contra-indications</w:t>
      </w:r>
    </w:p>
    <w:p w14:paraId="062488E5"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Hypersensitivity to mycophenolate</w:t>
      </w:r>
    </w:p>
    <w:p w14:paraId="42A479A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lastRenderedPageBreak/>
        <w:t>Severe hepatic impairment</w:t>
      </w:r>
    </w:p>
    <w:p w14:paraId="69CA05F5" w14:textId="77777777" w:rsidR="00616BB8" w:rsidRDefault="00751093"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Pregnancy</w:t>
      </w:r>
      <w:r w:rsidRPr="00751093">
        <w:rPr>
          <w:rFonts w:ascii="Arial" w:eastAsia="Times New Roman" w:hAnsi="Arial" w:cs="Arial"/>
          <w:bCs/>
          <w:szCs w:val="24"/>
        </w:rPr>
        <w:t xml:space="preserve">: Mycophenolate mofetil and its active metabolite are associated with a high rate of serious birth defects and spontaneous abortion. Mycophenolate should not be given to women who are pregnant, or likely to become pregnant. It should only be initiated in women of childbearing potential when there is a negative pregnancy test. </w:t>
      </w:r>
    </w:p>
    <w:p w14:paraId="4931EB5C"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p>
    <w:p w14:paraId="44D45054" w14:textId="04018402"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F</w:t>
      </w:r>
      <w:r w:rsidRPr="00EF0605">
        <w:rPr>
          <w:rFonts w:ascii="Arial" w:eastAsia="Times New Roman" w:hAnsi="Arial" w:cs="Arial"/>
          <w:bCs/>
          <w:szCs w:val="24"/>
        </w:rPr>
        <w:t>emale patients of childbearing potential must use at least one reliable form of contraception before and during treatment and for 6 weeks after stopping mycophenolate medicines; 2 forms of contraception are preferred</w:t>
      </w:r>
      <w:r>
        <w:rPr>
          <w:rFonts w:ascii="Arial" w:eastAsia="Times New Roman" w:hAnsi="Arial" w:cs="Arial"/>
          <w:bCs/>
          <w:szCs w:val="24"/>
        </w:rPr>
        <w:t>.</w:t>
      </w:r>
    </w:p>
    <w:p w14:paraId="201A85C0"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It is r</w:t>
      </w:r>
      <w:r w:rsidRPr="00EF0605">
        <w:rPr>
          <w:rFonts w:ascii="Arial" w:eastAsia="Times New Roman" w:hAnsi="Arial" w:cs="Arial"/>
          <w:bCs/>
          <w:szCs w:val="24"/>
        </w:rPr>
        <w:t>ecommended that male patients or their female partner use reliable contraception during treatment and for at least 90 days after stopping mycophenolate medic</w:t>
      </w:r>
      <w:r w:rsidRPr="00F2058C">
        <w:rPr>
          <w:rFonts w:ascii="Arial" w:eastAsia="Times New Roman" w:hAnsi="Arial" w:cs="Arial"/>
          <w:bCs/>
          <w:szCs w:val="24"/>
        </w:rPr>
        <w:t xml:space="preserve">ines. </w:t>
      </w:r>
      <w:bookmarkStart w:id="2" w:name="_Hlk161926882"/>
      <w:r w:rsidRPr="00F2058C">
        <w:rPr>
          <w:rFonts w:ascii="Arial" w:eastAsia="Times New Roman" w:hAnsi="Arial" w:cs="Arial"/>
          <w:bCs/>
          <w:szCs w:val="24"/>
        </w:rPr>
        <w:t>Men planning to have children should discuss this with their doctor.</w:t>
      </w:r>
    </w:p>
    <w:bookmarkEnd w:id="2"/>
    <w:p w14:paraId="3489EB6C"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E5F22">
        <w:rPr>
          <w:rFonts w:ascii="Arial" w:eastAsia="Times New Roman" w:hAnsi="Arial" w:cs="Arial"/>
          <w:bCs/>
          <w:szCs w:val="24"/>
        </w:rPr>
        <w:t>Patients should be instructed not to stop treatment but to consult their physician immediately should pregnancy occur.</w:t>
      </w:r>
    </w:p>
    <w:p w14:paraId="2A194B74"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For information on effective contraception please see MHRA Drug Safety Update </w:t>
      </w:r>
      <w:hyperlink r:id="rId20" w:history="1">
        <w:r w:rsidRPr="00F235B4">
          <w:rPr>
            <w:rStyle w:val="Hyperlink"/>
            <w:rFonts w:ascii="Arial" w:eastAsia="Times New Roman" w:hAnsi="Arial" w:cs="Arial"/>
            <w:bCs/>
            <w:szCs w:val="24"/>
          </w:rPr>
          <w:t>Mar 2019</w:t>
        </w:r>
      </w:hyperlink>
      <w:r>
        <w:rPr>
          <w:rFonts w:ascii="Arial" w:eastAsia="Times New Roman" w:hAnsi="Arial" w:cs="Arial"/>
          <w:bCs/>
          <w:szCs w:val="24"/>
        </w:rPr>
        <w:t xml:space="preserve"> </w:t>
      </w:r>
      <w:r w:rsidRPr="00DA1817">
        <w:rPr>
          <w:rFonts w:ascii="Arial" w:eastAsia="Times New Roman" w:hAnsi="Arial" w:cs="Arial"/>
          <w:bCs/>
          <w:i/>
          <w:iCs/>
          <w:szCs w:val="24"/>
        </w:rPr>
        <w:t>Medicines with teratogenic potential: what is effective contraception and how often is pregnancy testing needed?</w:t>
      </w:r>
    </w:p>
    <w:p w14:paraId="3ADAF76C" w14:textId="52C0F3B7" w:rsidR="00751093" w:rsidRPr="00751093" w:rsidRDefault="00616BB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Also see </w:t>
      </w:r>
      <w:r w:rsidR="00751093" w:rsidRPr="00751093">
        <w:rPr>
          <w:rFonts w:ascii="Arial" w:eastAsia="Times New Roman" w:hAnsi="Arial" w:cs="Arial"/>
          <w:bCs/>
          <w:szCs w:val="24"/>
        </w:rPr>
        <w:t xml:space="preserve">MHRA </w:t>
      </w:r>
      <w:r>
        <w:rPr>
          <w:rFonts w:ascii="Arial" w:eastAsia="Times New Roman" w:hAnsi="Arial" w:cs="Arial"/>
          <w:bCs/>
          <w:szCs w:val="24"/>
        </w:rPr>
        <w:t xml:space="preserve">Drug Safety Updates </w:t>
      </w:r>
      <w:r w:rsidR="00751093" w:rsidRPr="00751093">
        <w:rPr>
          <w:rFonts w:ascii="Arial" w:eastAsia="Times New Roman" w:hAnsi="Arial" w:cs="Arial"/>
          <w:bCs/>
          <w:szCs w:val="24"/>
        </w:rPr>
        <w:t xml:space="preserve">for more information </w:t>
      </w:r>
      <w:hyperlink r:id="rId21" w:history="1">
        <w:r w:rsidRPr="007E5F22">
          <w:rPr>
            <w:rStyle w:val="Hyperlink"/>
            <w:rFonts w:ascii="Arial" w:eastAsia="Times New Roman" w:hAnsi="Arial" w:cs="Arial"/>
            <w:bCs/>
            <w:szCs w:val="24"/>
          </w:rPr>
          <w:t>Dec 2015</w:t>
        </w:r>
      </w:hyperlink>
      <w:r>
        <w:rPr>
          <w:rFonts w:ascii="Arial" w:eastAsia="Times New Roman" w:hAnsi="Arial" w:cs="Arial"/>
          <w:bCs/>
          <w:szCs w:val="24"/>
        </w:rPr>
        <w:t xml:space="preserve"> </w:t>
      </w:r>
      <w:r w:rsidRPr="001775A7">
        <w:rPr>
          <w:rFonts w:ascii="Arial" w:eastAsia="Times New Roman" w:hAnsi="Arial" w:cs="Arial"/>
          <w:bCs/>
          <w:i/>
          <w:iCs/>
          <w:szCs w:val="24"/>
        </w:rPr>
        <w:t>Mycophenolate mofetil, mycophenolic acid: new pregnancy-prevention advice for women and men</w:t>
      </w:r>
      <w:r>
        <w:rPr>
          <w:rFonts w:ascii="Arial" w:eastAsia="Times New Roman" w:hAnsi="Arial" w:cs="Arial"/>
          <w:bCs/>
          <w:szCs w:val="24"/>
        </w:rPr>
        <w:t xml:space="preserve">, and </w:t>
      </w:r>
      <w:hyperlink r:id="rId22" w:history="1">
        <w:r w:rsidRPr="007E5F22">
          <w:rPr>
            <w:rStyle w:val="Hyperlink"/>
            <w:rFonts w:ascii="Arial" w:eastAsia="Times New Roman" w:hAnsi="Arial" w:cs="Arial"/>
            <w:bCs/>
            <w:szCs w:val="24"/>
          </w:rPr>
          <w:t>Feb 2018</w:t>
        </w:r>
      </w:hyperlink>
      <w:r>
        <w:rPr>
          <w:rFonts w:ascii="Arial" w:eastAsia="Times New Roman" w:hAnsi="Arial" w:cs="Arial"/>
          <w:bCs/>
          <w:szCs w:val="24"/>
        </w:rPr>
        <w:t xml:space="preserve"> </w:t>
      </w:r>
      <w:r w:rsidRPr="001775A7">
        <w:rPr>
          <w:rFonts w:ascii="Arial" w:eastAsia="Times New Roman" w:hAnsi="Arial" w:cs="Arial"/>
          <w:bCs/>
          <w:i/>
          <w:iCs/>
          <w:szCs w:val="24"/>
        </w:rPr>
        <w:t>Mycophenolate mofetil, mycophenolic acid: updated contraception advice for male patients</w:t>
      </w:r>
      <w:r>
        <w:rPr>
          <w:rFonts w:ascii="Arial" w:eastAsia="Times New Roman" w:hAnsi="Arial" w:cs="Arial"/>
          <w:bCs/>
          <w:szCs w:val="24"/>
        </w:rPr>
        <w:t>.</w:t>
      </w:r>
    </w:p>
    <w:p w14:paraId="7D52AD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Breastfeeding</w:t>
      </w:r>
      <w:r w:rsidRPr="00751093">
        <w:rPr>
          <w:rFonts w:ascii="Arial" w:eastAsia="Times New Roman" w:hAnsi="Arial" w:cs="Arial"/>
          <w:bCs/>
          <w:szCs w:val="24"/>
        </w:rPr>
        <w:t xml:space="preserve">: Mycophenolate should be avoided during breast feeding. </w:t>
      </w:r>
    </w:p>
    <w:p w14:paraId="6FF88FA6" w14:textId="1F806121" w:rsidR="00616BB8" w:rsidRPr="00751093" w:rsidRDefault="00751093" w:rsidP="00616BB8">
      <w:pPr>
        <w:pBdr>
          <w:top w:val="single" w:sz="4" w:space="1" w:color="auto"/>
          <w:left w:val="single" w:sz="4" w:space="4" w:color="auto"/>
          <w:bottom w:val="single" w:sz="4" w:space="0" w:color="auto"/>
          <w:right w:val="single" w:sz="4" w:space="5" w:color="auto"/>
        </w:pBdr>
        <w:spacing w:after="0"/>
        <w:jc w:val="both"/>
        <w:rPr>
          <w:rFonts w:ascii="Arial" w:eastAsiaTheme="minorHAnsi" w:hAnsi="Arial" w:cs="Arial"/>
          <w:color w:val="000000"/>
        </w:rPr>
      </w:pPr>
      <w:r w:rsidRPr="00751093">
        <w:rPr>
          <w:rFonts w:ascii="Arial" w:eastAsiaTheme="minorHAnsi" w:hAnsi="Arial" w:cs="Arial"/>
          <w:b/>
          <w:bCs/>
          <w:color w:val="000000"/>
        </w:rPr>
        <w:t>Infection</w:t>
      </w:r>
      <w:r w:rsidRPr="00751093">
        <w:rPr>
          <w:rFonts w:ascii="Arial" w:eastAsiaTheme="minorHAnsi" w:hAnsi="Arial" w:cs="Arial"/>
          <w:color w:val="000000"/>
        </w:rPr>
        <w:t xml:space="preserve">: Immunosuppressants can increase susceptibility to infection. It is advisable not to commence or continue treatment with mycophenolate when patients have an established local or systemic infection. It is advisable to recommence once the infection has been treated. Precise period of discontinuation depends on the nature and severity of infection and the activity of the underlying disease. </w:t>
      </w:r>
      <w:r w:rsidR="00616BB8">
        <w:rPr>
          <w:rFonts w:ascii="Arial" w:eastAsiaTheme="minorHAnsi" w:hAnsi="Arial" w:cs="Arial"/>
          <w:color w:val="000000"/>
        </w:rPr>
        <w:t>I</w:t>
      </w:r>
      <w:r w:rsidR="00616BB8" w:rsidRPr="00204119">
        <w:rPr>
          <w:rFonts w:ascii="Arial" w:eastAsiaTheme="minorHAnsi" w:hAnsi="Arial" w:cs="Arial"/>
          <w:color w:val="000000"/>
        </w:rPr>
        <w:t xml:space="preserve">f a patient on these treatments has an </w:t>
      </w:r>
      <w:r w:rsidR="00702FB6" w:rsidRPr="00204119">
        <w:rPr>
          <w:rFonts w:ascii="Arial" w:eastAsiaTheme="minorHAnsi" w:hAnsi="Arial" w:cs="Arial"/>
          <w:color w:val="000000"/>
        </w:rPr>
        <w:t>infection / requires antibiotic</w:t>
      </w:r>
      <w:r w:rsidR="00616BB8" w:rsidRPr="00204119">
        <w:rPr>
          <w:rFonts w:ascii="Arial" w:eastAsiaTheme="minorHAnsi" w:hAnsi="Arial" w:cs="Arial"/>
          <w:color w:val="000000"/>
        </w:rPr>
        <w:t xml:space="preserve">, an individual clinical decision is needed on the risks / benefits of continuation of </w:t>
      </w:r>
      <w:proofErr w:type="gramStart"/>
      <w:r w:rsidR="00616BB8" w:rsidRPr="00204119">
        <w:rPr>
          <w:rFonts w:ascii="Arial" w:eastAsiaTheme="minorHAnsi" w:hAnsi="Arial" w:cs="Arial"/>
          <w:color w:val="000000"/>
        </w:rPr>
        <w:t>immunosuppressants</w:t>
      </w:r>
      <w:proofErr w:type="gramEnd"/>
      <w:r w:rsidR="00616BB8" w:rsidRPr="00204119">
        <w:rPr>
          <w:rFonts w:ascii="Arial" w:eastAsiaTheme="minorHAnsi" w:hAnsi="Arial" w:cs="Arial"/>
          <w:color w:val="000000"/>
        </w:rPr>
        <w:t xml:space="preserve"> and GPs can contact the specialist team for advice and guidance if support is required with clinical decision making</w:t>
      </w:r>
      <w:r w:rsidR="00616BB8">
        <w:rPr>
          <w:rFonts w:ascii="Arial" w:eastAsiaTheme="minorHAnsi" w:hAnsi="Arial" w:cs="Arial"/>
          <w:color w:val="000000"/>
        </w:rPr>
        <w:t>.</w:t>
      </w:r>
    </w:p>
    <w:p w14:paraId="1DDB5E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Pre-existing blood dyscrasia</w:t>
      </w:r>
      <w:r w:rsidRPr="00751093">
        <w:rPr>
          <w:rFonts w:ascii="Arial" w:eastAsia="Times New Roman" w:hAnsi="Arial" w:cs="Arial"/>
          <w:bCs/>
          <w:szCs w:val="24"/>
        </w:rPr>
        <w:t>: such as significant anaemia, leucopenia, thrombocytopenia.</w:t>
      </w:r>
    </w:p>
    <w:p w14:paraId="03BA3A0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jc w:val="both"/>
        <w:rPr>
          <w:rFonts w:ascii="Arial" w:eastAsia="Times New Roman" w:hAnsi="Arial" w:cs="Arial"/>
          <w:bCs/>
          <w:szCs w:val="24"/>
        </w:rPr>
      </w:pPr>
      <w:r w:rsidRPr="00751093">
        <w:rPr>
          <w:rFonts w:ascii="Arial" w:eastAsia="Times New Roman" w:hAnsi="Arial" w:cs="Arial"/>
          <w:b/>
          <w:bCs/>
          <w:szCs w:val="24"/>
        </w:rPr>
        <w:t>Live vaccines:</w:t>
      </w:r>
      <w:r w:rsidRPr="00751093">
        <w:rPr>
          <w:rFonts w:ascii="Arial" w:eastAsia="Times New Roman" w:hAnsi="Arial" w:cs="Arial"/>
          <w:bCs/>
          <w:szCs w:val="24"/>
        </w:rPr>
        <w:t xml:space="preserve"> Avoid live vaccines. Consult the Green Book and take additional advice from initiating specialist if required. </w:t>
      </w:r>
    </w:p>
    <w:p w14:paraId="1A4FD98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imes New Roman" w:hAnsi="Arial" w:cs="Arial"/>
          <w:b/>
          <w:bCs/>
          <w:szCs w:val="24"/>
        </w:rPr>
      </w:pPr>
      <w:r w:rsidRPr="00751093">
        <w:rPr>
          <w:rFonts w:ascii="Arial" w:eastAsia="Times New Roman" w:hAnsi="Arial" w:cs="Arial"/>
          <w:b/>
          <w:bCs/>
          <w:szCs w:val="24"/>
        </w:rPr>
        <w:t>Precautions</w:t>
      </w:r>
    </w:p>
    <w:p w14:paraId="045A0856"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rPr>
        <w:t>Renal impairment</w:t>
      </w:r>
      <w:r w:rsidRPr="00751093">
        <w:rPr>
          <w:rFonts w:ascii="Arial" w:eastAsiaTheme="minorHAnsi" w:hAnsi="Arial" w:cs="Arial"/>
        </w:rPr>
        <w:t>: Caution is advised in</w:t>
      </w:r>
      <w:r w:rsidRPr="00751093">
        <w:rPr>
          <w:rFonts w:ascii="Arial" w:eastAsiaTheme="minorHAnsi" w:hAnsi="Arial" w:cs="Arial"/>
          <w:color w:val="000000"/>
          <w:lang w:val="en"/>
        </w:rPr>
        <w:t xml:space="preserve"> patients with severe chronic renal impairment (glomerular filtration rate &lt; 25 mL/min</w:t>
      </w:r>
      <w:r w:rsidRPr="00751093">
        <w:rPr>
          <w:rFonts w:ascii="Arial" w:eastAsiaTheme="minorHAnsi" w:hAnsi="Arial" w:cs="Arial"/>
          <w:color w:val="000000"/>
          <w:vertAlign w:val="superscript"/>
          <w:lang w:val="en"/>
        </w:rPr>
        <w:t>-1</w:t>
      </w:r>
      <w:r w:rsidRPr="00751093">
        <w:rPr>
          <w:rFonts w:ascii="Arial" w:eastAsiaTheme="minorHAnsi" w:hAnsi="Arial" w:cs="Arial"/>
          <w:color w:val="000000"/>
          <w:lang w:val="en"/>
        </w:rPr>
        <w:t>/1.73 m</w:t>
      </w:r>
      <w:r w:rsidRPr="00751093">
        <w:rPr>
          <w:rFonts w:ascii="Arial" w:eastAsiaTheme="minorHAnsi" w:hAnsi="Arial" w:cs="Arial"/>
          <w:color w:val="000000"/>
          <w:vertAlign w:val="superscript"/>
          <w:lang w:val="en"/>
        </w:rPr>
        <w:t>2</w:t>
      </w:r>
      <w:r w:rsidRPr="00751093">
        <w:rPr>
          <w:rFonts w:ascii="Arial" w:eastAsiaTheme="minorHAnsi" w:hAnsi="Arial" w:cs="Arial"/>
          <w:color w:val="000000"/>
          <w:lang w:val="en"/>
        </w:rPr>
        <w:t>),</w:t>
      </w:r>
    </w:p>
    <w:p w14:paraId="0CFE865D"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bCs/>
          <w:color w:val="000000"/>
          <w:lang w:val="en"/>
        </w:rPr>
        <w:t>Elderly</w:t>
      </w:r>
      <w:r w:rsidRPr="00751093">
        <w:rPr>
          <w:rFonts w:ascii="Arial" w:eastAsiaTheme="minorHAnsi" w:hAnsi="Arial" w:cs="Arial"/>
          <w:color w:val="000000"/>
          <w:lang w:val="en"/>
        </w:rPr>
        <w:t xml:space="preserve"> (increased risk of infection, gastrointestinal haemorrhage and pulmonary oedema)</w:t>
      </w:r>
    </w:p>
    <w:p w14:paraId="1B755D54"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rPr>
      </w:pPr>
      <w:r w:rsidRPr="00751093">
        <w:rPr>
          <w:rFonts w:ascii="Arial" w:eastAsiaTheme="minorHAnsi" w:hAnsi="Arial" w:cs="Arial"/>
          <w:b/>
          <w:bCs/>
          <w:color w:val="000000"/>
        </w:rPr>
        <w:t>Blood disorders</w:t>
      </w:r>
      <w:r w:rsidRPr="00751093">
        <w:rPr>
          <w:rFonts w:ascii="Arial" w:eastAsia="Times New Roman" w:hAnsi="Arial" w:cs="Arial"/>
          <w:b/>
          <w:bCs/>
          <w:szCs w:val="24"/>
        </w:rPr>
        <w:t xml:space="preserve"> </w:t>
      </w:r>
      <w:r w:rsidRPr="00751093">
        <w:rPr>
          <w:rFonts w:ascii="Arial" w:eastAsiaTheme="minorHAnsi" w:hAnsi="Arial" w:cs="Arial"/>
          <w:color w:val="000000"/>
        </w:rPr>
        <w:t xml:space="preserve">Leucopenia, anaemia, thrombocytopenia, pancytopenia, pure red cell aplasia, neutropenia and leucocytosis have been reported. </w:t>
      </w:r>
      <w:r w:rsidRPr="00751093">
        <w:rPr>
          <w:rFonts w:ascii="Arial" w:eastAsia="Times New Roman" w:hAnsi="Arial" w:cs="Arial"/>
          <w:bCs/>
          <w:szCs w:val="24"/>
        </w:rPr>
        <w:t>GPs should be alert to any oral ulceration, sore throat, unexplained rash or abnormal bruising/bleeding</w:t>
      </w:r>
      <w:r w:rsidRPr="00751093">
        <w:rPr>
          <w:rFonts w:ascii="Arial" w:eastAsiaTheme="minorHAnsi" w:hAnsi="Arial" w:cs="Arial"/>
          <w:color w:val="000000"/>
        </w:rPr>
        <w:t>. See monitoring section.</w:t>
      </w:r>
    </w:p>
    <w:p w14:paraId="008A1432"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 xml:space="preserve">Nausea: </w:t>
      </w:r>
      <w:r w:rsidRPr="00751093">
        <w:rPr>
          <w:rFonts w:ascii="Arial" w:eastAsia="Times New Roman" w:hAnsi="Arial" w:cs="Arial"/>
          <w:bCs/>
          <w:szCs w:val="24"/>
        </w:rPr>
        <w:t xml:space="preserve">can occur initially but can be reduced by taking the tablets after food. </w:t>
      </w:r>
    </w:p>
    <w:p w14:paraId="4C3569E0"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
          <w:bCs/>
          <w:szCs w:val="24"/>
        </w:rPr>
      </w:pPr>
      <w:r w:rsidRPr="00751093">
        <w:rPr>
          <w:rFonts w:ascii="Arial" w:eastAsia="Times New Roman" w:hAnsi="Arial" w:cs="Arial"/>
          <w:b/>
          <w:bCs/>
          <w:szCs w:val="24"/>
        </w:rPr>
        <w:t>Cancer risk</w:t>
      </w:r>
      <w:r w:rsidRPr="00751093">
        <w:rPr>
          <w:rFonts w:ascii="Arial" w:eastAsia="Times New Roman" w:hAnsi="Arial" w:cs="Arial"/>
          <w:bCs/>
          <w:szCs w:val="24"/>
        </w:rPr>
        <w:t>: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r w:rsidRPr="00751093">
        <w:rPr>
          <w:rFonts w:ascii="Arial" w:eastAsia="Times New Roman" w:hAnsi="Arial" w:cs="Arial"/>
          <w:b/>
          <w:bCs/>
          <w:szCs w:val="24"/>
        </w:rPr>
        <w:t xml:space="preserve"> </w:t>
      </w:r>
    </w:p>
    <w:p w14:paraId="1D8A2E77" w14:textId="3F6C8CD0"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rPr>
      </w:pPr>
      <w:r w:rsidRPr="00751093">
        <w:rPr>
          <w:rFonts w:ascii="Arial" w:eastAsia="Times New Roman" w:hAnsi="Arial" w:cs="Arial"/>
          <w:b/>
          <w:bCs/>
          <w:szCs w:val="24"/>
        </w:rPr>
        <w:t>What to do if Chickenpox or shingles exposure:</w:t>
      </w:r>
      <w:r w:rsidRPr="00751093">
        <w:rPr>
          <w:rFonts w:ascii="Arial" w:eastAsia="Times New Roman" w:hAnsi="Arial" w:cs="Arial"/>
          <w:bCs/>
          <w:szCs w:val="24"/>
        </w:rPr>
        <w:t xml:space="preserve"> For susceptible immunosuppressed individuals with significant exposure to chickenpox (varicella) or shingles (zoster), follow latest </w:t>
      </w:r>
      <w:r w:rsidRPr="00702FB6">
        <w:rPr>
          <w:rFonts w:ascii="Arial" w:eastAsia="Times New Roman" w:hAnsi="Arial" w:cs="Arial"/>
          <w:bCs/>
          <w:szCs w:val="24"/>
        </w:rPr>
        <w:t xml:space="preserve">national guidance on post exposure prophylaxis and use of anti-virals and varicella zoster immunoglobulin (VZIG) </w:t>
      </w:r>
      <w:hyperlink r:id="rId23" w:history="1">
        <w:r w:rsidRPr="00702FB6">
          <w:rPr>
            <w:rStyle w:val="Hyperlink"/>
            <w:rFonts w:ascii="Arial" w:eastAsiaTheme="minorHAnsi" w:hAnsi="Arial" w:cs="Arial"/>
          </w:rPr>
          <w:t>https://www.gov.uk/government/publications/post-exposure-prophylaxis-for-chickenpox-and-shingles</w:t>
        </w:r>
      </w:hyperlink>
    </w:p>
    <w:p w14:paraId="7BD51944" w14:textId="43B8A476"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Cs/>
          <w:szCs w:val="24"/>
        </w:rPr>
        <w:t>Stop mycophenolate and contact specialist team for advice if there are any concerns.</w:t>
      </w:r>
    </w:p>
    <w:p w14:paraId="3937442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Genetic deficiencies:</w:t>
      </w:r>
      <w:r w:rsidRPr="00751093">
        <w:rPr>
          <w:rFonts w:ascii="Arial" w:eastAsia="Times New Roman" w:hAnsi="Arial" w:cs="Arial"/>
          <w:bCs/>
          <w:szCs w:val="24"/>
        </w:rPr>
        <w:t xml:space="preserve"> Mycophenolate mofetil is an IMPDH (inosine monophosphate dehydrogenase) inhibitor. On theoretical grounds therefore it should be avoided in patients with rare hereditary deficiency of hypoxanthine-guanine phosphoribosyl-transferase (HGPRT) such as Lesch-Nyhan and Kelley-Seegmiller syndrome.</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lastRenderedPageBreak/>
        <w:t xml:space="preserve">NOTABLE DRUG INTERACTIONS (REFER TO </w:t>
      </w:r>
      <w:hyperlink r:id="rId24"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5"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0FF4ECDB"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40"/>
        <w:contextualSpacing/>
        <w:jc w:val="both"/>
        <w:outlineLvl w:val="0"/>
        <w:rPr>
          <w:rFonts w:ascii="Arial" w:eastAsia="Times New Roman" w:hAnsi="Arial" w:cs="Arial"/>
          <w:b/>
          <w:bCs/>
        </w:rPr>
      </w:pPr>
      <w:r w:rsidRPr="00751093">
        <w:rPr>
          <w:rFonts w:ascii="Arial" w:eastAsia="Times New Roman" w:hAnsi="Arial" w:cs="Arial"/>
          <w:b/>
          <w:bCs/>
        </w:rPr>
        <w:t>Common drug interactions</w:t>
      </w:r>
    </w:p>
    <w:p w14:paraId="422F596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Aciclovir/Ganciclovir/Valaciclovir/Valganciclovir</w:t>
      </w:r>
      <w:r w:rsidRPr="00751093">
        <w:rPr>
          <w:rFonts w:ascii="Arial" w:eastAsia="Times New Roman" w:hAnsi="Arial" w:cs="Arial"/>
        </w:rPr>
        <w:t xml:space="preserve"> – mycophenolate increases aciclovir/valaciclovir plasma levels and possibly increases plasma concentration of ganciclovir and valganciclovir.</w:t>
      </w:r>
    </w:p>
    <w:p w14:paraId="2D84FDE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Antacids:</w:t>
      </w:r>
      <w:r w:rsidRPr="00751093">
        <w:rPr>
          <w:rFonts w:ascii="Arial" w:eastAsia="Times New Roman" w:hAnsi="Arial" w:cs="Arial"/>
        </w:rPr>
        <w:t xml:space="preserve"> may reduce the absorption of mycophenolate</w:t>
      </w:r>
    </w:p>
    <w:p w14:paraId="620DB067"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Metronidazole &amp; Norfloxacin</w:t>
      </w:r>
      <w:r w:rsidRPr="00751093">
        <w:rPr>
          <w:rFonts w:ascii="Arial" w:eastAsia="Times New Roman" w:hAnsi="Arial" w:cs="Arial"/>
        </w:rPr>
        <w:t>: possibly reduce bioavailability of mycophenolate</w:t>
      </w:r>
    </w:p>
    <w:p w14:paraId="42355AAD"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rPr>
        <w:t>Cholestyramine</w:t>
      </w:r>
      <w:r w:rsidRPr="00751093">
        <w:rPr>
          <w:rFonts w:ascii="Arial" w:eastAsia="Times New Roman" w:hAnsi="Arial" w:cs="Arial"/>
        </w:rPr>
        <w:t>:</w:t>
      </w:r>
      <w:r w:rsidRPr="00751093">
        <w:rPr>
          <w:rFonts w:ascii="Arial" w:eastAsia="Times New Roman" w:hAnsi="Arial" w:cs="Arial"/>
          <w:bCs/>
        </w:rPr>
        <w:t xml:space="preserve"> may reduce the absorption of mycophenolate</w:t>
      </w:r>
    </w:p>
    <w:p w14:paraId="13E470F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Probenecid</w:t>
      </w:r>
      <w:r w:rsidRPr="00751093">
        <w:rPr>
          <w:rFonts w:ascii="Arial" w:eastAsia="Times New Roman" w:hAnsi="Arial" w:cs="Arial"/>
          <w:bCs/>
        </w:rPr>
        <w:t>: Prevents renal tubular secretion and causes an increase in plasma concentration of mycophenolate</w:t>
      </w:r>
    </w:p>
    <w:p w14:paraId="3DCEB6EE"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
          <w:bCs/>
        </w:rPr>
      </w:pPr>
      <w:r w:rsidRPr="00751093">
        <w:rPr>
          <w:rFonts w:ascii="Arial" w:eastAsia="Times New Roman" w:hAnsi="Arial" w:cs="Arial"/>
          <w:b/>
          <w:bCs/>
        </w:rPr>
        <w:t xml:space="preserve">Rifampicin: </w:t>
      </w:r>
      <w:r w:rsidRPr="00751093">
        <w:rPr>
          <w:rFonts w:ascii="Arial" w:eastAsia="Times New Roman" w:hAnsi="Arial" w:cs="Arial"/>
          <w:bCs/>
        </w:rPr>
        <w:t>decreases the level of mycophenolate</w:t>
      </w:r>
    </w:p>
    <w:p w14:paraId="3E4CA45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 xml:space="preserve">Sevelamer: </w:t>
      </w:r>
      <w:r w:rsidRPr="00751093">
        <w:rPr>
          <w:rFonts w:ascii="Arial" w:eastAsia="Times New Roman" w:hAnsi="Arial" w:cs="Arial"/>
        </w:rPr>
        <w:t xml:space="preserve">reduced levels of mycophenolate </w:t>
      </w:r>
    </w:p>
    <w:p w14:paraId="1D48D228"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Iron preparations:</w:t>
      </w:r>
      <w:r w:rsidRPr="00751093">
        <w:rPr>
          <w:rFonts w:ascii="Arial" w:eastAsia="Times New Roman" w:hAnsi="Arial" w:cs="Arial"/>
        </w:rPr>
        <w:t xml:space="preserve"> may reduce absorption of mycophenolate</w:t>
      </w:r>
    </w:p>
    <w:p w14:paraId="0DB2FF62"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Drugs that can cause myelosuppression</w:t>
      </w:r>
      <w:r w:rsidRPr="00751093">
        <w:rPr>
          <w:rFonts w:ascii="Arial" w:eastAsia="Times New Roman" w:hAnsi="Arial" w:cs="Arial"/>
          <w:bCs/>
        </w:rPr>
        <w:t>: concurrent use may increase risk.</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1"/>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rPr>
                <w:rFonts w:ascii="Arial" w:eastAsia="Times New Roman" w:hAnsi="Arial" w:cs="Arial"/>
                <w:b/>
                <w:bCs/>
                <w:lang w:eastAsia="en-GB"/>
              </w:rPr>
            </w:pPr>
          </w:p>
          <w:p w14:paraId="6BB4DA84" w14:textId="35ECA986" w:rsidR="00F82115" w:rsidRPr="00D43187" w:rsidRDefault="0006405F" w:rsidP="00F82115">
            <w:pPr>
              <w:spacing w:after="120"/>
              <w:rPr>
                <w:rFonts w:ascii="Arial" w:eastAsia="Times New Roman" w:hAnsi="Arial" w:cs="Arial"/>
                <w:b/>
                <w:bCs/>
                <w:u w:val="single"/>
                <w:lang w:eastAsia="en-GB"/>
              </w:rPr>
            </w:pPr>
            <w:r>
              <w:rPr>
                <w:rFonts w:ascii="Arial" w:eastAsia="Times New Roman" w:hAnsi="Arial" w:cs="Arial"/>
                <w:b/>
                <w:bCs/>
                <w:u w:val="single"/>
                <w:lang w:eastAsia="en-GB"/>
              </w:rPr>
              <w:t>Princess Alexandra Hospital</w:t>
            </w:r>
            <w:r w:rsidR="00F82115" w:rsidRPr="00D43187">
              <w:rPr>
                <w:rFonts w:ascii="Arial" w:eastAsia="Times New Roman" w:hAnsi="Arial" w:cs="Arial"/>
                <w:b/>
                <w:bCs/>
                <w:u w:val="single"/>
                <w:lang w:eastAsia="en-GB"/>
              </w:rPr>
              <w:t xml:space="preserve"> NHS Trust</w:t>
            </w:r>
          </w:p>
          <w:tbl>
            <w:tblPr>
              <w:tblStyle w:val="TableGrid"/>
              <w:tblW w:w="10835" w:type="dxa"/>
              <w:tblCellMar>
                <w:left w:w="57" w:type="dxa"/>
                <w:right w:w="57" w:type="dxa"/>
              </w:tblCellMar>
              <w:tblLook w:val="04A0" w:firstRow="1" w:lastRow="0" w:firstColumn="1" w:lastColumn="0" w:noHBand="0" w:noVBand="1"/>
            </w:tblPr>
            <w:tblGrid>
              <w:gridCol w:w="1781"/>
              <w:gridCol w:w="1541"/>
              <w:gridCol w:w="6040"/>
              <w:gridCol w:w="1473"/>
            </w:tblGrid>
            <w:tr w:rsidR="00585D30" w:rsidRPr="00D43187" w14:paraId="528F7DE2" w14:textId="77777777" w:rsidTr="00586AE9">
              <w:tc>
                <w:tcPr>
                  <w:tcW w:w="1781" w:type="dxa"/>
                  <w:shd w:val="clear" w:color="auto" w:fill="D9D9D9" w:themeFill="background1" w:themeFillShade="D9"/>
                </w:tcPr>
                <w:p w14:paraId="142FF1C4" w14:textId="77777777" w:rsidR="00585D30" w:rsidRPr="00D43187" w:rsidRDefault="00585D30" w:rsidP="00F82115">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41" w:type="dxa"/>
                  <w:shd w:val="clear" w:color="auto" w:fill="D9D9D9" w:themeFill="background1" w:themeFillShade="D9"/>
                </w:tcPr>
                <w:p w14:paraId="0E5AB0C4" w14:textId="77777777" w:rsidR="00585D30" w:rsidRPr="00D43187" w:rsidRDefault="00585D30" w:rsidP="00F82115">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6040" w:type="dxa"/>
                  <w:shd w:val="clear" w:color="auto" w:fill="D9D9D9" w:themeFill="background1" w:themeFillShade="D9"/>
                </w:tcPr>
                <w:p w14:paraId="4267B190" w14:textId="16490945" w:rsidR="00585D30" w:rsidRPr="00D43187" w:rsidRDefault="00585D30" w:rsidP="00F82115">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473" w:type="dxa"/>
                  <w:shd w:val="clear" w:color="auto" w:fill="D9D9D9" w:themeFill="background1" w:themeFillShade="D9"/>
                </w:tcPr>
                <w:p w14:paraId="1F13B83B" w14:textId="77777777" w:rsidR="00585D30" w:rsidRPr="00D43187" w:rsidRDefault="00585D30"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85D30" w:rsidRPr="00D43187" w14:paraId="32C45DD6" w14:textId="77777777" w:rsidTr="00585D30">
              <w:tc>
                <w:tcPr>
                  <w:tcW w:w="1781" w:type="dxa"/>
                </w:tcPr>
                <w:p w14:paraId="65DD27C2" w14:textId="77777777" w:rsidR="00585D30" w:rsidRDefault="00585D30" w:rsidP="0006405F">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541" w:type="dxa"/>
                </w:tcPr>
                <w:p w14:paraId="704B2374" w14:textId="7412F366" w:rsidR="00585D30" w:rsidRPr="00D43187" w:rsidRDefault="00585D30" w:rsidP="0006405F">
                  <w:pPr>
                    <w:spacing w:after="40"/>
                    <w:rPr>
                      <w:rFonts w:ascii="Arial" w:eastAsia="Times New Roman" w:hAnsi="Arial" w:cs="Arial"/>
                      <w:bCs/>
                      <w:sz w:val="20"/>
                      <w:szCs w:val="20"/>
                      <w:lang w:eastAsia="en-GB"/>
                    </w:rPr>
                  </w:pPr>
                  <w:r w:rsidRPr="009D3945">
                    <w:rPr>
                      <w:rFonts w:ascii="Arial" w:hAnsi="Arial" w:cs="Arial"/>
                      <w:sz w:val="20"/>
                      <w:szCs w:val="20"/>
                    </w:rPr>
                    <w:t>01279 444455 Ext 7035</w:t>
                  </w:r>
                </w:p>
              </w:tc>
              <w:tc>
                <w:tcPr>
                  <w:tcW w:w="6040" w:type="dxa"/>
                </w:tcPr>
                <w:p w14:paraId="4BE9B908" w14:textId="6225A85D" w:rsidR="00585D30" w:rsidRDefault="008B072E" w:rsidP="00585D30">
                  <w:hyperlink r:id="rId26" w:history="1">
                    <w:r w:rsidR="00585D30" w:rsidRPr="00692BAE">
                      <w:rPr>
                        <w:rStyle w:val="Hyperlink"/>
                        <w:rFonts w:ascii="Arial" w:hAnsi="Arial" w:cs="Arial"/>
                        <w:sz w:val="20"/>
                        <w:szCs w:val="20"/>
                      </w:rPr>
                      <w:t>tpa-tr.haematologyadminclinicalcorrespondence@nhs.net</w:t>
                    </w:r>
                  </w:hyperlink>
                  <w:r w:rsidR="00585D30">
                    <w:rPr>
                      <w:rFonts w:ascii="Arial" w:hAnsi="Arial" w:cs="Arial"/>
                      <w:sz w:val="20"/>
                      <w:szCs w:val="20"/>
                    </w:rPr>
                    <w:t xml:space="preserve"> </w:t>
                  </w:r>
                </w:p>
              </w:tc>
              <w:tc>
                <w:tcPr>
                  <w:tcW w:w="1473" w:type="dxa"/>
                  <w:vMerge w:val="restart"/>
                  <w:vAlign w:val="center"/>
                </w:tcPr>
                <w:p w14:paraId="606C389A" w14:textId="127437F8" w:rsidR="00585D30" w:rsidRPr="00D43187" w:rsidRDefault="00585D30" w:rsidP="0006405F">
                  <w:pPr>
                    <w:jc w:val="center"/>
                    <w:rPr>
                      <w:rFonts w:ascii="Arial" w:eastAsia="Times New Roman" w:hAnsi="Arial" w:cs="Arial"/>
                      <w:bCs/>
                      <w:sz w:val="20"/>
                      <w:szCs w:val="20"/>
                      <w:lang w:eastAsia="en-GB"/>
                    </w:rPr>
                  </w:pPr>
                  <w:r>
                    <w:rPr>
                      <w:rFonts w:ascii="Arial" w:eastAsia="Times New Roman" w:hAnsi="Arial" w:cs="Arial"/>
                      <w:sz w:val="20"/>
                      <w:szCs w:val="20"/>
                      <w:lang w:eastAsia="en-GB"/>
                    </w:rPr>
                    <w:t>01279 444455</w:t>
                  </w:r>
                </w:p>
              </w:tc>
            </w:tr>
            <w:tr w:rsidR="00585D30" w:rsidRPr="00D43187" w14:paraId="5C231A74" w14:textId="77777777" w:rsidTr="00585D30">
              <w:tc>
                <w:tcPr>
                  <w:tcW w:w="1781" w:type="dxa"/>
                </w:tcPr>
                <w:p w14:paraId="3250B82E" w14:textId="77777777" w:rsidR="00585D30" w:rsidRPr="00D43187" w:rsidRDefault="00585D30" w:rsidP="0006405F">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Neurology</w:t>
                  </w:r>
                </w:p>
              </w:tc>
              <w:tc>
                <w:tcPr>
                  <w:tcW w:w="1541" w:type="dxa"/>
                </w:tcPr>
                <w:p w14:paraId="5DB68397" w14:textId="16109847" w:rsidR="00585D30" w:rsidRPr="00D43187" w:rsidRDefault="00585D30" w:rsidP="0006405F">
                  <w:pPr>
                    <w:spacing w:after="40"/>
                    <w:rPr>
                      <w:rFonts w:ascii="Arial" w:hAnsi="Arial" w:cs="Arial"/>
                      <w:sz w:val="20"/>
                      <w:szCs w:val="20"/>
                      <w:lang w:eastAsia="en-GB"/>
                    </w:rPr>
                  </w:pPr>
                  <w:r w:rsidRPr="009D3945">
                    <w:rPr>
                      <w:rFonts w:ascii="Arial" w:eastAsia="Times New Roman" w:hAnsi="Arial" w:cs="Arial"/>
                      <w:bCs/>
                      <w:sz w:val="20"/>
                      <w:szCs w:val="20"/>
                      <w:lang w:eastAsia="en-GB"/>
                    </w:rPr>
                    <w:t>via switchboard</w:t>
                  </w:r>
                </w:p>
              </w:tc>
              <w:tc>
                <w:tcPr>
                  <w:tcW w:w="6040" w:type="dxa"/>
                </w:tcPr>
                <w:p w14:paraId="4FF3343E" w14:textId="50047A12" w:rsidR="00585D30" w:rsidRDefault="008B072E" w:rsidP="0006405F">
                  <w:pPr>
                    <w:rPr>
                      <w:rFonts w:ascii="Arial" w:eastAsia="Times New Roman" w:hAnsi="Arial" w:cs="Arial"/>
                      <w:bCs/>
                      <w:sz w:val="20"/>
                      <w:szCs w:val="20"/>
                      <w:lang w:eastAsia="en-GB"/>
                    </w:rPr>
                  </w:pPr>
                  <w:hyperlink r:id="rId27" w:history="1">
                    <w:r w:rsidR="00585D30" w:rsidRPr="00692BAE">
                      <w:rPr>
                        <w:rStyle w:val="Hyperlink"/>
                        <w:rFonts w:ascii="Arial" w:hAnsi="Arial" w:cs="Arial"/>
                        <w:sz w:val="20"/>
                        <w:szCs w:val="20"/>
                      </w:rPr>
                      <w:t>tpa-tr.neurologyadminclinicalcorrespondence@nhs.net</w:t>
                    </w:r>
                  </w:hyperlink>
                  <w:r w:rsidR="00585D30">
                    <w:rPr>
                      <w:rFonts w:ascii="Arial" w:hAnsi="Arial" w:cs="Arial"/>
                      <w:sz w:val="20"/>
                      <w:szCs w:val="20"/>
                    </w:rPr>
                    <w:t xml:space="preserve"> </w:t>
                  </w:r>
                </w:p>
              </w:tc>
              <w:tc>
                <w:tcPr>
                  <w:tcW w:w="1473" w:type="dxa"/>
                  <w:vMerge/>
                </w:tcPr>
                <w:p w14:paraId="4028110E" w14:textId="77777777" w:rsidR="00585D30" w:rsidRPr="00D43187" w:rsidRDefault="00585D30" w:rsidP="0006405F">
                  <w:pPr>
                    <w:rPr>
                      <w:rFonts w:ascii="Arial" w:eastAsia="Times New Roman" w:hAnsi="Arial" w:cs="Arial"/>
                      <w:bCs/>
                      <w:sz w:val="20"/>
                      <w:szCs w:val="20"/>
                      <w:lang w:eastAsia="en-GB"/>
                    </w:rPr>
                  </w:pPr>
                </w:p>
              </w:tc>
            </w:tr>
            <w:tr w:rsidR="00585D30" w:rsidRPr="00D43187" w14:paraId="0E67EB1E" w14:textId="77777777" w:rsidTr="00585D30">
              <w:tc>
                <w:tcPr>
                  <w:tcW w:w="1781" w:type="dxa"/>
                </w:tcPr>
                <w:p w14:paraId="49BAC236" w14:textId="77777777" w:rsidR="00585D30" w:rsidRPr="00D763E4" w:rsidRDefault="00585D30" w:rsidP="0006405F">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Dermatology</w:t>
                  </w:r>
                </w:p>
              </w:tc>
              <w:tc>
                <w:tcPr>
                  <w:tcW w:w="1541" w:type="dxa"/>
                </w:tcPr>
                <w:p w14:paraId="0E32211D" w14:textId="77777777" w:rsidR="00D874B0" w:rsidRPr="00D874B0" w:rsidRDefault="00D874B0" w:rsidP="00D874B0">
                  <w:pPr>
                    <w:spacing w:after="40"/>
                    <w:rPr>
                      <w:rFonts w:ascii="Arial" w:eastAsia="Times New Roman" w:hAnsi="Arial" w:cs="Arial"/>
                      <w:bCs/>
                      <w:sz w:val="20"/>
                      <w:szCs w:val="20"/>
                      <w:lang w:eastAsia="en-GB"/>
                    </w:rPr>
                  </w:pPr>
                  <w:r w:rsidRPr="00D874B0">
                    <w:rPr>
                      <w:rFonts w:ascii="Arial" w:eastAsia="Times New Roman" w:hAnsi="Arial" w:cs="Arial"/>
                      <w:bCs/>
                      <w:sz w:val="20"/>
                      <w:szCs w:val="20"/>
                      <w:lang w:eastAsia="en-GB"/>
                    </w:rPr>
                    <w:t>01279 827227</w:t>
                  </w:r>
                </w:p>
                <w:p w14:paraId="1CB964F1" w14:textId="342CFB3A" w:rsidR="00585D30" w:rsidRPr="00D763E4" w:rsidRDefault="00D874B0" w:rsidP="00D874B0">
                  <w:pPr>
                    <w:spacing w:after="40"/>
                    <w:rPr>
                      <w:rFonts w:ascii="Arial" w:eastAsia="Times New Roman" w:hAnsi="Arial" w:cs="Arial"/>
                      <w:bCs/>
                      <w:sz w:val="20"/>
                      <w:szCs w:val="20"/>
                      <w:lang w:eastAsia="en-GB"/>
                    </w:rPr>
                  </w:pPr>
                  <w:r w:rsidRPr="00D874B0">
                    <w:rPr>
                      <w:rFonts w:ascii="Arial" w:eastAsia="Times New Roman" w:hAnsi="Arial" w:cs="Arial"/>
                      <w:bCs/>
                      <w:sz w:val="20"/>
                      <w:szCs w:val="20"/>
                      <w:lang w:eastAsia="en-GB"/>
                    </w:rPr>
                    <w:t>Derm Secretaries</w:t>
                  </w:r>
                </w:p>
              </w:tc>
              <w:tc>
                <w:tcPr>
                  <w:tcW w:w="6040" w:type="dxa"/>
                </w:tcPr>
                <w:p w14:paraId="431C5040" w14:textId="7A68EA9E" w:rsidR="00585D30" w:rsidRPr="00D43187" w:rsidRDefault="008B072E" w:rsidP="0006405F">
                  <w:pPr>
                    <w:rPr>
                      <w:rFonts w:ascii="Arial" w:eastAsia="Times New Roman" w:hAnsi="Arial" w:cs="Arial"/>
                      <w:bCs/>
                      <w:sz w:val="20"/>
                      <w:szCs w:val="20"/>
                      <w:lang w:eastAsia="en-GB"/>
                    </w:rPr>
                  </w:pPr>
                  <w:hyperlink r:id="rId28" w:history="1">
                    <w:r w:rsidR="00585D30" w:rsidRPr="00692BAE">
                      <w:rPr>
                        <w:rStyle w:val="Hyperlink"/>
                      </w:rPr>
                      <w:t>tpa-tr.dermatologyclinicalcorrespondence@nhs.net</w:t>
                    </w:r>
                  </w:hyperlink>
                  <w:r w:rsidR="00585D30">
                    <w:t xml:space="preserve"> </w:t>
                  </w:r>
                </w:p>
              </w:tc>
              <w:tc>
                <w:tcPr>
                  <w:tcW w:w="1473" w:type="dxa"/>
                  <w:vMerge/>
                </w:tcPr>
                <w:p w14:paraId="303F7B3F" w14:textId="77777777" w:rsidR="00585D30" w:rsidRPr="00D43187" w:rsidRDefault="00585D30" w:rsidP="0006405F">
                  <w:pPr>
                    <w:rPr>
                      <w:rFonts w:ascii="Arial" w:eastAsia="Times New Roman" w:hAnsi="Arial" w:cs="Arial"/>
                      <w:bCs/>
                      <w:sz w:val="20"/>
                      <w:szCs w:val="20"/>
                      <w:lang w:eastAsia="en-GB"/>
                    </w:rPr>
                  </w:pPr>
                </w:p>
              </w:tc>
            </w:tr>
            <w:tr w:rsidR="00585D30" w:rsidRPr="00D43187" w14:paraId="43B52D4A" w14:textId="77777777" w:rsidTr="00585D30">
              <w:tc>
                <w:tcPr>
                  <w:tcW w:w="1781" w:type="dxa"/>
                </w:tcPr>
                <w:p w14:paraId="43B39F76" w14:textId="77777777" w:rsidR="00585D30" w:rsidRPr="006B15D4" w:rsidRDefault="00585D30" w:rsidP="0006405F">
                  <w:pPr>
                    <w:spacing w:after="40"/>
                    <w:rPr>
                      <w:rFonts w:ascii="Arial" w:eastAsia="Times New Roman" w:hAnsi="Arial" w:cs="Arial"/>
                      <w:b/>
                      <w:bCs/>
                      <w:color w:val="000000" w:themeColor="text1"/>
                      <w:sz w:val="20"/>
                      <w:szCs w:val="20"/>
                      <w:lang w:eastAsia="en-GB"/>
                    </w:rPr>
                  </w:pPr>
                  <w:r w:rsidRPr="006B15D4">
                    <w:rPr>
                      <w:rFonts w:ascii="Arial" w:hAnsi="Arial" w:cs="Arial"/>
                      <w:b/>
                      <w:sz w:val="20"/>
                      <w:szCs w:val="20"/>
                    </w:rPr>
                    <w:t>Gastroenterology</w:t>
                  </w:r>
                </w:p>
              </w:tc>
              <w:tc>
                <w:tcPr>
                  <w:tcW w:w="1541" w:type="dxa"/>
                </w:tcPr>
                <w:p w14:paraId="02525D75"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01279 278223</w:t>
                  </w:r>
                </w:p>
                <w:p w14:paraId="2CD7FADE"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(IBD advice line – answer machine)</w:t>
                  </w:r>
                </w:p>
                <w:p w14:paraId="74BFD450"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01279 278224</w:t>
                  </w:r>
                </w:p>
                <w:p w14:paraId="5CF9493B" w14:textId="7E4104B5" w:rsidR="00585D30" w:rsidRPr="006B15D4" w:rsidRDefault="00585D30" w:rsidP="00585D30">
                  <w:pPr>
                    <w:spacing w:after="40"/>
                    <w:rPr>
                      <w:rFonts w:ascii="Arial" w:eastAsia="Times New Roman" w:hAnsi="Arial" w:cs="Arial"/>
                      <w:bCs/>
                      <w:sz w:val="20"/>
                      <w:szCs w:val="20"/>
                      <w:lang w:eastAsia="en-GB"/>
                    </w:rPr>
                  </w:pPr>
                  <w:r w:rsidRPr="00585D30">
                    <w:rPr>
                      <w:rFonts w:ascii="Arial" w:hAnsi="Arial" w:cs="Arial"/>
                      <w:sz w:val="20"/>
                      <w:szCs w:val="20"/>
                      <w:lang w:eastAsia="en-GB"/>
                    </w:rPr>
                    <w:t>(Gastro Pharmacist)</w:t>
                  </w:r>
                </w:p>
              </w:tc>
              <w:tc>
                <w:tcPr>
                  <w:tcW w:w="6040" w:type="dxa"/>
                </w:tcPr>
                <w:p w14:paraId="6933264C" w14:textId="77777777" w:rsidR="00585D30" w:rsidRDefault="008B072E" w:rsidP="0006405F">
                  <w:pPr>
                    <w:spacing w:after="40"/>
                  </w:pPr>
                  <w:hyperlink r:id="rId29" w:history="1">
                    <w:r w:rsidR="00585D30" w:rsidRPr="00752571">
                      <w:rPr>
                        <w:rStyle w:val="Hyperlink"/>
                      </w:rPr>
                      <w:t>Tpa-tr.gastroadminclinicalcorrespondence@nhs.net</w:t>
                    </w:r>
                  </w:hyperlink>
                </w:p>
                <w:p w14:paraId="306CF899" w14:textId="6A512D3D" w:rsidR="00585D30" w:rsidRPr="00D43187" w:rsidRDefault="008B072E" w:rsidP="0006405F">
                  <w:pPr>
                    <w:rPr>
                      <w:rFonts w:ascii="Arial" w:eastAsia="Times New Roman" w:hAnsi="Arial" w:cs="Arial"/>
                      <w:bCs/>
                      <w:sz w:val="20"/>
                      <w:szCs w:val="20"/>
                      <w:lang w:eastAsia="en-GB"/>
                    </w:rPr>
                  </w:pPr>
                  <w:hyperlink r:id="rId30" w:history="1">
                    <w:r w:rsidR="00585D30" w:rsidRPr="00752571">
                      <w:rPr>
                        <w:rStyle w:val="Hyperlink"/>
                      </w:rPr>
                      <w:t>Paht.ibd@nhs.net</w:t>
                    </w:r>
                  </w:hyperlink>
                  <w:r w:rsidR="00585D30">
                    <w:t xml:space="preserve"> - IBD Specialist Nurse</w:t>
                  </w:r>
                </w:p>
              </w:tc>
              <w:tc>
                <w:tcPr>
                  <w:tcW w:w="1473" w:type="dxa"/>
                  <w:vMerge/>
                </w:tcPr>
                <w:p w14:paraId="5F89C771" w14:textId="77777777" w:rsidR="00585D30" w:rsidRPr="00D43187" w:rsidRDefault="00585D30" w:rsidP="0006405F">
                  <w:pPr>
                    <w:rPr>
                      <w:rFonts w:ascii="Arial" w:eastAsia="Times New Roman" w:hAnsi="Arial" w:cs="Arial"/>
                      <w:bCs/>
                      <w:sz w:val="20"/>
                      <w:szCs w:val="20"/>
                      <w:lang w:eastAsia="en-GB"/>
                    </w:rPr>
                  </w:pPr>
                </w:p>
              </w:tc>
            </w:tr>
            <w:tr w:rsidR="00585D30" w:rsidRPr="00D43187" w14:paraId="6C52EA0E" w14:textId="77777777" w:rsidTr="00585D30">
              <w:trPr>
                <w:trHeight w:val="320"/>
              </w:trPr>
              <w:tc>
                <w:tcPr>
                  <w:tcW w:w="1781" w:type="dxa"/>
                </w:tcPr>
                <w:p w14:paraId="189757A9" w14:textId="77777777" w:rsidR="00585D30" w:rsidRPr="00D43187" w:rsidRDefault="00585D30" w:rsidP="0006405F">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541" w:type="dxa"/>
                </w:tcPr>
                <w:p w14:paraId="010AB7D4" w14:textId="4803DC90" w:rsidR="00585D30" w:rsidRPr="00585D30" w:rsidRDefault="00585D30" w:rsidP="0006405F">
                  <w:pPr>
                    <w:spacing w:after="40"/>
                    <w:rPr>
                      <w:rFonts w:ascii="Arial" w:eastAsia="Times New Roman" w:hAnsi="Arial" w:cs="Arial"/>
                      <w:sz w:val="20"/>
                      <w:szCs w:val="20"/>
                      <w:lang w:eastAsia="en-GB"/>
                    </w:rPr>
                  </w:pPr>
                  <w:r w:rsidRPr="00585D30">
                    <w:rPr>
                      <w:rFonts w:ascii="Arial" w:eastAsia="Times New Roman" w:hAnsi="Arial" w:cs="Arial"/>
                      <w:sz w:val="20"/>
                      <w:szCs w:val="20"/>
                      <w:lang w:eastAsia="en-GB"/>
                    </w:rPr>
                    <w:t>via switchboard</w:t>
                  </w:r>
                </w:p>
              </w:tc>
              <w:tc>
                <w:tcPr>
                  <w:tcW w:w="6040" w:type="dxa"/>
                </w:tcPr>
                <w:p w14:paraId="57A779EE" w14:textId="0398E8A9" w:rsidR="00585D30" w:rsidRPr="00D43187" w:rsidRDefault="008B072E" w:rsidP="0006405F">
                  <w:pPr>
                    <w:rPr>
                      <w:rFonts w:ascii="Arial" w:eastAsia="Times New Roman" w:hAnsi="Arial" w:cs="Arial"/>
                      <w:bCs/>
                      <w:sz w:val="20"/>
                      <w:szCs w:val="20"/>
                      <w:lang w:eastAsia="en-GB"/>
                    </w:rPr>
                  </w:pPr>
                  <w:hyperlink r:id="rId31" w:history="1">
                    <w:r w:rsidR="00585D30" w:rsidRPr="00692BAE">
                      <w:rPr>
                        <w:rStyle w:val="Hyperlink"/>
                        <w:rFonts w:ascii="Arial" w:eastAsia="Times New Roman" w:hAnsi="Arial" w:cs="Arial"/>
                        <w:bCs/>
                        <w:sz w:val="20"/>
                        <w:szCs w:val="20"/>
                        <w:lang w:eastAsia="en-GB"/>
                      </w:rPr>
                      <w:t>tpa-tr.ophthalmologyadminclinicalcorrespondence@nhs.net</w:t>
                    </w:r>
                  </w:hyperlink>
                  <w:r w:rsidR="00585D30">
                    <w:rPr>
                      <w:rFonts w:ascii="Arial" w:eastAsia="Times New Roman" w:hAnsi="Arial" w:cs="Arial"/>
                      <w:bCs/>
                      <w:sz w:val="20"/>
                      <w:szCs w:val="20"/>
                      <w:lang w:eastAsia="en-GB"/>
                    </w:rPr>
                    <w:t xml:space="preserve"> </w:t>
                  </w:r>
                </w:p>
              </w:tc>
              <w:tc>
                <w:tcPr>
                  <w:tcW w:w="1473" w:type="dxa"/>
                  <w:vMerge/>
                </w:tcPr>
                <w:p w14:paraId="4EFD73DE" w14:textId="77777777" w:rsidR="00585D30" w:rsidRPr="00D43187" w:rsidRDefault="00585D30" w:rsidP="0006405F">
                  <w:pPr>
                    <w:rPr>
                      <w:rFonts w:ascii="Arial" w:eastAsia="Times New Roman" w:hAnsi="Arial" w:cs="Arial"/>
                      <w:bCs/>
                      <w:sz w:val="20"/>
                      <w:szCs w:val="20"/>
                      <w:lang w:eastAsia="en-GB"/>
                    </w:rPr>
                  </w:pPr>
                </w:p>
              </w:tc>
            </w:tr>
            <w:tr w:rsidR="00585D30" w:rsidRPr="00D43187" w14:paraId="69C0EBF5" w14:textId="77777777" w:rsidTr="00585D30">
              <w:tc>
                <w:tcPr>
                  <w:tcW w:w="1781" w:type="dxa"/>
                </w:tcPr>
                <w:p w14:paraId="43A3832D" w14:textId="77777777" w:rsidR="00585D30" w:rsidRPr="00D43187" w:rsidRDefault="00585D30" w:rsidP="0006405F">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541" w:type="dxa"/>
                </w:tcPr>
                <w:p w14:paraId="72EC254B" w14:textId="47F31450" w:rsidR="00585D30" w:rsidRPr="00D43187" w:rsidRDefault="00585D30" w:rsidP="0006405F">
                  <w:pPr>
                    <w:spacing w:after="40"/>
                    <w:rPr>
                      <w:rFonts w:ascii="Arial" w:eastAsia="Times New Roman" w:hAnsi="Arial" w:cs="Arial"/>
                      <w:bCs/>
                      <w:sz w:val="20"/>
                      <w:szCs w:val="20"/>
                      <w:lang w:eastAsia="en-GB"/>
                    </w:rPr>
                  </w:pPr>
                  <w:r w:rsidRPr="00585D30">
                    <w:rPr>
                      <w:rFonts w:ascii="Arial" w:eastAsia="Times New Roman" w:hAnsi="Arial" w:cs="Arial"/>
                      <w:bCs/>
                      <w:sz w:val="20"/>
                      <w:szCs w:val="20"/>
                      <w:lang w:eastAsia="en-GB"/>
                    </w:rPr>
                    <w:t>via switchboard</w:t>
                  </w:r>
                </w:p>
              </w:tc>
              <w:tc>
                <w:tcPr>
                  <w:tcW w:w="6040" w:type="dxa"/>
                </w:tcPr>
                <w:p w14:paraId="389D7025" w14:textId="43A7F436" w:rsidR="00585D30" w:rsidRPr="00D43187" w:rsidRDefault="008B072E" w:rsidP="0006405F">
                  <w:pPr>
                    <w:shd w:val="clear" w:color="auto" w:fill="FFFFFF"/>
                    <w:outlineLvl w:val="2"/>
                    <w:rPr>
                      <w:rFonts w:ascii="Arial" w:eastAsia="Times New Roman" w:hAnsi="Arial" w:cs="Arial"/>
                      <w:sz w:val="20"/>
                      <w:szCs w:val="20"/>
                      <w:lang w:eastAsia="en-GB"/>
                    </w:rPr>
                  </w:pPr>
                  <w:hyperlink r:id="rId32" w:history="1">
                    <w:r w:rsidR="00585D30" w:rsidRPr="00692BAE">
                      <w:rPr>
                        <w:rStyle w:val="Hyperlink"/>
                        <w:rFonts w:ascii="Arial" w:eastAsia="Times New Roman" w:hAnsi="Arial" w:cs="Arial"/>
                        <w:sz w:val="20"/>
                        <w:szCs w:val="20"/>
                        <w:lang w:eastAsia="en-GB"/>
                      </w:rPr>
                      <w:t>tpa-tr.respiratoryadminclinicalcorrespondence@nhs.net</w:t>
                    </w:r>
                  </w:hyperlink>
                  <w:r w:rsidR="00585D30">
                    <w:rPr>
                      <w:rFonts w:ascii="Arial" w:eastAsia="Times New Roman" w:hAnsi="Arial" w:cs="Arial"/>
                      <w:sz w:val="20"/>
                      <w:szCs w:val="20"/>
                      <w:lang w:eastAsia="en-GB"/>
                    </w:rPr>
                    <w:t xml:space="preserve"> </w:t>
                  </w:r>
                </w:p>
              </w:tc>
              <w:tc>
                <w:tcPr>
                  <w:tcW w:w="1473" w:type="dxa"/>
                  <w:vMerge/>
                </w:tcPr>
                <w:p w14:paraId="0AE40C84" w14:textId="77777777" w:rsidR="00585D30" w:rsidRPr="00D43187" w:rsidRDefault="00585D30" w:rsidP="0006405F">
                  <w:pPr>
                    <w:shd w:val="clear" w:color="auto" w:fill="FFFFFF"/>
                    <w:outlineLvl w:val="2"/>
                    <w:rPr>
                      <w:rFonts w:ascii="Arial" w:eastAsia="Times New Roman" w:hAnsi="Arial" w:cs="Arial"/>
                      <w:sz w:val="20"/>
                      <w:szCs w:val="20"/>
                      <w:lang w:eastAsia="en-GB"/>
                    </w:rPr>
                  </w:pPr>
                </w:p>
              </w:tc>
            </w:tr>
            <w:tr w:rsidR="00585D30" w:rsidRPr="00D43187" w14:paraId="7F0D1C4E" w14:textId="77777777" w:rsidTr="00585D30">
              <w:trPr>
                <w:trHeight w:val="190"/>
              </w:trPr>
              <w:tc>
                <w:tcPr>
                  <w:tcW w:w="1781" w:type="dxa"/>
                </w:tcPr>
                <w:p w14:paraId="29290533" w14:textId="77777777" w:rsidR="00585D30" w:rsidRPr="00D43187" w:rsidRDefault="00585D30" w:rsidP="0006405F">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41" w:type="dxa"/>
                </w:tcPr>
                <w:p w14:paraId="335E0327" w14:textId="57316C35" w:rsidR="00585D30" w:rsidRDefault="00585D30" w:rsidP="0006405F">
                  <w:pPr>
                    <w:spacing w:after="40"/>
                  </w:pPr>
                  <w:r>
                    <w:t>01279 827434 DMARD helpline</w:t>
                  </w:r>
                </w:p>
                <w:p w14:paraId="38ABB2E7" w14:textId="77777777" w:rsidR="00585D30" w:rsidRDefault="00585D30" w:rsidP="0006405F">
                  <w:pPr>
                    <w:spacing w:after="40"/>
                    <w:rPr>
                      <w:rFonts w:ascii="Arial" w:eastAsia="Times New Roman" w:hAnsi="Arial" w:cs="Arial"/>
                      <w:bCs/>
                      <w:sz w:val="20"/>
                      <w:szCs w:val="20"/>
                      <w:lang w:eastAsia="en-GB"/>
                    </w:rPr>
                  </w:pPr>
                </w:p>
                <w:p w14:paraId="25B93E49" w14:textId="1E111CAD" w:rsidR="00585D30" w:rsidRPr="00D43187" w:rsidRDefault="00585D30" w:rsidP="0006405F">
                  <w:pPr>
                    <w:spacing w:after="40"/>
                    <w:rPr>
                      <w:rFonts w:ascii="Arial" w:eastAsia="Times New Roman" w:hAnsi="Arial" w:cs="Arial"/>
                      <w:bCs/>
                      <w:sz w:val="20"/>
                      <w:szCs w:val="20"/>
                      <w:lang w:eastAsia="en-GB"/>
                    </w:rPr>
                  </w:pPr>
                  <w:r>
                    <w:t>01279 827819 Nurse helpline</w:t>
                  </w:r>
                </w:p>
              </w:tc>
              <w:tc>
                <w:tcPr>
                  <w:tcW w:w="6040" w:type="dxa"/>
                </w:tcPr>
                <w:p w14:paraId="1A57F49C" w14:textId="40005AF8" w:rsidR="00585D30" w:rsidRPr="00D43187" w:rsidRDefault="008B072E" w:rsidP="0006405F">
                  <w:pPr>
                    <w:shd w:val="clear" w:color="auto" w:fill="FFFFFF"/>
                    <w:outlineLvl w:val="2"/>
                    <w:rPr>
                      <w:rFonts w:ascii="Arial" w:eastAsia="Times New Roman" w:hAnsi="Arial" w:cs="Arial"/>
                      <w:sz w:val="20"/>
                      <w:szCs w:val="20"/>
                      <w:lang w:eastAsia="en-GB"/>
                    </w:rPr>
                  </w:pPr>
                  <w:hyperlink r:id="rId33" w:history="1">
                    <w:r w:rsidR="00585D30" w:rsidRPr="00351D1E">
                      <w:rPr>
                        <w:rStyle w:val="Hyperlink"/>
                      </w:rPr>
                      <w:t>tpa-tr.rheumatologyadminclinicalcorrespondence@nhs.net</w:t>
                    </w:r>
                  </w:hyperlink>
                  <w:r w:rsidR="00585D30">
                    <w:t xml:space="preserve"> </w:t>
                  </w:r>
                </w:p>
              </w:tc>
              <w:tc>
                <w:tcPr>
                  <w:tcW w:w="1473" w:type="dxa"/>
                  <w:vMerge/>
                </w:tcPr>
                <w:p w14:paraId="3B4FCA35" w14:textId="77777777" w:rsidR="00585D30" w:rsidRPr="00D43187" w:rsidRDefault="00585D30" w:rsidP="0006405F">
                  <w:pPr>
                    <w:shd w:val="clear" w:color="auto" w:fill="FFFFFF"/>
                    <w:outlineLvl w:val="2"/>
                    <w:rPr>
                      <w:rFonts w:ascii="Arial" w:eastAsia="Times New Roman" w:hAnsi="Arial" w:cs="Arial"/>
                      <w:sz w:val="20"/>
                      <w:szCs w:val="20"/>
                      <w:lang w:eastAsia="en-GB"/>
                    </w:rPr>
                  </w:pPr>
                </w:p>
              </w:tc>
            </w:tr>
            <w:tr w:rsidR="00585D30" w:rsidRPr="00D43187" w14:paraId="53F77A74" w14:textId="77777777" w:rsidTr="00585D30">
              <w:trPr>
                <w:trHeight w:val="190"/>
              </w:trPr>
              <w:tc>
                <w:tcPr>
                  <w:tcW w:w="1781" w:type="dxa"/>
                </w:tcPr>
                <w:p w14:paraId="50D63685" w14:textId="2F2CCA82" w:rsidR="00585D30" w:rsidRPr="00D43187" w:rsidRDefault="00585D30" w:rsidP="00585D30">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Renal</w:t>
                  </w:r>
                </w:p>
              </w:tc>
              <w:tc>
                <w:tcPr>
                  <w:tcW w:w="1541" w:type="dxa"/>
                </w:tcPr>
                <w:p w14:paraId="44F67DD5" w14:textId="6461B6C4" w:rsidR="00585D30" w:rsidRDefault="00585D30" w:rsidP="00585D30">
                  <w:pPr>
                    <w:spacing w:after="40"/>
                  </w:pPr>
                  <w:r w:rsidRPr="00D43187">
                    <w:rPr>
                      <w:rFonts w:ascii="Arial" w:eastAsia="Times New Roman" w:hAnsi="Arial" w:cs="Arial"/>
                      <w:bCs/>
                      <w:sz w:val="20"/>
                      <w:szCs w:val="20"/>
                      <w:lang w:eastAsia="en-GB"/>
                    </w:rPr>
                    <w:t>via switchboard</w:t>
                  </w:r>
                </w:p>
              </w:tc>
              <w:tc>
                <w:tcPr>
                  <w:tcW w:w="6040" w:type="dxa"/>
                </w:tcPr>
                <w:p w14:paraId="13AD595E" w14:textId="77777777" w:rsidR="00585D30" w:rsidRDefault="008B072E" w:rsidP="00585D30">
                  <w:pPr>
                    <w:spacing w:after="40"/>
                    <w:rPr>
                      <w:rFonts w:ascii="Arial" w:hAnsi="Arial" w:cs="Arial"/>
                      <w:sz w:val="20"/>
                      <w:szCs w:val="20"/>
                    </w:rPr>
                  </w:pPr>
                  <w:hyperlink r:id="rId34" w:history="1">
                    <w:r w:rsidR="00585D30" w:rsidRPr="005228AA">
                      <w:rPr>
                        <w:rStyle w:val="Hyperlink"/>
                        <w:rFonts w:ascii="Arial" w:hAnsi="Arial" w:cs="Arial"/>
                        <w:sz w:val="20"/>
                        <w:szCs w:val="20"/>
                      </w:rPr>
                      <w:t>nephadmin.enh-tr@nhs.net</w:t>
                    </w:r>
                  </w:hyperlink>
                  <w:r w:rsidR="00585D30">
                    <w:rPr>
                      <w:rFonts w:ascii="Arial" w:hAnsi="Arial" w:cs="Arial"/>
                      <w:sz w:val="20"/>
                      <w:szCs w:val="20"/>
                    </w:rPr>
                    <w:t xml:space="preserve"> </w:t>
                  </w:r>
                </w:p>
                <w:p w14:paraId="7C4A2EA8" w14:textId="77777777" w:rsidR="00585D30" w:rsidRDefault="00585D30" w:rsidP="00585D30">
                  <w:pPr>
                    <w:spacing w:after="40"/>
                    <w:rPr>
                      <w:rFonts w:ascii="Arial" w:hAnsi="Arial" w:cs="Arial"/>
                      <w:sz w:val="20"/>
                      <w:szCs w:val="20"/>
                    </w:rPr>
                  </w:pPr>
                  <w:r w:rsidRPr="00585D30">
                    <w:rPr>
                      <w:rFonts w:ascii="Arial" w:hAnsi="Arial" w:cs="Arial"/>
                      <w:sz w:val="20"/>
                      <w:szCs w:val="20"/>
                    </w:rPr>
                    <w:t>Pharmacy Team shared care admin contact</w:t>
                  </w:r>
                  <w:r>
                    <w:rPr>
                      <w:rFonts w:ascii="Arial" w:hAnsi="Arial" w:cs="Arial"/>
                      <w:sz w:val="20"/>
                      <w:szCs w:val="20"/>
                    </w:rPr>
                    <w:t>:</w:t>
                  </w:r>
                </w:p>
                <w:p w14:paraId="3F463556" w14:textId="44ECD61F" w:rsidR="00585D30" w:rsidRDefault="008B072E" w:rsidP="00585D30">
                  <w:pPr>
                    <w:shd w:val="clear" w:color="auto" w:fill="FFFFFF"/>
                    <w:outlineLvl w:val="2"/>
                  </w:pPr>
                  <w:hyperlink r:id="rId35" w:history="1">
                    <w:r w:rsidR="00585D30" w:rsidRPr="00692BAE">
                      <w:rPr>
                        <w:rStyle w:val="Hyperlink"/>
                        <w:rFonts w:ascii="Arial" w:hAnsi="Arial" w:cs="Arial"/>
                        <w:sz w:val="20"/>
                        <w:szCs w:val="20"/>
                      </w:rPr>
                      <w:t>sharedcare.enh-tr@nhs.net</w:t>
                    </w:r>
                  </w:hyperlink>
                  <w:r w:rsidR="00585D30">
                    <w:rPr>
                      <w:rFonts w:ascii="Arial" w:hAnsi="Arial" w:cs="Arial"/>
                      <w:sz w:val="20"/>
                      <w:szCs w:val="20"/>
                    </w:rPr>
                    <w:t xml:space="preserve"> </w:t>
                  </w:r>
                  <w:r w:rsidR="00585D30" w:rsidRPr="00585D30">
                    <w:rPr>
                      <w:rFonts w:ascii="Arial" w:hAnsi="Arial" w:cs="Arial"/>
                      <w:sz w:val="20"/>
                      <w:szCs w:val="20"/>
                    </w:rPr>
                    <w:t xml:space="preserve">  01438 284032</w:t>
                  </w:r>
                </w:p>
              </w:tc>
              <w:tc>
                <w:tcPr>
                  <w:tcW w:w="1473" w:type="dxa"/>
                </w:tcPr>
                <w:p w14:paraId="0378FFBC" w14:textId="356567DC" w:rsidR="00585D30" w:rsidRPr="00D43187" w:rsidRDefault="00585D30" w:rsidP="00585D30">
                  <w:pPr>
                    <w:shd w:val="clear" w:color="auto" w:fill="FFFFFF"/>
                    <w:outlineLvl w:val="2"/>
                    <w:rPr>
                      <w:rFonts w:ascii="Arial" w:eastAsia="Times New Roman" w:hAnsi="Arial" w:cs="Arial"/>
                      <w:sz w:val="20"/>
                      <w:szCs w:val="20"/>
                      <w:lang w:eastAsia="en-GB"/>
                    </w:rPr>
                  </w:pPr>
                  <w:r w:rsidRPr="00585D30">
                    <w:rPr>
                      <w:rFonts w:ascii="Arial" w:eastAsia="Times New Roman" w:hAnsi="Arial" w:cs="Arial"/>
                      <w:sz w:val="20"/>
                      <w:szCs w:val="20"/>
                      <w:lang w:eastAsia="en-GB"/>
                    </w:rPr>
                    <w:t xml:space="preserve">01438 314333  </w:t>
                  </w:r>
                </w:p>
              </w:tc>
            </w:tr>
          </w:tbl>
          <w:p w14:paraId="34883E4D" w14:textId="77777777" w:rsidR="005D2B7C" w:rsidRPr="008C60E5" w:rsidRDefault="005D2B7C" w:rsidP="00992C71">
            <w:pPr>
              <w:spacing w:after="0"/>
              <w:rPr>
                <w:rFonts w:ascii="Arial" w:eastAsia="Times New Roman" w:hAnsi="Arial" w:cs="Arial"/>
                <w:b/>
                <w:bCs/>
                <w:lang w:eastAsia="en-GB"/>
              </w:rPr>
            </w:pPr>
          </w:p>
          <w:p w14:paraId="69CADCEC"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4C4C6C4C" w:rsidR="005D2B7C" w:rsidRPr="008C60E5" w:rsidRDefault="005D2B7C" w:rsidP="00992C71">
            <w:pPr>
              <w:spacing w:after="0"/>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792C11">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p w14:paraId="41C21F35" w14:textId="77777777" w:rsidR="00CC3B9F" w:rsidRDefault="00CC3B9F" w:rsidP="00C5458F">
      <w:pPr>
        <w:rPr>
          <w:rFonts w:ascii="Arial" w:eastAsia="Times New Roman" w:hAnsi="Arial" w:cs="Times New Roman"/>
          <w:b/>
          <w:bCs/>
          <w:szCs w:val="24"/>
        </w:rPr>
      </w:pPr>
    </w:p>
    <w:p w14:paraId="1AD1231C" w14:textId="77777777" w:rsidR="00CC3B9F" w:rsidRDefault="00CC3B9F"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20640EB5" w14:textId="77777777" w:rsidR="004526B0" w:rsidRDefault="004526B0" w:rsidP="004526B0">
            <w:pPr>
              <w:spacing w:after="0"/>
              <w:rPr>
                <w:rFonts w:ascii="Arial" w:eastAsia="Times New Roman" w:hAnsi="Arial" w:cs="Arial"/>
                <w:b/>
                <w:bCs/>
                <w:szCs w:val="24"/>
              </w:rPr>
            </w:pPr>
            <w:r w:rsidRPr="00BE545B">
              <w:rPr>
                <w:rFonts w:ascii="Arial" w:eastAsia="Times New Roman" w:hAnsi="Arial" w:cs="Arial"/>
                <w:b/>
                <w:bCs/>
                <w:szCs w:val="24"/>
              </w:rPr>
              <w:t>SUPPORTING INFORMATION</w:t>
            </w:r>
          </w:p>
          <w:p w14:paraId="3994FCF0"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 xml:space="preserve">Systemic lupus erythematosus </w:t>
            </w:r>
          </w:p>
          <w:p w14:paraId="23B84C18"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lastRenderedPageBreak/>
              <w:t xml:space="preserve">Gordon C, Amissah-Arthur M_B, Gayed M, </w:t>
            </w:r>
            <w:r w:rsidRPr="006E0AF8">
              <w:rPr>
                <w:rFonts w:ascii="Arial" w:hAnsi="Arial" w:cs="Arial"/>
                <w:i/>
                <w:sz w:val="18"/>
                <w:szCs w:val="18"/>
              </w:rPr>
              <w:t>et al</w:t>
            </w:r>
            <w:r w:rsidRPr="006E0AF8">
              <w:rPr>
                <w:rFonts w:ascii="Arial" w:hAnsi="Arial" w:cs="Arial"/>
                <w:sz w:val="18"/>
                <w:szCs w:val="18"/>
              </w:rPr>
              <w:t xml:space="preserve">, for the British Society for Rheumatology Standards, Audit and Guidelines Working Group, The British Society for Rheumatology guideline for the management of systemic lupus erythematosus in adults, Rheumatology 2018; 57: e1–e45, </w:t>
            </w:r>
            <w:hyperlink r:id="rId36" w:history="1">
              <w:r w:rsidRPr="006E0AF8">
                <w:rPr>
                  <w:rFonts w:ascii="Arial" w:hAnsi="Arial" w:cs="Arial"/>
                  <w:color w:val="0000FF" w:themeColor="hyperlink"/>
                  <w:sz w:val="18"/>
                  <w:szCs w:val="18"/>
                  <w:u w:val="single"/>
                </w:rPr>
                <w:t>https://doi.org/10.1093/rheumatology/kex286</w:t>
              </w:r>
            </w:hyperlink>
          </w:p>
          <w:p w14:paraId="704C0471"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Fanouriakis A, Kostopoulou M, Alunno A, </w:t>
            </w:r>
            <w:r w:rsidRPr="006E0AF8">
              <w:rPr>
                <w:rFonts w:ascii="Arial" w:hAnsi="Arial" w:cs="Arial"/>
                <w:i/>
                <w:sz w:val="18"/>
                <w:szCs w:val="18"/>
              </w:rPr>
              <w:t>et al</w:t>
            </w:r>
            <w:r w:rsidRPr="006E0AF8">
              <w:rPr>
                <w:rFonts w:ascii="Arial" w:hAnsi="Arial" w:cs="Arial"/>
                <w:sz w:val="18"/>
                <w:szCs w:val="18"/>
              </w:rPr>
              <w:t xml:space="preserve">. 2019 update of the EULAR recommendations for the management of systemic lupus erythematosus. Annals of the Rheumatic Diseases </w:t>
            </w:r>
            <w:proofErr w:type="gramStart"/>
            <w:r w:rsidRPr="006E0AF8">
              <w:rPr>
                <w:rFonts w:ascii="Arial" w:hAnsi="Arial" w:cs="Arial"/>
                <w:sz w:val="18"/>
                <w:szCs w:val="18"/>
              </w:rPr>
              <w:t>2019;78:736</w:t>
            </w:r>
            <w:proofErr w:type="gramEnd"/>
            <w:r w:rsidRPr="006E0AF8">
              <w:rPr>
                <w:rFonts w:ascii="Arial" w:hAnsi="Arial" w:cs="Arial"/>
                <w:sz w:val="18"/>
                <w:szCs w:val="18"/>
              </w:rPr>
              <w:t xml:space="preserve">-745) </w:t>
            </w:r>
            <w:hyperlink r:id="rId37" w:history="1">
              <w:r w:rsidRPr="006E0AF8">
                <w:rPr>
                  <w:rFonts w:ascii="Arial" w:hAnsi="Arial" w:cs="Arial"/>
                  <w:color w:val="0000FF" w:themeColor="hyperlink"/>
                  <w:sz w:val="18"/>
                  <w:szCs w:val="18"/>
                  <w:u w:val="single"/>
                </w:rPr>
                <w:t>https://ard.bmj.com/content/78/6/736</w:t>
              </w:r>
            </w:hyperlink>
            <w:r w:rsidRPr="006E0AF8">
              <w:rPr>
                <w:rFonts w:ascii="Arial" w:hAnsi="Arial" w:cs="Arial"/>
                <w:sz w:val="18"/>
                <w:szCs w:val="18"/>
              </w:rPr>
              <w:t xml:space="preserve"> </w:t>
            </w:r>
          </w:p>
          <w:p w14:paraId="2F534715"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eastAsia="Times New Roman" w:hAnsi="Arial" w:cs="Arial"/>
                <w:color w:val="0E0E0E"/>
                <w:kern w:val="36"/>
                <w:sz w:val="18"/>
                <w:szCs w:val="18"/>
                <w:lang w:eastAsia="en-GB"/>
              </w:rPr>
              <w:t xml:space="preserve">NICE evidence summary (ESUOM36). Systemic lupus erythematosus: oral mycophenolate 2014 </w:t>
            </w:r>
            <w:hyperlink r:id="rId38" w:history="1">
              <w:r w:rsidRPr="006E0AF8">
                <w:rPr>
                  <w:rStyle w:val="Hyperlink"/>
                  <w:rFonts w:ascii="Arial" w:eastAsia="Times New Roman" w:hAnsi="Arial" w:cs="Arial"/>
                  <w:kern w:val="36"/>
                  <w:sz w:val="18"/>
                  <w:szCs w:val="18"/>
                  <w:lang w:eastAsia="en-GB"/>
                </w:rPr>
                <w:t>https://www.nice.org.uk/advice/esuom36/chapter/Key-points-from-the-evidence</w:t>
              </w:r>
            </w:hyperlink>
          </w:p>
          <w:p w14:paraId="28DAB6FD"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Autoimmune haemolytic anaemia</w:t>
            </w:r>
          </w:p>
          <w:p w14:paraId="69AAD0E3"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39" w:history="1">
              <w:r w:rsidRPr="00C5458F">
                <w:rPr>
                  <w:rFonts w:ascii="Arial" w:hAnsi="Arial" w:cs="Arial"/>
                  <w:color w:val="0000FF" w:themeColor="hyperlink"/>
                  <w:sz w:val="18"/>
                  <w:szCs w:val="18"/>
                  <w:u w:val="single"/>
                </w:rPr>
                <w:t>https://doi.org/10.1111/bjh.14478</w:t>
              </w:r>
            </w:hyperlink>
          </w:p>
          <w:p w14:paraId="591C9185"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Chronic refractory idiopathic thrombocytopenic purpura (ITP)</w:t>
            </w:r>
          </w:p>
          <w:p w14:paraId="120F26BB"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0" w:history="1">
              <w:r w:rsidRPr="00C5458F">
                <w:rPr>
                  <w:rFonts w:ascii="Arial" w:hAnsi="Arial" w:cs="Arial"/>
                  <w:color w:val="0000FF" w:themeColor="hyperlink"/>
                  <w:sz w:val="18"/>
                  <w:szCs w:val="18"/>
                  <w:u w:val="single"/>
                </w:rPr>
                <w:t>https://ashpublications.org/blood/article-lookup/doi/10.1182/blood-2009-06-225565</w:t>
              </w:r>
            </w:hyperlink>
          </w:p>
          <w:p w14:paraId="6A4D926C" w14:textId="77777777" w:rsidR="004526B0" w:rsidRDefault="004526B0" w:rsidP="004526B0">
            <w:pPr>
              <w:spacing w:after="0"/>
              <w:rPr>
                <w:rFonts w:ascii="Arial" w:hAnsi="Arial" w:cs="Arial"/>
                <w:i/>
                <w:sz w:val="18"/>
                <w:szCs w:val="18"/>
              </w:rPr>
            </w:pPr>
            <w:r w:rsidRPr="00C5458F">
              <w:rPr>
                <w:rFonts w:ascii="Arial" w:hAnsi="Arial" w:cs="Arial"/>
                <w:i/>
                <w:sz w:val="18"/>
                <w:szCs w:val="18"/>
              </w:rPr>
              <w:t xml:space="preserve">Pemphigus vulgaris, </w:t>
            </w:r>
            <w:r>
              <w:rPr>
                <w:rFonts w:ascii="Arial" w:hAnsi="Arial" w:cs="Arial"/>
                <w:i/>
                <w:sz w:val="18"/>
                <w:szCs w:val="18"/>
              </w:rPr>
              <w:t xml:space="preserve">severe psoriasis, </w:t>
            </w:r>
            <w:r w:rsidRPr="00C5458F">
              <w:rPr>
                <w:rFonts w:ascii="Arial" w:hAnsi="Arial" w:cs="Arial"/>
                <w:i/>
                <w:sz w:val="18"/>
                <w:szCs w:val="18"/>
              </w:rPr>
              <w:t>atopic dermatitis, bullous pemphigoid, chronic actinic dermatitis, pyoderma gangrenosum, dermatomyositis, polymyositis, cutaneous vasculitis</w:t>
            </w:r>
          </w:p>
          <w:p w14:paraId="3CF725CE" w14:textId="77777777" w:rsidR="004526B0" w:rsidRPr="008A74F9" w:rsidRDefault="004526B0">
            <w:pPr>
              <w:pStyle w:val="ListParagraph"/>
              <w:numPr>
                <w:ilvl w:val="0"/>
                <w:numId w:val="15"/>
              </w:numPr>
              <w:spacing w:after="0"/>
              <w:rPr>
                <w:rFonts w:ascii="Arial" w:hAnsi="Arial" w:cs="Arial"/>
                <w:i/>
                <w:sz w:val="18"/>
                <w:szCs w:val="18"/>
              </w:rPr>
            </w:pPr>
            <w:r w:rsidRPr="00C5458F">
              <w:rPr>
                <w:rFonts w:ascii="Arial" w:hAnsi="Arial" w:cs="Arial"/>
                <w:sz w:val="18"/>
                <w:szCs w:val="18"/>
              </w:rPr>
              <w:t xml:space="preserve">NHS England Clinical Commissioning Policy: </w:t>
            </w:r>
            <w:r>
              <w:rPr>
                <w:rFonts w:ascii="Arial" w:hAnsi="Arial" w:cs="Arial"/>
                <w:sz w:val="18"/>
                <w:szCs w:val="18"/>
              </w:rPr>
              <w:t xml:space="preserve">Rituximab for the treatment of dermatomyositis and polymyositis (adults) </w:t>
            </w:r>
            <w:r w:rsidRPr="00C5458F">
              <w:rPr>
                <w:rFonts w:ascii="Arial" w:hAnsi="Arial" w:cs="Arial"/>
                <w:sz w:val="18"/>
                <w:szCs w:val="18"/>
              </w:rPr>
              <w:t xml:space="preserve"> </w:t>
            </w:r>
            <w:r w:rsidRPr="0044609C">
              <w:rPr>
                <w:rFonts w:ascii="Arial" w:hAnsi="Arial" w:cs="Arial"/>
                <w:sz w:val="18"/>
                <w:szCs w:val="18"/>
              </w:rPr>
              <w:t>(references use of mycophenolate</w:t>
            </w:r>
            <w:r>
              <w:rPr>
                <w:rFonts w:ascii="Arial" w:hAnsi="Arial" w:cs="Arial"/>
                <w:sz w:val="18"/>
                <w:szCs w:val="18"/>
              </w:rPr>
              <w:t xml:space="preserve"> mofetil) </w:t>
            </w:r>
            <w:hyperlink r:id="rId41" w:tgtFrame="_blank" w:history="1">
              <w:r w:rsidRPr="008A74F9">
                <w:rPr>
                  <w:rStyle w:val="Hyperlink"/>
                  <w:rFonts w:ascii="Arial" w:hAnsi="Arial" w:cs="Arial"/>
                  <w:sz w:val="18"/>
                  <w:szCs w:val="18"/>
                  <w:bdr w:val="none" w:sz="0" w:space="0" w:color="auto" w:frame="1"/>
                  <w:shd w:val="clear" w:color="auto" w:fill="FFFFFF"/>
                </w:rPr>
                <w:t>https://www.england.nhs.uk/wp-content/uploads/2018/07/Rituximab-for-the-treatment-of-dermatomyositis-and-polymyositis-adults.pdf</w:t>
              </w:r>
            </w:hyperlink>
          </w:p>
          <w:p w14:paraId="7072313D"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2" w:history="1">
              <w:r w:rsidRPr="00C5458F">
                <w:rPr>
                  <w:rFonts w:ascii="Arial" w:hAnsi="Arial" w:cs="Arial"/>
                  <w:color w:val="0000FF" w:themeColor="hyperlink"/>
                  <w:sz w:val="18"/>
                  <w:szCs w:val="18"/>
                  <w:u w:val="single"/>
                </w:rPr>
                <w:t>https://onlinelibrary.wiley.com/doi/full/10.1111/bjd.15930</w:t>
              </w:r>
            </w:hyperlink>
          </w:p>
          <w:p w14:paraId="67D7F675" w14:textId="77777777" w:rsidR="004526B0" w:rsidRPr="00E0019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3" w:history="1">
              <w:r w:rsidRPr="00C5458F">
                <w:rPr>
                  <w:rFonts w:ascii="Arial" w:hAnsi="Arial" w:cs="Arial"/>
                  <w:color w:val="0000FF" w:themeColor="hyperlink"/>
                  <w:sz w:val="18"/>
                  <w:szCs w:val="18"/>
                  <w:u w:val="single"/>
                </w:rPr>
                <w:t>https://onlinelibrary.wiley.com/doi/full/10.1111/bjd.12072</w:t>
              </w:r>
            </w:hyperlink>
          </w:p>
          <w:p w14:paraId="6316C5BC" w14:textId="77777777" w:rsidR="004526B0" w:rsidRPr="00E00191" w:rsidRDefault="004526B0">
            <w:pPr>
              <w:numPr>
                <w:ilvl w:val="0"/>
                <w:numId w:val="11"/>
              </w:numPr>
              <w:spacing w:after="0"/>
              <w:contextualSpacing/>
              <w:rPr>
                <w:rFonts w:ascii="Arial" w:hAnsi="Arial" w:cs="Arial"/>
                <w:sz w:val="18"/>
                <w:szCs w:val="18"/>
              </w:rPr>
            </w:pPr>
            <w:r w:rsidRPr="0037169B">
              <w:rPr>
                <w:rFonts w:ascii="Arial" w:hAnsi="Arial" w:cs="Arial"/>
                <w:sz w:val="18"/>
                <w:szCs w:val="18"/>
              </w:rPr>
              <w:t xml:space="preserve">Park H. The emergence of mycophenolate mofetilin in dermatology. J Clin Aesthet Dermatol 2011; 4(1): 18-27. </w:t>
            </w:r>
            <w:hyperlink r:id="rId44" w:history="1">
              <w:r w:rsidRPr="00E00191">
                <w:rPr>
                  <w:rStyle w:val="Hyperlink"/>
                  <w:rFonts w:ascii="Arial" w:hAnsi="Arial" w:cs="Arial"/>
                  <w:sz w:val="18"/>
                  <w:szCs w:val="18"/>
                </w:rPr>
                <w:t>https://www.ncbi.nlm.nih.gov/pmc/articles/PMC3030212/</w:t>
              </w:r>
            </w:hyperlink>
          </w:p>
          <w:p w14:paraId="7BACB853" w14:textId="77777777" w:rsidR="004526B0" w:rsidRPr="0037169B" w:rsidRDefault="004526B0" w:rsidP="004526B0">
            <w:pPr>
              <w:spacing w:after="0"/>
              <w:contextualSpacing/>
              <w:rPr>
                <w:rFonts w:ascii="Arial" w:hAnsi="Arial" w:cs="Arial"/>
                <w:i/>
                <w:sz w:val="18"/>
                <w:szCs w:val="18"/>
              </w:rPr>
            </w:pPr>
            <w:r w:rsidRPr="0037169B">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2C285219"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Ntatsaki E </w:t>
            </w:r>
            <w:r w:rsidRPr="0037169B">
              <w:rPr>
                <w:rFonts w:ascii="Arial" w:hAnsi="Arial" w:cs="Arial"/>
                <w:i/>
                <w:sz w:val="18"/>
                <w:szCs w:val="18"/>
              </w:rPr>
              <w:t>et al</w:t>
            </w:r>
            <w:r w:rsidRPr="0037169B">
              <w:rPr>
                <w:rFonts w:ascii="Arial" w:hAnsi="Arial" w:cs="Arial"/>
                <w:sz w:val="18"/>
                <w:szCs w:val="18"/>
              </w:rPr>
              <w:t xml:space="preserve">, BSR and BHPR guideline for the management of adults with ANCA-associated vasculitis, Rheumatology, Volume 53, Issue 12, December 2014, Pages 2306–2309, </w:t>
            </w:r>
            <w:hyperlink r:id="rId45" w:history="1">
              <w:r w:rsidRPr="0037169B">
                <w:rPr>
                  <w:rFonts w:ascii="Arial" w:hAnsi="Arial" w:cs="Arial"/>
                  <w:color w:val="0000FF" w:themeColor="hyperlink"/>
                  <w:sz w:val="18"/>
                  <w:szCs w:val="18"/>
                  <w:u w:val="single"/>
                </w:rPr>
                <w:t>https://doi.org/10.1093/rheumatology/ket445</w:t>
              </w:r>
            </w:hyperlink>
            <w:r w:rsidRPr="0037169B">
              <w:rPr>
                <w:rFonts w:ascii="Arial" w:hAnsi="Arial" w:cs="Arial"/>
                <w:sz w:val="18"/>
                <w:szCs w:val="18"/>
              </w:rPr>
              <w:t xml:space="preserve"> </w:t>
            </w:r>
          </w:p>
          <w:p w14:paraId="21E24BFF"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Yates M, Watts RA, Bajema IM, </w:t>
            </w:r>
            <w:r w:rsidRPr="0037169B">
              <w:rPr>
                <w:rFonts w:ascii="Arial" w:hAnsi="Arial" w:cs="Arial"/>
                <w:i/>
                <w:sz w:val="18"/>
                <w:szCs w:val="18"/>
              </w:rPr>
              <w:t>et al</w:t>
            </w:r>
            <w:r w:rsidRPr="0037169B">
              <w:rPr>
                <w:rFonts w:ascii="Arial" w:hAnsi="Arial" w:cs="Arial"/>
                <w:sz w:val="18"/>
                <w:szCs w:val="18"/>
              </w:rPr>
              <w:t xml:space="preserve">.  EULAR/ERA-EDTA recommendations for the management of ANCA-associated vasculitis.  Annals of the Rheumatic Diseases </w:t>
            </w:r>
            <w:proofErr w:type="gramStart"/>
            <w:r w:rsidRPr="0037169B">
              <w:rPr>
                <w:rFonts w:ascii="Arial" w:hAnsi="Arial" w:cs="Arial"/>
                <w:sz w:val="18"/>
                <w:szCs w:val="18"/>
              </w:rPr>
              <w:t>2016;75:1583</w:t>
            </w:r>
            <w:proofErr w:type="gramEnd"/>
            <w:r w:rsidRPr="0037169B">
              <w:rPr>
                <w:rFonts w:ascii="Arial" w:hAnsi="Arial" w:cs="Arial"/>
                <w:sz w:val="18"/>
                <w:szCs w:val="18"/>
              </w:rPr>
              <w:t xml:space="preserve">-1594 </w:t>
            </w:r>
            <w:hyperlink r:id="rId46" w:history="1">
              <w:r w:rsidRPr="0037169B">
                <w:rPr>
                  <w:rFonts w:ascii="Arial" w:hAnsi="Arial" w:cs="Arial"/>
                  <w:color w:val="0000FF" w:themeColor="hyperlink"/>
                  <w:sz w:val="18"/>
                  <w:szCs w:val="18"/>
                  <w:u w:val="single"/>
                </w:rPr>
                <w:t>https://ard.bmj.com/content/75/9/1583</w:t>
              </w:r>
            </w:hyperlink>
          </w:p>
          <w:p w14:paraId="018A30FC"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bCs/>
                <w:sz w:val="18"/>
                <w:szCs w:val="18"/>
              </w:rPr>
              <w:t xml:space="preserve">Tuin J </w:t>
            </w:r>
            <w:r w:rsidRPr="0037169B">
              <w:rPr>
                <w:rFonts w:ascii="Arial" w:hAnsi="Arial" w:cs="Arial"/>
                <w:bCs/>
                <w:i/>
                <w:sz w:val="18"/>
                <w:szCs w:val="18"/>
              </w:rPr>
              <w:t>et al</w:t>
            </w:r>
            <w:r w:rsidRPr="0037169B">
              <w:rPr>
                <w:rFonts w:ascii="Arial" w:hAnsi="Arial" w:cs="Arial"/>
                <w:bCs/>
                <w:sz w:val="18"/>
                <w:szCs w:val="18"/>
              </w:rPr>
              <w:t xml:space="preserve">. Mycophenolate mofetil versus cyclophosphamide for the induction of remission in nonlife-threatening relapses of AAV. </w:t>
            </w:r>
            <w:r w:rsidRPr="0037169B">
              <w:rPr>
                <w:rStyle w:val="highwire-cite-metadata-journal"/>
                <w:rFonts w:ascii="Arial" w:hAnsi="Arial" w:cs="Arial"/>
                <w:sz w:val="18"/>
                <w:szCs w:val="18"/>
                <w:bdr w:val="none" w:sz="0" w:space="0" w:color="auto" w:frame="1"/>
                <w:shd w:val="clear" w:color="auto" w:fill="FFFFFF"/>
              </w:rPr>
              <w:t>CJASN </w:t>
            </w:r>
            <w:r w:rsidRPr="0037169B">
              <w:rPr>
                <w:rStyle w:val="highwire-cite-metadata-date"/>
                <w:rFonts w:ascii="Arial" w:hAnsi="Arial" w:cs="Arial"/>
                <w:sz w:val="18"/>
                <w:szCs w:val="18"/>
                <w:bdr w:val="none" w:sz="0" w:space="0" w:color="auto" w:frame="1"/>
                <w:shd w:val="clear" w:color="auto" w:fill="FFFFFF"/>
              </w:rPr>
              <w:t>July 2019, </w:t>
            </w:r>
            <w:r w:rsidRPr="0037169B">
              <w:rPr>
                <w:rStyle w:val="highwire-cite-metadata-volume"/>
                <w:rFonts w:ascii="Arial" w:hAnsi="Arial" w:cs="Arial"/>
                <w:sz w:val="18"/>
                <w:szCs w:val="18"/>
                <w:bdr w:val="none" w:sz="0" w:space="0" w:color="auto" w:frame="1"/>
                <w:shd w:val="clear" w:color="auto" w:fill="FFFFFF"/>
              </w:rPr>
              <w:t>14 </w:t>
            </w:r>
            <w:r w:rsidRPr="0037169B">
              <w:rPr>
                <w:rStyle w:val="highwire-cite-metadata-issue"/>
                <w:rFonts w:ascii="Arial" w:hAnsi="Arial" w:cs="Arial"/>
                <w:sz w:val="18"/>
                <w:szCs w:val="18"/>
                <w:bdr w:val="none" w:sz="0" w:space="0" w:color="auto" w:frame="1"/>
                <w:shd w:val="clear" w:color="auto" w:fill="FFFFFF"/>
              </w:rPr>
              <w:t>(7) </w:t>
            </w:r>
            <w:r w:rsidRPr="0037169B">
              <w:rPr>
                <w:rStyle w:val="highwire-cite-metadata-pages"/>
                <w:rFonts w:ascii="Arial" w:hAnsi="Arial" w:cs="Arial"/>
                <w:sz w:val="18"/>
                <w:szCs w:val="18"/>
                <w:bdr w:val="none" w:sz="0" w:space="0" w:color="auto" w:frame="1"/>
                <w:shd w:val="clear" w:color="auto" w:fill="FFFFFF"/>
              </w:rPr>
              <w:t>1021-1028</w:t>
            </w:r>
          </w:p>
          <w:p w14:paraId="2D85E1A1"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sz w:val="18"/>
                <w:szCs w:val="18"/>
              </w:rPr>
              <w:t xml:space="preserve">Kidney Disease: Improving Global Outcomes (KDIGO) Glomerulonephritis Work Group. KDIGO Clinical Practice Guideline for Glomerulonephritis. Kidney inter., Suppl. 2012; 2: 139–274. </w:t>
            </w:r>
            <w:hyperlink r:id="rId47" w:history="1">
              <w:r w:rsidRPr="0037169B">
                <w:rPr>
                  <w:rStyle w:val="Hyperlink"/>
                  <w:rFonts w:ascii="Arial" w:hAnsi="Arial" w:cs="Arial"/>
                  <w:bCs/>
                  <w:sz w:val="18"/>
                  <w:szCs w:val="18"/>
                </w:rPr>
                <w:t>https://kdigo.org/wp-content/uploads/2017/02/KDIGO-2012-GN-Guideline-English.pdf</w:t>
              </w:r>
            </w:hyperlink>
          </w:p>
          <w:p w14:paraId="042DAC2B" w14:textId="77777777" w:rsidR="004526B0" w:rsidRDefault="004526B0" w:rsidP="004526B0">
            <w:pPr>
              <w:spacing w:after="0"/>
            </w:pPr>
            <w:r w:rsidRPr="002759B3">
              <w:rPr>
                <w:rFonts w:ascii="Arial" w:hAnsi="Arial" w:cs="Arial"/>
                <w:i/>
                <w:sz w:val="18"/>
                <w:szCs w:val="18"/>
              </w:rPr>
              <w:t>Myasthenia Gravis</w:t>
            </w:r>
          </w:p>
          <w:p w14:paraId="6732A1F5" w14:textId="77777777" w:rsidR="004526B0" w:rsidRDefault="004526B0">
            <w:pPr>
              <w:pStyle w:val="Default"/>
              <w:numPr>
                <w:ilvl w:val="0"/>
                <w:numId w:val="16"/>
              </w:numPr>
              <w:rPr>
                <w:sz w:val="18"/>
                <w:szCs w:val="18"/>
              </w:rPr>
            </w:pPr>
            <w:r>
              <w:rPr>
                <w:sz w:val="18"/>
                <w:szCs w:val="18"/>
              </w:rPr>
              <w:t xml:space="preserve">Sussman J, Farrugia ME, Maddison P, </w:t>
            </w:r>
            <w:r w:rsidRPr="00BE4898">
              <w:rPr>
                <w:i/>
                <w:sz w:val="18"/>
                <w:szCs w:val="18"/>
              </w:rPr>
              <w:t>et al</w:t>
            </w:r>
            <w:r>
              <w:rPr>
                <w:sz w:val="18"/>
                <w:szCs w:val="18"/>
              </w:rPr>
              <w:t xml:space="preserve">. Myasthenia gravis: Association of British Neurologists’ management guidelines. Practical Neurology 2015; 15: 199-206. </w:t>
            </w:r>
            <w:hyperlink r:id="rId48" w:history="1">
              <w:r w:rsidRPr="00AF7247">
                <w:rPr>
                  <w:rStyle w:val="Hyperlink"/>
                  <w:sz w:val="18"/>
                  <w:szCs w:val="18"/>
                </w:rPr>
                <w:t>http://dx.doi.org/10.1136/practneurol-2015-001126</w:t>
              </w:r>
            </w:hyperlink>
          </w:p>
          <w:p w14:paraId="1C7C1C45" w14:textId="77777777" w:rsidR="004526B0" w:rsidRPr="00BE4898" w:rsidRDefault="004526B0">
            <w:pPr>
              <w:pStyle w:val="NormalWeb"/>
              <w:numPr>
                <w:ilvl w:val="0"/>
                <w:numId w:val="11"/>
              </w:numPr>
              <w:rPr>
                <w:rFonts w:ascii="Arial" w:hAnsi="Arial" w:cs="Arial"/>
                <w:color w:val="000000"/>
                <w:sz w:val="18"/>
                <w:szCs w:val="18"/>
              </w:rPr>
            </w:pPr>
            <w:r w:rsidRPr="00BE4898">
              <w:rPr>
                <w:rFonts w:ascii="Arial" w:hAnsi="Arial" w:cs="Arial"/>
                <w:color w:val="000000"/>
                <w:sz w:val="18"/>
                <w:szCs w:val="18"/>
              </w:rPr>
              <w:t>Sanders</w:t>
            </w:r>
            <w:r>
              <w:rPr>
                <w:rFonts w:ascii="Arial" w:hAnsi="Arial" w:cs="Arial"/>
                <w:color w:val="000000"/>
                <w:sz w:val="18"/>
                <w:szCs w:val="18"/>
              </w:rPr>
              <w:t xml:space="preserve"> DB, </w:t>
            </w:r>
            <w:r w:rsidRPr="00BE4898">
              <w:rPr>
                <w:rFonts w:ascii="Arial" w:hAnsi="Arial" w:cs="Arial"/>
                <w:color w:val="000000"/>
                <w:sz w:val="18"/>
                <w:szCs w:val="18"/>
              </w:rPr>
              <w:t>Wolfe</w:t>
            </w:r>
            <w:r>
              <w:rPr>
                <w:rFonts w:ascii="Arial" w:hAnsi="Arial" w:cs="Arial"/>
                <w:color w:val="000000"/>
                <w:sz w:val="18"/>
                <w:szCs w:val="18"/>
              </w:rPr>
              <w:t xml:space="preserve"> GI, Benatar M </w:t>
            </w:r>
            <w:r w:rsidRPr="00BE4898">
              <w:rPr>
                <w:rFonts w:ascii="Arial" w:hAnsi="Arial" w:cs="Arial"/>
                <w:i/>
                <w:color w:val="000000"/>
                <w:sz w:val="18"/>
                <w:szCs w:val="18"/>
              </w:rPr>
              <w:t>et al</w:t>
            </w:r>
            <w:r>
              <w:rPr>
                <w:rFonts w:ascii="Arial" w:hAnsi="Arial" w:cs="Arial"/>
                <w:color w:val="000000"/>
                <w:sz w:val="18"/>
                <w:szCs w:val="18"/>
              </w:rPr>
              <w:t>.</w:t>
            </w:r>
            <w:r w:rsidRPr="00BE4898">
              <w:rPr>
                <w:rFonts w:ascii="Arial" w:hAnsi="Arial" w:cs="Arial"/>
                <w:color w:val="000000"/>
                <w:sz w:val="18"/>
                <w:szCs w:val="18"/>
              </w:rPr>
              <w:t xml:space="preserve"> </w:t>
            </w:r>
            <w:proofErr w:type="gramStart"/>
            <w:r w:rsidRPr="00BE4898">
              <w:rPr>
                <w:rFonts w:ascii="Arial" w:hAnsi="Arial" w:cs="Arial"/>
                <w:color w:val="000000"/>
                <w:sz w:val="18"/>
                <w:szCs w:val="18"/>
              </w:rPr>
              <w:t>International</w:t>
            </w:r>
            <w:proofErr w:type="gramEnd"/>
            <w:r w:rsidRPr="00BE4898">
              <w:rPr>
                <w:rFonts w:ascii="Arial" w:hAnsi="Arial" w:cs="Arial"/>
                <w:color w:val="000000"/>
                <w:sz w:val="18"/>
                <w:szCs w:val="18"/>
              </w:rPr>
              <w:t xml:space="preserve"> consensus guidance for management of myasthenia gravis</w:t>
            </w:r>
            <w:r>
              <w:rPr>
                <w:rFonts w:ascii="Arial" w:hAnsi="Arial" w:cs="Arial"/>
                <w:color w:val="000000"/>
                <w:sz w:val="18"/>
                <w:szCs w:val="18"/>
              </w:rPr>
              <w:t>. Neurology 2016</w:t>
            </w:r>
            <w:r w:rsidRPr="00BE4898">
              <w:rPr>
                <w:rFonts w:ascii="Arial" w:hAnsi="Arial" w:cs="Arial"/>
                <w:color w:val="000000"/>
                <w:sz w:val="18"/>
                <w:szCs w:val="18"/>
              </w:rPr>
              <w:t xml:space="preserve">; 87(4): 419–425. </w:t>
            </w:r>
            <w:hyperlink r:id="rId49" w:anchor="R5" w:history="1">
              <w:r w:rsidRPr="00BE4898">
                <w:rPr>
                  <w:rStyle w:val="Hyperlink"/>
                  <w:rFonts w:ascii="Arial" w:hAnsi="Arial" w:cs="Arial"/>
                  <w:sz w:val="18"/>
                  <w:szCs w:val="18"/>
                </w:rPr>
                <w:t>https://www.ncbi.nlm.nih.gov/pmc/articles/PMC4977114/#R5</w:t>
              </w:r>
            </w:hyperlink>
            <w:r w:rsidRPr="00BE4898">
              <w:rPr>
                <w:rStyle w:val="Hyperlink"/>
                <w:rFonts w:ascii="Arial" w:hAnsi="Arial" w:cs="Arial"/>
                <w:sz w:val="18"/>
                <w:szCs w:val="18"/>
              </w:rPr>
              <w:t xml:space="preserve"> </w:t>
            </w:r>
          </w:p>
          <w:p w14:paraId="60554035" w14:textId="77777777" w:rsidR="004526B0" w:rsidRPr="00C5458F" w:rsidRDefault="004526B0" w:rsidP="004526B0">
            <w:pPr>
              <w:spacing w:after="0"/>
              <w:contextualSpacing/>
              <w:rPr>
                <w:rFonts w:ascii="Arial" w:hAnsi="Arial" w:cs="Arial"/>
                <w:i/>
                <w:sz w:val="18"/>
                <w:szCs w:val="18"/>
              </w:rPr>
            </w:pPr>
            <w:r w:rsidRPr="00C5458F">
              <w:rPr>
                <w:rFonts w:ascii="Arial" w:hAnsi="Arial" w:cs="Arial"/>
                <w:i/>
                <w:sz w:val="18"/>
                <w:szCs w:val="18"/>
              </w:rPr>
              <w:t>Uveitis</w:t>
            </w:r>
          </w:p>
          <w:p w14:paraId="418D137C"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w:t>
            </w:r>
            <w:r>
              <w:rPr>
                <w:rFonts w:ascii="Arial" w:hAnsi="Arial" w:cs="Arial"/>
                <w:sz w:val="18"/>
                <w:szCs w:val="18"/>
              </w:rPr>
              <w:t>mycophenolate mofetil</w:t>
            </w:r>
            <w:r w:rsidRPr="00C5458F">
              <w:rPr>
                <w:rFonts w:ascii="Arial" w:hAnsi="Arial" w:cs="Arial"/>
                <w:sz w:val="18"/>
                <w:szCs w:val="18"/>
              </w:rPr>
              <w:t xml:space="preserve">) </w:t>
            </w:r>
            <w:hyperlink r:id="rId50" w:history="1">
              <w:r w:rsidRPr="00C5458F">
                <w:rPr>
                  <w:rFonts w:ascii="Arial" w:hAnsi="Arial" w:cs="Arial"/>
                  <w:color w:val="0000FF" w:themeColor="hyperlink"/>
                  <w:sz w:val="18"/>
                  <w:szCs w:val="18"/>
                  <w:u w:val="single"/>
                </w:rPr>
                <w:t>https://www.nice.org.uk/guidance/ta460/chapter/1-Recommendations</w:t>
              </w:r>
            </w:hyperlink>
          </w:p>
          <w:p w14:paraId="5C315AE8" w14:textId="77777777" w:rsidR="004526B0" w:rsidRPr="003C0FB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w:t>
            </w:r>
            <w:r w:rsidRPr="00313332">
              <w:rPr>
                <w:rFonts w:ascii="Arial" w:hAnsi="Arial" w:cs="Arial"/>
                <w:sz w:val="18"/>
                <w:szCs w:val="18"/>
              </w:rPr>
              <w:t>(referenc</w:t>
            </w:r>
            <w:r>
              <w:rPr>
                <w:rFonts w:ascii="Arial" w:hAnsi="Arial" w:cs="Arial"/>
                <w:sz w:val="18"/>
                <w:szCs w:val="18"/>
              </w:rPr>
              <w:t>es use of mycophenolate mofetil)</w:t>
            </w:r>
            <w:r w:rsidRPr="00313332">
              <w:rPr>
                <w:rFonts w:ascii="Arial" w:hAnsi="Arial" w:cs="Arial"/>
                <w:sz w:val="18"/>
                <w:szCs w:val="18"/>
              </w:rPr>
              <w:t xml:space="preserve"> </w:t>
            </w:r>
            <w:hyperlink r:id="rId51"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6C794E78" w14:textId="77777777" w:rsidR="004526B0"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Rathinam SR, Gonzales JA, Thundikandy R</w:t>
            </w:r>
            <w:r>
              <w:rPr>
                <w:rFonts w:ascii="Arial" w:hAnsi="Arial" w:cs="Arial"/>
                <w:sz w:val="18"/>
                <w:szCs w:val="18"/>
              </w:rPr>
              <w:t xml:space="preserve"> </w:t>
            </w:r>
            <w:r w:rsidRPr="006E0AF8">
              <w:rPr>
                <w:rFonts w:ascii="Arial" w:hAnsi="Arial" w:cs="Arial"/>
                <w:i/>
                <w:sz w:val="18"/>
                <w:szCs w:val="18"/>
              </w:rPr>
              <w:t>et al</w:t>
            </w:r>
            <w:r w:rsidRPr="006E0AF8">
              <w:rPr>
                <w:rFonts w:ascii="Arial" w:hAnsi="Arial" w:cs="Arial"/>
                <w:sz w:val="18"/>
                <w:szCs w:val="18"/>
              </w:rPr>
              <w:t>.</w:t>
            </w:r>
            <w:r w:rsidRPr="006E0AF8">
              <w:rPr>
                <w:rFonts w:ascii="Arial" w:hAnsi="Arial" w:cs="Arial"/>
                <w:color w:val="212121"/>
                <w:sz w:val="18"/>
                <w:szCs w:val="18"/>
                <w:lang w:val="en"/>
              </w:rPr>
              <w:t xml:space="preserve"> Effect of Corticosteroid-Sparing Treatment </w:t>
            </w:r>
            <w:proofErr w:type="gramStart"/>
            <w:r w:rsidRPr="006E0AF8">
              <w:rPr>
                <w:rFonts w:ascii="Arial" w:hAnsi="Arial" w:cs="Arial"/>
                <w:color w:val="212121"/>
                <w:sz w:val="18"/>
                <w:szCs w:val="18"/>
                <w:lang w:val="en"/>
              </w:rPr>
              <w:t>With</w:t>
            </w:r>
            <w:proofErr w:type="gramEnd"/>
            <w:r w:rsidRPr="006E0AF8">
              <w:rPr>
                <w:rFonts w:ascii="Arial" w:hAnsi="Arial" w:cs="Arial"/>
                <w:color w:val="212121"/>
                <w:sz w:val="18"/>
                <w:szCs w:val="18"/>
                <w:lang w:val="en"/>
              </w:rPr>
              <w:t xml:space="preserve"> Mycophenolate Mofetil vs Methotrexate on Inflammation in Patients With Uveitis: A Randomized Clinical Trial. JAMA </w:t>
            </w:r>
            <w:r w:rsidRPr="006E0AF8">
              <w:rPr>
                <w:rStyle w:val="cit"/>
                <w:rFonts w:ascii="Arial" w:hAnsi="Arial" w:cs="Arial"/>
                <w:color w:val="212121"/>
                <w:sz w:val="18"/>
                <w:szCs w:val="18"/>
                <w:lang w:val="en"/>
              </w:rPr>
              <w:t>2019; 322(10): 936-945</w:t>
            </w:r>
            <w:r w:rsidRPr="006E0AF8">
              <w:rPr>
                <w:rFonts w:ascii="Arial" w:hAnsi="Arial" w:cs="Arial"/>
                <w:sz w:val="18"/>
                <w:szCs w:val="18"/>
              </w:rPr>
              <w:t xml:space="preserve">. </w:t>
            </w:r>
            <w:hyperlink r:id="rId52" w:history="1">
              <w:r w:rsidRPr="006E0AF8">
                <w:rPr>
                  <w:rStyle w:val="Hyperlink"/>
                  <w:rFonts w:ascii="Arial" w:hAnsi="Arial" w:cs="Arial"/>
                  <w:sz w:val="18"/>
                  <w:szCs w:val="18"/>
                </w:rPr>
                <w:t>https://jamanetwork.com/journals/jama/fullarticle/2749597</w:t>
              </w:r>
            </w:hyperlink>
          </w:p>
          <w:p w14:paraId="04C449C8" w14:textId="77777777" w:rsidR="004526B0" w:rsidRPr="002F5BCD" w:rsidRDefault="004526B0" w:rsidP="004526B0">
            <w:pPr>
              <w:spacing w:after="0"/>
              <w:contextualSpacing/>
              <w:rPr>
                <w:rFonts w:ascii="Arial" w:hAnsi="Arial" w:cs="Arial"/>
                <w:i/>
                <w:sz w:val="18"/>
                <w:szCs w:val="18"/>
              </w:rPr>
            </w:pPr>
            <w:r w:rsidRPr="002F5BCD">
              <w:rPr>
                <w:rFonts w:ascii="Arial" w:hAnsi="Arial" w:cs="Arial"/>
                <w:i/>
                <w:sz w:val="18"/>
                <w:szCs w:val="18"/>
              </w:rPr>
              <w:t>Interstitial lung disease</w:t>
            </w:r>
          </w:p>
          <w:p w14:paraId="794F3E9E" w14:textId="77777777" w:rsidR="004526B0" w:rsidRPr="006B776F" w:rsidRDefault="004526B0">
            <w:pPr>
              <w:pStyle w:val="ListParagraph"/>
              <w:numPr>
                <w:ilvl w:val="0"/>
                <w:numId w:val="18"/>
              </w:numPr>
              <w:autoSpaceDE w:val="0"/>
              <w:autoSpaceDN w:val="0"/>
              <w:adjustRightInd w:val="0"/>
              <w:spacing w:after="0"/>
              <w:rPr>
                <w:rFonts w:ascii="Arial" w:eastAsia="MyriadPro-Regular" w:hAnsi="Arial" w:cs="Arial"/>
                <w:color w:val="231F20"/>
                <w:sz w:val="18"/>
                <w:szCs w:val="18"/>
              </w:rPr>
            </w:pPr>
            <w:r w:rsidRPr="006B776F">
              <w:rPr>
                <w:rFonts w:ascii="Arial" w:hAnsi="Arial" w:cs="Arial"/>
                <w:bCs/>
                <w:sz w:val="18"/>
                <w:szCs w:val="18"/>
              </w:rPr>
              <w:t xml:space="preserve">Omair MA &amp; Alhamad EH. </w:t>
            </w:r>
            <w:r w:rsidRPr="006B776F">
              <w:rPr>
                <w:rFonts w:ascii="Arial" w:eastAsia="MyriadPro-Regular" w:hAnsi="Arial" w:cs="Arial"/>
                <w:color w:val="231F20"/>
                <w:sz w:val="18"/>
                <w:szCs w:val="18"/>
              </w:rPr>
              <w:t>Mycophenolate mofetil is an effective therapy for connective tissue disease-associated</w:t>
            </w:r>
            <w:r>
              <w:rPr>
                <w:rFonts w:ascii="Arial" w:eastAsia="MyriadPro-Regular" w:hAnsi="Arial" w:cs="Arial"/>
                <w:color w:val="231F20"/>
                <w:sz w:val="18"/>
                <w:szCs w:val="18"/>
              </w:rPr>
              <w:t xml:space="preserve"> </w:t>
            </w:r>
            <w:r w:rsidRPr="006B776F">
              <w:rPr>
                <w:rFonts w:ascii="Arial" w:eastAsia="MyriadPro-Regular" w:hAnsi="Arial" w:cs="Arial"/>
                <w:color w:val="231F20"/>
                <w:sz w:val="18"/>
                <w:szCs w:val="18"/>
              </w:rPr>
              <w:t>interstitial lung disease</w:t>
            </w:r>
            <w:r w:rsidRPr="006B776F">
              <w:rPr>
                <w:rFonts w:ascii="Arial" w:hAnsi="Arial" w:cs="Arial"/>
                <w:b/>
                <w:bCs/>
                <w:sz w:val="18"/>
                <w:szCs w:val="18"/>
              </w:rPr>
              <w:t xml:space="preserve">. </w:t>
            </w:r>
            <w:r w:rsidRPr="006B776F">
              <w:rPr>
                <w:rFonts w:ascii="Arial" w:hAnsi="Arial" w:cs="Arial"/>
                <w:bCs/>
                <w:iCs/>
                <w:sz w:val="18"/>
                <w:szCs w:val="18"/>
              </w:rPr>
              <w:t>Int. J. Clin. Rheumatol</w:t>
            </w:r>
            <w:r w:rsidRPr="006B776F">
              <w:rPr>
                <w:rFonts w:ascii="Arial" w:hAnsi="Arial" w:cs="Arial"/>
                <w:b/>
                <w:bCs/>
                <w:i/>
                <w:iCs/>
                <w:sz w:val="18"/>
                <w:szCs w:val="18"/>
              </w:rPr>
              <w:t xml:space="preserve"> </w:t>
            </w:r>
            <w:r w:rsidRPr="006B776F">
              <w:rPr>
                <w:rFonts w:ascii="Arial" w:eastAsia="MyriadPro-Regular" w:hAnsi="Arial" w:cs="Arial"/>
                <w:sz w:val="18"/>
                <w:szCs w:val="18"/>
              </w:rPr>
              <w:t>2017;</w:t>
            </w:r>
            <w:r>
              <w:rPr>
                <w:rFonts w:ascii="Arial" w:eastAsia="MyriadPro-Regular" w:hAnsi="Arial" w:cs="Arial"/>
                <w:sz w:val="18"/>
                <w:szCs w:val="18"/>
              </w:rPr>
              <w:t xml:space="preserve"> </w:t>
            </w:r>
            <w:r w:rsidRPr="006B776F">
              <w:rPr>
                <w:rFonts w:ascii="Arial" w:eastAsia="MyriadPro-Regular" w:hAnsi="Arial" w:cs="Arial"/>
                <w:sz w:val="18"/>
                <w:szCs w:val="18"/>
              </w:rPr>
              <w:t xml:space="preserve">12(3): 067-073. </w:t>
            </w:r>
            <w:hyperlink r:id="rId53" w:tgtFrame="_blank" w:history="1">
              <w:r w:rsidRPr="006B776F">
                <w:rPr>
                  <w:rStyle w:val="Hyperlink"/>
                  <w:rFonts w:ascii="Arial" w:hAnsi="Arial" w:cs="Arial"/>
                  <w:sz w:val="18"/>
                  <w:szCs w:val="18"/>
                  <w:bdr w:val="none" w:sz="0" w:space="0" w:color="auto" w:frame="1"/>
                  <w:shd w:val="clear" w:color="auto" w:fill="FFFFFF"/>
                </w:rPr>
                <w:t>https://www.openaccessjournals.com/articles/mycophenolate-mofetil-is-an-effective-therapy-for-connective-tissue-diseaseassociated-interstitial-lung-disease.pdf</w:t>
              </w:r>
            </w:hyperlink>
          </w:p>
          <w:p w14:paraId="70221FBE" w14:textId="77777777" w:rsidR="004526B0" w:rsidRPr="006B776F" w:rsidRDefault="004526B0" w:rsidP="004526B0">
            <w:pPr>
              <w:spacing w:after="0"/>
              <w:contextualSpacing/>
              <w:rPr>
                <w:rFonts w:ascii="Arial" w:hAnsi="Arial" w:cs="Arial"/>
                <w:i/>
                <w:sz w:val="18"/>
                <w:szCs w:val="18"/>
              </w:rPr>
            </w:pPr>
            <w:r w:rsidRPr="006B776F">
              <w:rPr>
                <w:rFonts w:ascii="Arial" w:hAnsi="Arial" w:cs="Arial"/>
                <w:i/>
                <w:sz w:val="18"/>
                <w:szCs w:val="18"/>
              </w:rPr>
              <w:t>Autoimmune hepatitis</w:t>
            </w:r>
          </w:p>
          <w:p w14:paraId="6828AF09" w14:textId="77777777" w:rsidR="004526B0" w:rsidRPr="006B776F" w:rsidRDefault="004526B0">
            <w:pPr>
              <w:pStyle w:val="ListParagraph"/>
              <w:numPr>
                <w:ilvl w:val="0"/>
                <w:numId w:val="14"/>
              </w:numPr>
              <w:spacing w:after="0"/>
              <w:rPr>
                <w:rFonts w:ascii="Arial" w:hAnsi="Arial" w:cs="Arial"/>
                <w:iCs/>
                <w:sz w:val="18"/>
                <w:szCs w:val="18"/>
              </w:rPr>
            </w:pPr>
            <w:r w:rsidRPr="006B776F">
              <w:rPr>
                <w:rFonts w:ascii="Arial" w:hAnsi="Arial" w:cs="Arial"/>
                <w:iCs/>
                <w:sz w:val="18"/>
                <w:szCs w:val="18"/>
              </w:rPr>
              <w:t>Gleeson D &amp; Heneghan MA</w:t>
            </w:r>
            <w:r>
              <w:rPr>
                <w:rFonts w:ascii="Arial" w:hAnsi="Arial" w:cs="Arial"/>
                <w:iCs/>
                <w:sz w:val="18"/>
                <w:szCs w:val="18"/>
              </w:rPr>
              <w:t>.</w:t>
            </w:r>
            <w:r w:rsidRPr="006B776F">
              <w:rPr>
                <w:rFonts w:ascii="Arial" w:hAnsi="Arial" w:cs="Arial"/>
                <w:iCs/>
                <w:sz w:val="18"/>
                <w:szCs w:val="18"/>
              </w:rPr>
              <w:t xml:space="preserve"> </w:t>
            </w:r>
            <w:r w:rsidRPr="006B776F">
              <w:rPr>
                <w:rFonts w:ascii="Arial" w:hAnsi="Arial" w:cs="Arial"/>
                <w:sz w:val="18"/>
                <w:szCs w:val="18"/>
              </w:rPr>
              <w:t xml:space="preserve">British Society of Gastroenterology (BSG) guidelines for management of autoimmune hepatitis. Gut 2011; 60: 1611-1629. </w:t>
            </w:r>
            <w:hyperlink r:id="rId54" w:history="1">
              <w:r w:rsidRPr="006B776F">
                <w:rPr>
                  <w:rStyle w:val="Hyperlink"/>
                  <w:rFonts w:ascii="Arial" w:hAnsi="Arial" w:cs="Arial"/>
                  <w:sz w:val="18"/>
                  <w:szCs w:val="18"/>
                </w:rPr>
                <w:t>https://www.bsg.org.uk/wp-content/uploads/2019/12/BSG-guidelines-for-the-management-of-autoimmune-hepatitis.pdf</w:t>
              </w:r>
            </w:hyperlink>
          </w:p>
          <w:p w14:paraId="7BCFE593" w14:textId="77777777" w:rsidR="004526B0" w:rsidRPr="006B776F" w:rsidRDefault="004526B0">
            <w:pPr>
              <w:pStyle w:val="ListParagraph"/>
              <w:numPr>
                <w:ilvl w:val="0"/>
                <w:numId w:val="14"/>
              </w:numPr>
              <w:spacing w:after="0"/>
              <w:rPr>
                <w:rFonts w:ascii="Arial" w:hAnsi="Arial" w:cs="Arial"/>
                <w:bCs/>
                <w:color w:val="1C1D1E"/>
                <w:kern w:val="36"/>
                <w:sz w:val="18"/>
                <w:szCs w:val="18"/>
                <w:lang w:val="en"/>
              </w:rPr>
            </w:pPr>
            <w:r w:rsidRPr="006B776F">
              <w:rPr>
                <w:rFonts w:ascii="Arial" w:hAnsi="Arial" w:cs="Arial"/>
                <w:bCs/>
                <w:color w:val="1C1D1E"/>
                <w:kern w:val="36"/>
                <w:sz w:val="18"/>
                <w:szCs w:val="18"/>
                <w:lang w:val="en"/>
              </w:rPr>
              <w:t xml:space="preserve">Mack CL, Adams D, Assis DN </w:t>
            </w:r>
            <w:r w:rsidRPr="006B776F">
              <w:rPr>
                <w:rFonts w:ascii="Arial" w:hAnsi="Arial" w:cs="Arial"/>
                <w:bCs/>
                <w:i/>
                <w:color w:val="1C1D1E"/>
                <w:kern w:val="36"/>
                <w:sz w:val="18"/>
                <w:szCs w:val="18"/>
                <w:lang w:val="en"/>
              </w:rPr>
              <w:t>et al</w:t>
            </w:r>
            <w:r w:rsidRPr="006B776F">
              <w:rPr>
                <w:rFonts w:ascii="Arial" w:hAnsi="Arial" w:cs="Arial"/>
                <w:bCs/>
                <w:color w:val="1C1D1E"/>
                <w:kern w:val="36"/>
                <w:sz w:val="18"/>
                <w:szCs w:val="18"/>
                <w:lang w:val="en"/>
              </w:rPr>
              <w:t xml:space="preserve">. Diagnosis and Management of Autoimmune Hepatitis in Adults and Children: 2019 Practice Guidance and Guidelines </w:t>
            </w:r>
            <w:proofErr w:type="gramStart"/>
            <w:r w:rsidRPr="006B776F">
              <w:rPr>
                <w:rFonts w:ascii="Arial" w:hAnsi="Arial" w:cs="Arial"/>
                <w:bCs/>
                <w:color w:val="1C1D1E"/>
                <w:kern w:val="36"/>
                <w:sz w:val="18"/>
                <w:szCs w:val="18"/>
                <w:lang w:val="en"/>
              </w:rPr>
              <w:t>From</w:t>
            </w:r>
            <w:proofErr w:type="gramEnd"/>
            <w:r w:rsidRPr="006B776F">
              <w:rPr>
                <w:rFonts w:ascii="Arial" w:hAnsi="Arial" w:cs="Arial"/>
                <w:bCs/>
                <w:color w:val="1C1D1E"/>
                <w:kern w:val="36"/>
                <w:sz w:val="18"/>
                <w:szCs w:val="18"/>
                <w:lang w:val="en"/>
              </w:rPr>
              <w:t xml:space="preserve"> the American Association for the Study of Liver Diseases. Hepatology 2019; 72(2); 671-722</w:t>
            </w:r>
          </w:p>
          <w:p w14:paraId="71A73B86" w14:textId="77777777" w:rsidR="004526B0" w:rsidRPr="006B776F" w:rsidRDefault="008B072E" w:rsidP="004526B0">
            <w:pPr>
              <w:pStyle w:val="ListParagraph"/>
              <w:spacing w:after="0"/>
              <w:ind w:left="360"/>
              <w:rPr>
                <w:rStyle w:val="Hyperlink"/>
                <w:rFonts w:ascii="Arial" w:hAnsi="Arial" w:cs="Arial"/>
                <w:iCs/>
                <w:color w:val="auto"/>
                <w:sz w:val="18"/>
                <w:szCs w:val="18"/>
                <w:u w:val="none"/>
              </w:rPr>
            </w:pPr>
            <w:hyperlink r:id="rId55" w:tgtFrame="_blank" w:history="1">
              <w:r w:rsidR="004526B0" w:rsidRPr="006B776F">
                <w:rPr>
                  <w:rStyle w:val="Hyperlink"/>
                  <w:rFonts w:ascii="Arial" w:hAnsi="Arial" w:cs="Arial"/>
                  <w:sz w:val="18"/>
                  <w:szCs w:val="18"/>
                  <w:bdr w:val="none" w:sz="0" w:space="0" w:color="auto" w:frame="1"/>
                  <w:shd w:val="clear" w:color="auto" w:fill="FFFFFF"/>
                </w:rPr>
                <w:t>https://aasldpubs.onlinelibrary.wiley.com/doi/full/10.1002/hep.31065</w:t>
              </w:r>
            </w:hyperlink>
          </w:p>
          <w:p w14:paraId="37A37F16" w14:textId="77777777" w:rsidR="004526B0" w:rsidRPr="006B776F" w:rsidRDefault="004526B0" w:rsidP="004526B0">
            <w:pPr>
              <w:spacing w:after="0"/>
              <w:rPr>
                <w:rFonts w:ascii="Arial" w:hAnsi="Arial" w:cs="Arial"/>
                <w:sz w:val="18"/>
                <w:szCs w:val="18"/>
              </w:rPr>
            </w:pPr>
            <w:r w:rsidRPr="006B776F">
              <w:rPr>
                <w:rFonts w:ascii="Arial" w:hAnsi="Arial" w:cs="Arial"/>
                <w:i/>
                <w:iCs/>
                <w:sz w:val="18"/>
                <w:szCs w:val="18"/>
              </w:rPr>
              <w:t>Rheumatoid Arthritis</w:t>
            </w:r>
            <w:r w:rsidRPr="006B776F">
              <w:rPr>
                <w:rFonts w:ascii="Arial" w:hAnsi="Arial" w:cs="Arial"/>
                <w:sz w:val="18"/>
                <w:szCs w:val="18"/>
              </w:rPr>
              <w:t xml:space="preserve"> </w:t>
            </w:r>
          </w:p>
          <w:p w14:paraId="164F4F21" w14:textId="77777777" w:rsidR="004526B0" w:rsidRPr="00CC3E5E" w:rsidRDefault="004526B0">
            <w:pPr>
              <w:pStyle w:val="ListParagraph"/>
              <w:numPr>
                <w:ilvl w:val="0"/>
                <w:numId w:val="19"/>
              </w:numPr>
              <w:spacing w:after="0"/>
              <w:rPr>
                <w:rFonts w:ascii="Arial" w:hAnsi="Arial" w:cs="Arial"/>
                <w:sz w:val="18"/>
                <w:szCs w:val="18"/>
              </w:rPr>
            </w:pPr>
            <w:r w:rsidRPr="00CC3E5E">
              <w:rPr>
                <w:rFonts w:ascii="Arial" w:hAnsi="Arial" w:cs="Arial"/>
                <w:sz w:val="18"/>
                <w:szCs w:val="18"/>
              </w:rPr>
              <w:t xml:space="preserve">Goldblum R. Therapy of rheumatoid arthritis with mycophenolate mofetil. Clin Exp Rheumatol. Mar-Apr 1993;11 Suppl </w:t>
            </w:r>
            <w:proofErr w:type="gramStart"/>
            <w:r w:rsidRPr="00CC3E5E">
              <w:rPr>
                <w:rFonts w:ascii="Arial" w:hAnsi="Arial" w:cs="Arial"/>
                <w:sz w:val="18"/>
                <w:szCs w:val="18"/>
              </w:rPr>
              <w:t>8:S</w:t>
            </w:r>
            <w:proofErr w:type="gramEnd"/>
            <w:r w:rsidRPr="00CC3E5E">
              <w:rPr>
                <w:rFonts w:ascii="Arial" w:hAnsi="Arial" w:cs="Arial"/>
                <w:sz w:val="18"/>
                <w:szCs w:val="18"/>
              </w:rPr>
              <w:t xml:space="preserve">117-9 </w:t>
            </w:r>
            <w:hyperlink r:id="rId56" w:history="1">
              <w:r w:rsidRPr="00CC3E5E">
                <w:rPr>
                  <w:rStyle w:val="Hyperlink"/>
                  <w:rFonts w:ascii="Arial" w:hAnsi="Arial" w:cs="Arial"/>
                  <w:sz w:val="18"/>
                  <w:szCs w:val="18"/>
                </w:rPr>
                <w:t>https://pubmed.ncbi.nlm.nih.gov/8324935/</w:t>
              </w:r>
            </w:hyperlink>
          </w:p>
          <w:p w14:paraId="7B9B5A2F" w14:textId="77777777" w:rsidR="004526B0" w:rsidRPr="006B776F" w:rsidRDefault="004526B0" w:rsidP="004526B0">
            <w:pPr>
              <w:spacing w:after="0"/>
              <w:rPr>
                <w:rFonts w:ascii="Arial" w:hAnsi="Arial" w:cs="Arial"/>
                <w:i/>
                <w:iCs/>
                <w:sz w:val="18"/>
                <w:szCs w:val="18"/>
              </w:rPr>
            </w:pPr>
            <w:r w:rsidRPr="006B776F">
              <w:rPr>
                <w:rFonts w:ascii="Arial" w:hAnsi="Arial" w:cs="Arial"/>
                <w:i/>
                <w:iCs/>
                <w:sz w:val="18"/>
                <w:szCs w:val="18"/>
              </w:rPr>
              <w:t>Scleroderma</w:t>
            </w:r>
          </w:p>
          <w:p w14:paraId="11DFBBEE" w14:textId="77777777" w:rsidR="004526B0" w:rsidRPr="006B776F" w:rsidRDefault="004526B0">
            <w:pPr>
              <w:pStyle w:val="ListParagraph"/>
              <w:numPr>
                <w:ilvl w:val="0"/>
                <w:numId w:val="17"/>
              </w:numPr>
              <w:autoSpaceDE w:val="0"/>
              <w:autoSpaceDN w:val="0"/>
              <w:adjustRightInd w:val="0"/>
              <w:spacing w:after="0"/>
              <w:rPr>
                <w:rFonts w:ascii="Arial" w:hAnsi="Arial" w:cs="Arial"/>
                <w:sz w:val="18"/>
                <w:szCs w:val="18"/>
              </w:rPr>
            </w:pPr>
            <w:r w:rsidRPr="006B776F">
              <w:rPr>
                <w:rFonts w:ascii="Arial" w:hAnsi="Arial" w:cs="Arial"/>
                <w:sz w:val="18"/>
                <w:szCs w:val="18"/>
              </w:rPr>
              <w:t xml:space="preserve">Kowal-Bielecka O, Fransen J, Avouac J. et al. Update of EULAR recommendations for the treatment of systemic sclerosis. Ann Rheum Dis </w:t>
            </w:r>
            <w:proofErr w:type="gramStart"/>
            <w:r w:rsidRPr="006B776F">
              <w:rPr>
                <w:rFonts w:ascii="Arial" w:hAnsi="Arial" w:cs="Arial"/>
                <w:sz w:val="18"/>
                <w:szCs w:val="18"/>
              </w:rPr>
              <w:t>2017;</w:t>
            </w:r>
            <w:r w:rsidRPr="006B776F">
              <w:rPr>
                <w:rFonts w:ascii="Arial" w:hAnsi="Arial" w:cs="Arial"/>
                <w:bCs/>
                <w:sz w:val="18"/>
                <w:szCs w:val="18"/>
              </w:rPr>
              <w:t>76</w:t>
            </w:r>
            <w:r w:rsidRPr="006B776F">
              <w:rPr>
                <w:rFonts w:ascii="Arial" w:hAnsi="Arial" w:cs="Arial"/>
                <w:sz w:val="18"/>
                <w:szCs w:val="18"/>
              </w:rPr>
              <w:t>:1327</w:t>
            </w:r>
            <w:proofErr w:type="gramEnd"/>
            <w:r w:rsidRPr="006B776F">
              <w:rPr>
                <w:rFonts w:ascii="Arial" w:hAnsi="Arial" w:cs="Arial"/>
                <w:sz w:val="18"/>
                <w:szCs w:val="18"/>
              </w:rPr>
              <w:t xml:space="preserve">–1339. </w:t>
            </w:r>
            <w:hyperlink r:id="rId57" w:history="1">
              <w:r w:rsidRPr="006B776F">
                <w:rPr>
                  <w:rFonts w:ascii="Arial" w:hAnsi="Arial" w:cs="Arial"/>
                  <w:color w:val="0000FF" w:themeColor="hyperlink"/>
                  <w:sz w:val="18"/>
                  <w:szCs w:val="18"/>
                  <w:u w:val="single"/>
                </w:rPr>
                <w:t>https://ard.bmj.com/content/annrheumdis/76/8/1327.full.pdf</w:t>
              </w:r>
            </w:hyperlink>
          </w:p>
          <w:p w14:paraId="6B524A78" w14:textId="4F3960DE" w:rsidR="0072705F" w:rsidRPr="0039285C" w:rsidRDefault="004526B0">
            <w:pPr>
              <w:pStyle w:val="ListParagraph"/>
              <w:numPr>
                <w:ilvl w:val="0"/>
                <w:numId w:val="12"/>
              </w:numPr>
              <w:spacing w:after="0"/>
              <w:rPr>
                <w:rFonts w:ascii="Arial" w:hAnsi="Arial" w:cs="Arial"/>
                <w:sz w:val="20"/>
                <w:szCs w:val="20"/>
              </w:rPr>
            </w:pPr>
            <w:r w:rsidRPr="006B776F">
              <w:rPr>
                <w:rFonts w:ascii="Arial" w:eastAsia="Times New Roman" w:hAnsi="Arial" w:cs="Arial"/>
                <w:color w:val="0E0E0E"/>
                <w:kern w:val="36"/>
                <w:sz w:val="18"/>
                <w:szCs w:val="18"/>
                <w:lang w:eastAsia="en-GB"/>
              </w:rPr>
              <w:t xml:space="preserve">NICE evidence summary (ESUOM32). Scleroderma: oral mycophenolate 2014 </w:t>
            </w:r>
            <w:hyperlink r:id="rId58" w:history="1">
              <w:r w:rsidRPr="006B776F">
                <w:rPr>
                  <w:rStyle w:val="Hyperlink"/>
                  <w:rFonts w:ascii="Arial" w:hAnsi="Arial" w:cs="Arial"/>
                  <w:iCs/>
                  <w:sz w:val="18"/>
                  <w:szCs w:val="18"/>
                </w:rPr>
                <w:t>https://www.nice.org.uk/advice/esuom32/chapter/Key-points-from-the-evidence</w:t>
              </w:r>
            </w:hyperlink>
            <w:r w:rsidR="00897E3A">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72705F">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2CAE0C04"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w:t>
      </w:r>
      <w:hyperlink r:id="rId59"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2C0FCD0C"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BSR and BHPR guideline for the prescription and monitoring of non-biologic disease-modifying anti-rheumatic drugs, Rheumatolo</w:t>
      </w:r>
      <w:r>
        <w:rPr>
          <w:rFonts w:ascii="Arial" w:eastAsia="Times New Roman" w:hAnsi="Arial" w:cs="Arial"/>
          <w:bCs/>
          <w:sz w:val="16"/>
          <w:szCs w:val="16"/>
        </w:rPr>
        <w:t>g</w:t>
      </w:r>
      <w:r w:rsidRPr="00C5458F">
        <w:rPr>
          <w:rFonts w:ascii="Arial" w:eastAsia="Times New Roman" w:hAnsi="Arial" w:cs="Arial"/>
          <w:bCs/>
          <w:sz w:val="16"/>
          <w:szCs w:val="16"/>
        </w:rPr>
        <w:t xml:space="preserve">y 2017;56:865868 </w:t>
      </w:r>
      <w:hyperlink r:id="rId60" w:history="1">
        <w:r w:rsidRPr="00C5458F">
          <w:rPr>
            <w:rStyle w:val="Hyperlink"/>
            <w:rFonts w:ascii="Arial" w:eastAsia="Times New Roman" w:hAnsi="Arial" w:cs="Arial"/>
            <w:bCs/>
            <w:sz w:val="16"/>
            <w:szCs w:val="16"/>
          </w:rPr>
          <w:t>https://www.rheumatology.org.uk/practice-quality/guidelines</w:t>
        </w:r>
      </w:hyperlink>
    </w:p>
    <w:p w14:paraId="753A05CB"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Pr>
          <w:rFonts w:ascii="Arial" w:eastAsia="Times New Roman" w:hAnsi="Arial" w:cs="Arial"/>
          <w:bCs/>
          <w:sz w:val="16"/>
          <w:szCs w:val="16"/>
        </w:rPr>
        <w:t xml:space="preserve">Specialist Pharmacy Service (SPS). Suggestions for therapeutic drug monitoring in adults in primary care. September 2020. </w:t>
      </w:r>
      <w:r w:rsidRPr="00D45E34">
        <w:rPr>
          <w:rFonts w:ascii="Arial" w:eastAsia="Times New Roman" w:hAnsi="Arial" w:cs="Arial"/>
          <w:bCs/>
          <w:sz w:val="16"/>
          <w:szCs w:val="16"/>
        </w:rPr>
        <w:t>https://www.sps.nhs.uk/articles/suggestions-for-therapeutic-drug-monitoring-in-adults-in-primary-care-2/</w:t>
      </w:r>
    </w:p>
    <w:p w14:paraId="4DFD450A"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61"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84E7A10"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 Adult (non-transplant indications) Shared Care Guidelines </w:t>
      </w:r>
      <w:hyperlink r:id="rId62" w:history="1">
        <w:r w:rsidRPr="00C5458F">
          <w:rPr>
            <w:rStyle w:val="Hyperlink"/>
            <w:rFonts w:ascii="Arial" w:eastAsia="Times New Roman" w:hAnsi="Arial" w:cs="Arial"/>
            <w:bCs/>
            <w:sz w:val="16"/>
            <w:szCs w:val="16"/>
          </w:rPr>
          <w:t>http://www.ipnsm.hscni.net/download/shared_care_guidelines/</w:t>
        </w:r>
        <w:r>
          <w:rPr>
            <w:rStyle w:val="Hyperlink"/>
            <w:rFonts w:ascii="Arial" w:eastAsia="Times New Roman" w:hAnsi="Arial" w:cs="Arial"/>
            <w:bCs/>
            <w:sz w:val="16"/>
            <w:szCs w:val="16"/>
          </w:rPr>
          <w:t>Mycophenolate</w:t>
        </w:r>
        <w:r w:rsidRPr="00C5458F">
          <w:rPr>
            <w:rStyle w:val="Hyperlink"/>
            <w:rFonts w:ascii="Arial" w:eastAsia="Times New Roman" w:hAnsi="Arial" w:cs="Arial"/>
            <w:bCs/>
            <w:sz w:val="16"/>
            <w:szCs w:val="16"/>
          </w:rPr>
          <w:t>SCG2017.pdf</w:t>
        </w:r>
      </w:hyperlink>
    </w:p>
    <w:p w14:paraId="45AD5ABB"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3"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67E8423"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Renal Association Clinical Practice guideline. Pregnancy and renal disease. </w:t>
      </w:r>
      <w:hyperlink r:id="rId64" w:history="1">
        <w:r w:rsidRPr="00F34FEC">
          <w:rPr>
            <w:rStyle w:val="Hyperlink"/>
            <w:rFonts w:ascii="Arial" w:eastAsia="Times New Roman" w:hAnsi="Arial" w:cs="Arial"/>
            <w:bCs/>
            <w:sz w:val="16"/>
            <w:szCs w:val="16"/>
          </w:rPr>
          <w:t>https://renal.org/wp-content/uploads/2019/09/FINAL-Pregnancy-Guideline-September-2019.pdf</w:t>
        </w:r>
      </w:hyperlink>
      <w:r w:rsidRPr="00C5458F">
        <w:rPr>
          <w:rFonts w:ascii="Arial" w:eastAsia="Times New Roman" w:hAnsi="Arial" w:cs="Arial"/>
          <w:bCs/>
          <w:sz w:val="16"/>
          <w:szCs w:val="16"/>
        </w:rPr>
        <w:t xml:space="preserve"> </w:t>
      </w:r>
    </w:p>
    <w:p w14:paraId="5EA00223"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947B65">
        <w:rPr>
          <w:rFonts w:ascii="Arial" w:eastAsia="Times New Roman" w:hAnsi="Arial" w:cs="Arial"/>
          <w:bCs/>
          <w:sz w:val="16"/>
          <w:szCs w:val="16"/>
        </w:rPr>
        <w:t>MHRA. Drug Safety Update. Mycop</w:t>
      </w:r>
      <w:r>
        <w:rPr>
          <w:rFonts w:ascii="Arial" w:eastAsia="Times New Roman" w:hAnsi="Arial" w:cs="Arial"/>
          <w:bCs/>
          <w:sz w:val="16"/>
          <w:szCs w:val="16"/>
        </w:rPr>
        <w:t>henolate m</w:t>
      </w:r>
      <w:r w:rsidRPr="00947B65">
        <w:rPr>
          <w:rFonts w:ascii="Arial" w:eastAsia="Times New Roman" w:hAnsi="Arial" w:cs="Arial"/>
          <w:bCs/>
          <w:sz w:val="16"/>
          <w:szCs w:val="16"/>
        </w:rPr>
        <w:t xml:space="preserve">ofetil, Mycophenolic acid: new pregnancy-prevention advice for women and men. Issued December 2015. Accessed </w:t>
      </w:r>
      <w:r>
        <w:rPr>
          <w:rFonts w:ascii="Arial" w:eastAsia="Times New Roman" w:hAnsi="Arial" w:cs="Arial"/>
          <w:bCs/>
          <w:sz w:val="16"/>
          <w:szCs w:val="16"/>
        </w:rPr>
        <w:t>February 2021</w:t>
      </w:r>
      <w:r w:rsidRPr="00947B65">
        <w:rPr>
          <w:rFonts w:ascii="Arial" w:eastAsia="Times New Roman" w:hAnsi="Arial" w:cs="Arial"/>
          <w:bCs/>
          <w:sz w:val="16"/>
          <w:szCs w:val="16"/>
        </w:rPr>
        <w:t>.</w:t>
      </w:r>
      <w:r>
        <w:rPr>
          <w:rFonts w:ascii="Arial" w:eastAsia="Times New Roman" w:hAnsi="Arial" w:cs="Arial"/>
          <w:bCs/>
          <w:sz w:val="16"/>
          <w:szCs w:val="16"/>
        </w:rPr>
        <w:t xml:space="preserve"> </w:t>
      </w:r>
      <w:hyperlink r:id="rId65" w:history="1">
        <w:r w:rsidRPr="00F34FEC">
          <w:rPr>
            <w:rStyle w:val="Hyperlink"/>
            <w:rFonts w:ascii="Arial" w:eastAsia="Times New Roman" w:hAnsi="Arial" w:cs="Arial"/>
            <w:bCs/>
            <w:sz w:val="16"/>
            <w:szCs w:val="16"/>
          </w:rPr>
          <w:t>https://www.gov.uk/drug-safety-update/mycophenolate-mofetil-mycophenolic-acid-new-pregnancy-prevention-advice-for-women-and-men</w:t>
        </w:r>
      </w:hyperlink>
    </w:p>
    <w:p w14:paraId="3B7EE73C"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MHRA. Drug Safety Update</w:t>
      </w:r>
      <w:r w:rsidRPr="00E153FE">
        <w:rPr>
          <w:rFonts w:ascii="Arial" w:eastAsia="Times New Roman" w:hAnsi="Arial" w:cs="Arial"/>
          <w:bCs/>
          <w:sz w:val="16"/>
          <w:szCs w:val="16"/>
        </w:rPr>
        <w:t>: Mycophenolate mofetil, mycophenolic acid: updated contraception advice for male patients (February 2018)</w:t>
      </w:r>
    </w:p>
    <w:p w14:paraId="0E79BF91" w14:textId="77777777" w:rsidR="004526B0" w:rsidRDefault="004526B0" w:rsidP="004526B0">
      <w:pPr>
        <w:keepNext/>
        <w:pBdr>
          <w:top w:val="single" w:sz="4" w:space="1" w:color="auto"/>
          <w:left w:val="single" w:sz="4" w:space="4" w:color="auto"/>
          <w:bottom w:val="single" w:sz="4" w:space="1" w:color="auto"/>
          <w:right w:val="single" w:sz="4" w:space="4" w:color="auto"/>
        </w:pBdr>
        <w:spacing w:after="0"/>
        <w:rPr>
          <w:rStyle w:val="Hyperlink"/>
          <w:rFonts w:ascii="Arial" w:eastAsia="Times New Roman" w:hAnsi="Arial" w:cs="Arial"/>
          <w:bCs/>
          <w:sz w:val="16"/>
          <w:szCs w:val="16"/>
        </w:rPr>
      </w:pPr>
      <w:r>
        <w:rPr>
          <w:rFonts w:ascii="Arial" w:eastAsia="Times New Roman" w:hAnsi="Arial" w:cs="Arial"/>
          <w:bCs/>
          <w:sz w:val="16"/>
          <w:szCs w:val="16"/>
        </w:rPr>
        <w:t xml:space="preserve">        </w:t>
      </w:r>
      <w:hyperlink r:id="rId66" w:history="1">
        <w:r w:rsidRPr="007F7F95">
          <w:rPr>
            <w:rStyle w:val="Hyperlink"/>
            <w:rFonts w:ascii="Arial" w:eastAsia="Times New Roman" w:hAnsi="Arial" w:cs="Arial"/>
            <w:bCs/>
            <w:sz w:val="16"/>
            <w:szCs w:val="16"/>
          </w:rPr>
          <w:t>https://www.gov.uk/drug-safety-update/mycophenolate-mofetil-mycophenolic-acid-updated-contraception-advice-for-male-patients</w:t>
        </w:r>
      </w:hyperlink>
    </w:p>
    <w:p w14:paraId="652B9DC8" w14:textId="06E4A999" w:rsidR="00FB56AF" w:rsidRDefault="00FB56AF" w:rsidP="004526B0">
      <w:pPr>
        <w:keepNext/>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FB56AF">
        <w:rPr>
          <w:rFonts w:ascii="Arial" w:eastAsia="Times New Roman" w:hAnsi="Arial" w:cs="Arial"/>
          <w:bCs/>
          <w:sz w:val="16"/>
          <w:szCs w:val="16"/>
        </w:rPr>
        <w:t>MHRA. Drug Safety Update: Medicines with teratogenic potential: what is effective contraception and how often is pregnancy testing needed? (March 2019) https://www.gov.uk/drug-safety-update/medicines-with-teratogenic-potential-what-is-effective-contraception-and-how-often-is-pregnancy-testing-needed</w:t>
      </w:r>
    </w:p>
    <w:p w14:paraId="282C7E61" w14:textId="77777777"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32FB8526" w14:textId="77777777" w:rsidR="00616BB8" w:rsidRDefault="00616BB8" w:rsidP="00CB147C">
      <w:pPr>
        <w:autoSpaceDE w:val="0"/>
        <w:autoSpaceDN w:val="0"/>
        <w:adjustRightInd w:val="0"/>
        <w:spacing w:after="0"/>
        <w:contextualSpacing/>
        <w:jc w:val="both"/>
        <w:rPr>
          <w:rFonts w:ascii="Arial" w:hAnsi="Arial" w:cs="Arial"/>
        </w:rPr>
      </w:pPr>
    </w:p>
    <w:p w14:paraId="723AD8D4" w14:textId="77777777" w:rsidR="00616BB8" w:rsidRDefault="00616BB8" w:rsidP="00CB147C">
      <w:pPr>
        <w:autoSpaceDE w:val="0"/>
        <w:autoSpaceDN w:val="0"/>
        <w:adjustRightInd w:val="0"/>
        <w:spacing w:after="0"/>
        <w:contextualSpacing/>
        <w:jc w:val="both"/>
        <w:rPr>
          <w:rFonts w:ascii="Arial" w:hAnsi="Arial" w:cs="Arial"/>
        </w:rPr>
      </w:pPr>
    </w:p>
    <w:p w14:paraId="11251B2B" w14:textId="77777777" w:rsidR="00C5458F" w:rsidRPr="00C5458F" w:rsidRDefault="00C5458F" w:rsidP="003559D9">
      <w:pPr>
        <w:autoSpaceDE w:val="0"/>
        <w:autoSpaceDN w:val="0"/>
        <w:adjustRightInd w:val="0"/>
        <w:spacing w:after="0"/>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3F779D" w:rsidRPr="00BE665A" w14:paraId="46BA916E" w14:textId="77777777" w:rsidTr="00992C71">
        <w:tc>
          <w:tcPr>
            <w:tcW w:w="1976" w:type="dxa"/>
            <w:shd w:val="clear" w:color="auto" w:fill="auto"/>
          </w:tcPr>
          <w:p w14:paraId="2811336D" w14:textId="77777777" w:rsidR="003F779D" w:rsidRPr="00BE665A" w:rsidRDefault="003F779D" w:rsidP="00992C71">
            <w:pPr>
              <w:rPr>
                <w:rFonts w:ascii="Arial" w:eastAsia="Arial" w:hAnsi="Arial" w:cs="Arial"/>
                <w:color w:val="000000"/>
                <w:sz w:val="15"/>
                <w:szCs w:val="15"/>
              </w:rPr>
            </w:pPr>
            <w:bookmarkStart w:id="3" w:name="_Hlk151993954"/>
            <w:r w:rsidRPr="00BE665A">
              <w:rPr>
                <w:rFonts w:ascii="Arial" w:eastAsia="Arial" w:hAnsi="Arial" w:cs="Arial"/>
                <w:color w:val="000000"/>
                <w:sz w:val="15"/>
                <w:szCs w:val="15"/>
              </w:rPr>
              <w:t xml:space="preserve">Version </w:t>
            </w:r>
          </w:p>
        </w:tc>
        <w:tc>
          <w:tcPr>
            <w:tcW w:w="8509" w:type="dxa"/>
          </w:tcPr>
          <w:p w14:paraId="10761F5B" w14:textId="4E4B54D0" w:rsidR="00E20196" w:rsidRDefault="00E20196" w:rsidP="00992C71">
            <w:pPr>
              <w:rPr>
                <w:rFonts w:ascii="Arial" w:eastAsia="Arial" w:hAnsi="Arial" w:cs="Arial"/>
                <w:sz w:val="15"/>
                <w:szCs w:val="15"/>
              </w:rPr>
            </w:pPr>
            <w:r>
              <w:rPr>
                <w:rFonts w:ascii="Arial" w:eastAsia="Arial" w:hAnsi="Arial" w:cs="Arial"/>
                <w:sz w:val="15"/>
                <w:szCs w:val="15"/>
              </w:rPr>
              <w:t>2.2 Updated in line with new shared care protocol template May 2025</w:t>
            </w:r>
          </w:p>
          <w:p w14:paraId="5ADEF49D" w14:textId="3D736F00" w:rsidR="00CC3B9F" w:rsidRDefault="00CC3B9F"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36EE9505" w14:textId="6E4EAA0F" w:rsidR="003F779D" w:rsidRPr="00BE665A" w:rsidRDefault="0004557E" w:rsidP="00992C71">
            <w:pPr>
              <w:rPr>
                <w:rFonts w:ascii="Arial" w:eastAsia="Arial" w:hAnsi="Arial" w:cs="Arial"/>
                <w:sz w:val="15"/>
                <w:szCs w:val="15"/>
              </w:rPr>
            </w:pPr>
            <w:r>
              <w:rPr>
                <w:rFonts w:ascii="Arial" w:eastAsia="Arial" w:hAnsi="Arial" w:cs="Arial"/>
                <w:sz w:val="15"/>
                <w:szCs w:val="15"/>
              </w:rPr>
              <w:t xml:space="preserve">2.0 </w:t>
            </w:r>
            <w:r w:rsidR="003F779D" w:rsidRPr="00BE665A">
              <w:rPr>
                <w:rFonts w:ascii="Arial" w:eastAsia="Arial" w:hAnsi="Arial" w:cs="Arial"/>
                <w:sz w:val="15"/>
                <w:szCs w:val="15"/>
              </w:rPr>
              <w:t xml:space="preserve">Harmonisation of </w:t>
            </w:r>
            <w:r w:rsidR="003F779D" w:rsidRPr="00A144AD">
              <w:rPr>
                <w:rFonts w:ascii="Arial" w:eastAsia="Arial" w:hAnsi="Arial" w:cs="Arial"/>
                <w:sz w:val="15"/>
                <w:szCs w:val="15"/>
              </w:rPr>
              <w:t xml:space="preserve">Hertfordshire Medicines Management Committee </w:t>
            </w:r>
            <w:r w:rsidR="003F779D">
              <w:rPr>
                <w:rFonts w:ascii="Arial" w:eastAsia="Arial" w:hAnsi="Arial" w:cs="Arial"/>
                <w:sz w:val="15"/>
                <w:szCs w:val="15"/>
              </w:rPr>
              <w:t xml:space="preserve">(HMMC) </w:t>
            </w:r>
            <w:r w:rsidR="003F779D" w:rsidRPr="00A144AD">
              <w:rPr>
                <w:rFonts w:ascii="Arial" w:eastAsia="Arial" w:hAnsi="Arial" w:cs="Arial"/>
                <w:sz w:val="15"/>
                <w:szCs w:val="15"/>
              </w:rPr>
              <w:t xml:space="preserve">guidance </w:t>
            </w:r>
            <w:r w:rsidR="003F779D">
              <w:rPr>
                <w:rFonts w:ascii="Arial" w:eastAsia="Arial" w:hAnsi="Arial" w:cs="Arial"/>
                <w:sz w:val="15"/>
                <w:szCs w:val="15"/>
              </w:rPr>
              <w:t xml:space="preserve">and </w:t>
            </w:r>
            <w:r w:rsidR="003F779D" w:rsidRPr="00820C02">
              <w:rPr>
                <w:rFonts w:ascii="Arial" w:eastAsia="Arial" w:hAnsi="Arial" w:cs="Arial"/>
                <w:sz w:val="15"/>
                <w:szCs w:val="15"/>
              </w:rPr>
              <w:t xml:space="preserve">West Essex Medicines Optimisation Programme Board (WEMOPB) guidance </w:t>
            </w:r>
            <w:r w:rsidR="003F779D" w:rsidRPr="00BE665A">
              <w:rPr>
                <w:rFonts w:ascii="Arial" w:eastAsia="Arial" w:hAnsi="Arial" w:cs="Arial"/>
                <w:sz w:val="15"/>
                <w:szCs w:val="15"/>
              </w:rPr>
              <w:t>updates include:</w:t>
            </w:r>
          </w:p>
          <w:p w14:paraId="79D7B209" w14:textId="7412D8A3" w:rsidR="003F779D" w:rsidRPr="00BE665A" w:rsidRDefault="003F779D">
            <w:pPr>
              <w:numPr>
                <w:ilvl w:val="0"/>
                <w:numId w:val="20"/>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sidR="0004557E">
              <w:rPr>
                <w:rFonts w:ascii="Arial" w:hAnsi="Arial" w:cs="Arial"/>
                <w:sz w:val="15"/>
                <w:szCs w:val="15"/>
              </w:rPr>
              <w:t xml:space="preserve">Trust and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62D5FF93" w14:textId="087D18A6" w:rsidR="0008179D" w:rsidRPr="00AE33BC" w:rsidRDefault="003F779D" w:rsidP="00AE33BC">
            <w:pPr>
              <w:numPr>
                <w:ilvl w:val="0"/>
                <w:numId w:val="20"/>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r w:rsidR="0004557E">
              <w:rPr>
                <w:sz w:val="15"/>
                <w:szCs w:val="15"/>
              </w:rPr>
              <w:t xml:space="preserve"> </w:t>
            </w:r>
          </w:p>
        </w:tc>
      </w:tr>
      <w:tr w:rsidR="003F779D" w:rsidRPr="00BE665A" w14:paraId="1AB36493" w14:textId="77777777" w:rsidTr="00992C71">
        <w:tc>
          <w:tcPr>
            <w:tcW w:w="1976" w:type="dxa"/>
            <w:shd w:val="clear" w:color="auto" w:fill="auto"/>
          </w:tcPr>
          <w:p w14:paraId="7E69F96E" w14:textId="77777777" w:rsidR="003F779D" w:rsidRDefault="003F779D" w:rsidP="003F779D">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4292F44F" w14:textId="6F48AE01" w:rsidR="003F779D" w:rsidRDefault="0004557E" w:rsidP="003F779D">
            <w:pPr>
              <w:rPr>
                <w:rFonts w:ascii="Arial" w:eastAsia="Arial" w:hAnsi="Arial" w:cs="Arial"/>
                <w:sz w:val="15"/>
                <w:szCs w:val="15"/>
              </w:rPr>
            </w:pPr>
            <w:r w:rsidRPr="0004557E">
              <w:rPr>
                <w:rFonts w:ascii="Arial" w:eastAsia="Arial" w:hAnsi="Arial" w:cs="Arial"/>
                <w:sz w:val="15"/>
                <w:szCs w:val="15"/>
              </w:rPr>
              <w:t>East and North Hertfordshire NHS Trust Pharmacy department and relevant specialisms supported by Hertfordshire CCGs Pharmacy and Medicines Optimisation Teams</w:t>
            </w:r>
          </w:p>
        </w:tc>
      </w:tr>
      <w:tr w:rsidR="003F779D" w:rsidRPr="00BE665A" w14:paraId="5D42BDC3" w14:textId="77777777" w:rsidTr="00992C71">
        <w:tc>
          <w:tcPr>
            <w:tcW w:w="1976" w:type="dxa"/>
            <w:shd w:val="clear" w:color="auto" w:fill="auto"/>
          </w:tcPr>
          <w:p w14:paraId="6F262820" w14:textId="77777777" w:rsidR="003F779D" w:rsidRPr="00BE665A" w:rsidRDefault="003F779D" w:rsidP="003F779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25DE53D4" w14:textId="77777777" w:rsidR="003F779D" w:rsidRDefault="003F779D" w:rsidP="003F779D">
            <w:pPr>
              <w:rPr>
                <w:rFonts w:ascii="Arial" w:eastAsia="Arial" w:hAnsi="Arial" w:cs="Arial"/>
                <w:sz w:val="15"/>
                <w:szCs w:val="15"/>
              </w:rPr>
            </w:pPr>
            <w:r>
              <w:rPr>
                <w:rFonts w:ascii="Arial" w:eastAsia="Arial" w:hAnsi="Arial" w:cs="Arial"/>
                <w:sz w:val="15"/>
                <w:szCs w:val="15"/>
              </w:rPr>
              <w:t>HMMC</w:t>
            </w:r>
          </w:p>
        </w:tc>
      </w:tr>
      <w:tr w:rsidR="003F779D" w:rsidRPr="00BE665A" w14:paraId="465D5AFB" w14:textId="77777777" w:rsidTr="00992C71">
        <w:tc>
          <w:tcPr>
            <w:tcW w:w="1976" w:type="dxa"/>
            <w:shd w:val="clear" w:color="auto" w:fill="auto"/>
          </w:tcPr>
          <w:p w14:paraId="6476C232"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3B04E8A2" w14:textId="42C58A0E" w:rsidR="003F779D" w:rsidRPr="003F779D" w:rsidRDefault="0004557E" w:rsidP="003F779D">
            <w:pPr>
              <w:rPr>
                <w:rFonts w:ascii="Arial" w:eastAsia="Arial" w:hAnsi="Arial" w:cs="Arial"/>
                <w:sz w:val="15"/>
                <w:szCs w:val="15"/>
              </w:rPr>
            </w:pPr>
            <w:r>
              <w:rPr>
                <w:rFonts w:ascii="Arial" w:eastAsia="Arial" w:hAnsi="Arial" w:cs="Arial"/>
                <w:sz w:val="15"/>
                <w:szCs w:val="15"/>
              </w:rPr>
              <w:t>May</w:t>
            </w:r>
            <w:r w:rsidR="00903ED0">
              <w:rPr>
                <w:rFonts w:ascii="Arial" w:eastAsia="Arial" w:hAnsi="Arial" w:cs="Arial"/>
                <w:sz w:val="15"/>
                <w:szCs w:val="15"/>
              </w:rPr>
              <w:t xml:space="preserve"> 2021</w:t>
            </w:r>
          </w:p>
        </w:tc>
      </w:tr>
      <w:tr w:rsidR="003F779D" w:rsidRPr="00BE665A" w14:paraId="6A2039F3" w14:textId="77777777" w:rsidTr="00992C71">
        <w:tc>
          <w:tcPr>
            <w:tcW w:w="1976" w:type="dxa"/>
            <w:shd w:val="clear" w:color="auto" w:fill="auto"/>
          </w:tcPr>
          <w:p w14:paraId="067817A5"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82FBADB" w14:textId="77777777" w:rsidR="003F779D" w:rsidRPr="00BE665A" w:rsidRDefault="003F779D" w:rsidP="003F779D">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F779D" w:rsidRPr="00BE665A" w14:paraId="6421B557" w14:textId="77777777" w:rsidTr="00992C71">
        <w:tc>
          <w:tcPr>
            <w:tcW w:w="1976" w:type="dxa"/>
            <w:shd w:val="clear" w:color="auto" w:fill="auto"/>
          </w:tcPr>
          <w:p w14:paraId="715C09AC" w14:textId="77777777" w:rsidR="003F779D" w:rsidRPr="00BE665A" w:rsidRDefault="003F779D" w:rsidP="003F779D">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0CD52E9B" w14:textId="77777777" w:rsidR="0008179D" w:rsidRDefault="0004557E" w:rsidP="0008179D">
            <w:pPr>
              <w:rPr>
                <w:rFonts w:ascii="Arial" w:eastAsia="Arial" w:hAnsi="Arial" w:cs="Arial"/>
                <w:sz w:val="15"/>
                <w:szCs w:val="15"/>
              </w:rPr>
            </w:pPr>
            <w:r>
              <w:rPr>
                <w:rFonts w:ascii="Arial" w:eastAsia="Arial" w:hAnsi="Arial" w:cs="Arial"/>
                <w:sz w:val="15"/>
                <w:szCs w:val="15"/>
              </w:rPr>
              <w:t>1.0</w:t>
            </w:r>
            <w:r w:rsidR="0008179D">
              <w:rPr>
                <w:rFonts w:ascii="Arial" w:eastAsia="Arial" w:hAnsi="Arial" w:cs="Arial"/>
                <w:sz w:val="15"/>
                <w:szCs w:val="15"/>
              </w:rPr>
              <w:t xml:space="preserve">   </w:t>
            </w:r>
          </w:p>
          <w:p w14:paraId="4B8255DD" w14:textId="25DF9148" w:rsidR="0008179D" w:rsidRPr="00081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Addition of recommendation for Covid-19 vaccination and lymphocyte monitoring</w:t>
            </w:r>
          </w:p>
          <w:p w14:paraId="34E92A86" w14:textId="77777777" w:rsidR="003F7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Amendment of Phase II monitoring in line with</w:t>
            </w:r>
            <w:r>
              <w:rPr>
                <w:rFonts w:ascii="Arial" w:eastAsia="Arial" w:hAnsi="Arial" w:cs="Arial"/>
                <w:sz w:val="15"/>
                <w:szCs w:val="15"/>
              </w:rPr>
              <w:t xml:space="preserve"> wording agreed HWE APC February 2024</w:t>
            </w:r>
          </w:p>
          <w:p w14:paraId="1984310E" w14:textId="4F52A406"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cervical screening in specialist and patient responsibilities.</w:t>
            </w:r>
          </w:p>
          <w:p w14:paraId="007BD1F6" w14:textId="77777777"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sun protection under patient responsibilities</w:t>
            </w:r>
          </w:p>
          <w:p w14:paraId="5927824B" w14:textId="77777777" w:rsidR="00AE33BC" w:rsidRDefault="00AE33BC" w:rsidP="0008179D">
            <w:pPr>
              <w:pStyle w:val="ListParagraph"/>
              <w:numPr>
                <w:ilvl w:val="0"/>
                <w:numId w:val="21"/>
              </w:numPr>
              <w:rPr>
                <w:rFonts w:ascii="Arial" w:eastAsia="Arial" w:hAnsi="Arial" w:cs="Arial"/>
                <w:sz w:val="15"/>
                <w:szCs w:val="15"/>
              </w:rPr>
            </w:pPr>
            <w:r>
              <w:rPr>
                <w:rFonts w:ascii="Arial" w:eastAsia="Arial" w:hAnsi="Arial" w:cs="Arial"/>
                <w:sz w:val="15"/>
                <w:szCs w:val="15"/>
              </w:rPr>
              <w:t xml:space="preserve">Addition of lymphocyte </w:t>
            </w:r>
            <w:r w:rsidR="002B3320">
              <w:rPr>
                <w:rFonts w:ascii="Arial" w:eastAsia="Arial" w:hAnsi="Arial" w:cs="Arial"/>
                <w:sz w:val="15"/>
                <w:szCs w:val="15"/>
              </w:rPr>
              <w:t xml:space="preserve">action </w:t>
            </w:r>
            <w:r w:rsidR="00167BC8">
              <w:rPr>
                <w:rFonts w:ascii="Arial" w:eastAsia="Arial" w:hAnsi="Arial" w:cs="Arial"/>
                <w:sz w:val="15"/>
                <w:szCs w:val="15"/>
              </w:rPr>
              <w:t>if result abnormal</w:t>
            </w:r>
          </w:p>
          <w:p w14:paraId="782485E7" w14:textId="77777777" w:rsidR="00672F35" w:rsidRDefault="00672F35" w:rsidP="0008179D">
            <w:pPr>
              <w:pStyle w:val="ListParagraph"/>
              <w:numPr>
                <w:ilvl w:val="0"/>
                <w:numId w:val="21"/>
              </w:numPr>
              <w:rPr>
                <w:rFonts w:ascii="Arial" w:eastAsia="Arial" w:hAnsi="Arial" w:cs="Arial"/>
                <w:sz w:val="15"/>
                <w:szCs w:val="15"/>
              </w:rPr>
            </w:pPr>
            <w:r w:rsidRPr="00672F35">
              <w:rPr>
                <w:rFonts w:ascii="Arial" w:eastAsia="Arial" w:hAnsi="Arial" w:cs="Arial"/>
                <w:sz w:val="15"/>
                <w:szCs w:val="15"/>
              </w:rPr>
              <w:t>Addition of GP responsibilities Specialist Interest in Rheumatology (for West Essex patients under the care of Princess Alexandra Hospital</w:t>
            </w:r>
            <w:r>
              <w:rPr>
                <w:rFonts w:ascii="Arial" w:eastAsia="Arial" w:hAnsi="Arial" w:cs="Arial"/>
                <w:sz w:val="15"/>
                <w:szCs w:val="15"/>
              </w:rPr>
              <w:t>)</w:t>
            </w:r>
            <w:r w:rsidRPr="00672F35">
              <w:rPr>
                <w:rFonts w:ascii="Arial" w:eastAsia="Arial" w:hAnsi="Arial" w:cs="Arial"/>
                <w:sz w:val="15"/>
                <w:szCs w:val="15"/>
              </w:rPr>
              <w:t xml:space="preserve"> agreed at WEMOPB Oct 2017</w:t>
            </w:r>
          </w:p>
          <w:p w14:paraId="7D1E06A7" w14:textId="77777777" w:rsidR="00FB56AF" w:rsidRPr="00FB56AF" w:rsidRDefault="00FB56AF" w:rsidP="00FB56AF">
            <w:pPr>
              <w:pStyle w:val="ListParagraph"/>
              <w:numPr>
                <w:ilvl w:val="0"/>
                <w:numId w:val="21"/>
              </w:numPr>
              <w:rPr>
                <w:rFonts w:ascii="Arial" w:eastAsia="Arial" w:hAnsi="Arial" w:cs="Arial"/>
                <w:sz w:val="15"/>
                <w:szCs w:val="15"/>
              </w:rPr>
            </w:pPr>
            <w:r w:rsidRPr="00FB56AF">
              <w:rPr>
                <w:rFonts w:ascii="Arial" w:eastAsia="Arial" w:hAnsi="Arial" w:cs="Arial"/>
                <w:sz w:val="15"/>
                <w:szCs w:val="15"/>
              </w:rPr>
              <w:t>Amendment in line with MHRA guidance for contraceptive recommendations</w:t>
            </w:r>
          </w:p>
          <w:p w14:paraId="72EC08FD" w14:textId="460DE3F1" w:rsidR="00616BB8" w:rsidRPr="0008179D" w:rsidRDefault="00616BB8" w:rsidP="0008179D">
            <w:pPr>
              <w:pStyle w:val="ListParagraph"/>
              <w:numPr>
                <w:ilvl w:val="0"/>
                <w:numId w:val="21"/>
              </w:numPr>
              <w:rPr>
                <w:rFonts w:ascii="Arial" w:eastAsia="Arial" w:hAnsi="Arial" w:cs="Arial"/>
                <w:sz w:val="15"/>
                <w:szCs w:val="15"/>
              </w:rPr>
            </w:pPr>
            <w:r w:rsidRPr="00616BB8">
              <w:rPr>
                <w:rFonts w:ascii="Arial" w:eastAsia="Arial" w:hAnsi="Arial" w:cs="Arial"/>
                <w:sz w:val="15"/>
                <w:szCs w:val="15"/>
              </w:rPr>
              <w:t>Clarity on antibiotic use and infections under Contraindications and precautions section.</w:t>
            </w:r>
          </w:p>
        </w:tc>
      </w:tr>
      <w:bookmarkEnd w:id="3"/>
    </w:tbl>
    <w:p w14:paraId="0B06F676" w14:textId="77777777" w:rsidR="00C62913" w:rsidRPr="00C74787" w:rsidRDefault="00C62913" w:rsidP="00CB147C">
      <w:pPr>
        <w:autoSpaceDE w:val="0"/>
        <w:autoSpaceDN w:val="0"/>
        <w:adjustRightInd w:val="0"/>
        <w:spacing w:after="0"/>
        <w:contextualSpacing/>
        <w:jc w:val="both"/>
        <w:rPr>
          <w:rFonts w:ascii="Arial" w:hAnsi="Arial" w:cs="Arial"/>
          <w:color w:val="000000"/>
          <w:sz w:val="2"/>
          <w:lang w:eastAsia="en-GB"/>
        </w:rPr>
      </w:pPr>
    </w:p>
    <w:sectPr w:rsidR="00C62913" w:rsidRPr="00C74787" w:rsidSect="00E20196">
      <w:headerReference w:type="default" r:id="rId67"/>
      <w:footerReference w:type="default" r:id="rId68"/>
      <w:headerReference w:type="first" r:id="rId69"/>
      <w:footerReference w:type="first" r:id="rId70"/>
      <w:pgSz w:w="11907" w:h="16840" w:code="9"/>
      <w:pgMar w:top="720" w:right="720" w:bottom="720" w:left="720" w:header="17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8A74" w14:textId="77777777" w:rsidR="00470613" w:rsidRDefault="00470613" w:rsidP="006F4129">
      <w:pPr>
        <w:spacing w:after="0"/>
      </w:pPr>
      <w:r>
        <w:separator/>
      </w:r>
    </w:p>
  </w:endnote>
  <w:endnote w:type="continuationSeparator" w:id="0">
    <w:p w14:paraId="2F514FB6" w14:textId="77777777" w:rsidR="00470613" w:rsidRDefault="00470613" w:rsidP="006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3AAA97A9" w:rsidR="00D95A4B" w:rsidRPr="001A6B58" w:rsidRDefault="00702FB6">
    <w:pPr>
      <w:pStyle w:val="Footer"/>
      <w:rPr>
        <w:rFonts w:ascii="Arial" w:hAnsi="Arial" w:cs="Arial"/>
        <w:sz w:val="18"/>
      </w:rPr>
    </w:pPr>
    <w:r w:rsidRPr="00702FB6">
      <w:rPr>
        <w:rFonts w:ascii="Arial" w:eastAsia="Times New Roman" w:hAnsi="Arial" w:cs="Times New Roman"/>
        <w:sz w:val="16"/>
        <w:szCs w:val="28"/>
      </w:rPr>
      <w:t xml:space="preserve">Mycophenolate mofetil Shared Care Protocol </w:t>
    </w:r>
    <w:r w:rsidR="00E20196">
      <w:rPr>
        <w:rFonts w:ascii="Arial" w:eastAsia="Times New Roman" w:hAnsi="Arial" w:cs="Times New Roman"/>
        <w:sz w:val="16"/>
        <w:szCs w:val="28"/>
      </w:rPr>
      <w:t>May 2025</w:t>
    </w:r>
    <w:r w:rsidRPr="00702FB6">
      <w:rPr>
        <w:rFonts w:ascii="Arial" w:eastAsia="Times New Roman" w:hAnsi="Arial" w:cs="Times New Roman"/>
        <w:sz w:val="16"/>
        <w:szCs w:val="28"/>
      </w:rPr>
      <w:t xml:space="preserve"> Guideline number 6 Version 2</w:t>
    </w:r>
    <w:r w:rsidR="00CC3B9F">
      <w:rPr>
        <w:rFonts w:ascii="Arial" w:eastAsia="Times New Roman" w:hAnsi="Arial" w:cs="Times New Roman"/>
        <w:sz w:val="16"/>
        <w:szCs w:val="28"/>
      </w:rPr>
      <w:t>.</w:t>
    </w:r>
    <w:r w:rsidR="00E20196">
      <w:rPr>
        <w:rFonts w:ascii="Arial" w:eastAsia="Times New Roman" w:hAnsi="Arial" w:cs="Times New Roman"/>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D0995A2" w:rsidR="00D95A4B" w:rsidRDefault="009E4D84" w:rsidP="00B11AF0">
    <w:pPr>
      <w:pStyle w:val="Footer"/>
      <w:pBdr>
        <w:top w:val="single" w:sz="4" w:space="1" w:color="auto"/>
      </w:pBdr>
      <w:tabs>
        <w:tab w:val="center" w:pos="4678"/>
        <w:tab w:val="right" w:pos="9639"/>
      </w:tabs>
      <w:rPr>
        <w:sz w:val="20"/>
      </w:rPr>
    </w:pPr>
    <w:bookmarkStart w:id="4" w:name="_Hlk164439675"/>
    <w:r w:rsidRPr="00702FB6">
      <w:rPr>
        <w:rFonts w:ascii="Arial" w:eastAsia="Times New Roman" w:hAnsi="Arial" w:cs="Times New Roman"/>
        <w:sz w:val="16"/>
        <w:szCs w:val="28"/>
      </w:rPr>
      <w:t>Mycophenolate</w:t>
    </w:r>
    <w:r w:rsidR="00702FB6" w:rsidRPr="00702FB6">
      <w:rPr>
        <w:rFonts w:ascii="Arial" w:eastAsia="Times New Roman" w:hAnsi="Arial" w:cs="Times New Roman"/>
        <w:sz w:val="16"/>
        <w:szCs w:val="28"/>
      </w:rPr>
      <w:t xml:space="preserve"> mofetil</w:t>
    </w:r>
    <w:r w:rsidR="0072705F" w:rsidRPr="00702FB6">
      <w:rPr>
        <w:rFonts w:ascii="Arial" w:eastAsia="Times New Roman" w:hAnsi="Arial" w:cs="Times New Roman"/>
        <w:sz w:val="16"/>
        <w:szCs w:val="28"/>
      </w:rPr>
      <w:t xml:space="preserve"> </w:t>
    </w:r>
    <w:r w:rsidR="00D95A4B" w:rsidRPr="00702FB6">
      <w:rPr>
        <w:rFonts w:ascii="Arial" w:eastAsia="Times New Roman" w:hAnsi="Arial" w:cs="Times New Roman"/>
        <w:sz w:val="16"/>
        <w:szCs w:val="28"/>
      </w:rPr>
      <w:t xml:space="preserve">Shared Care Protocol </w:t>
    </w:r>
    <w:r w:rsidR="00E20196">
      <w:rPr>
        <w:rFonts w:ascii="Arial" w:eastAsia="Times New Roman" w:hAnsi="Arial" w:cs="Times New Roman"/>
        <w:sz w:val="16"/>
        <w:szCs w:val="28"/>
      </w:rPr>
      <w:t>May 2025</w:t>
    </w:r>
    <w:r w:rsidR="00702FB6" w:rsidRPr="00702FB6">
      <w:rPr>
        <w:rFonts w:ascii="Arial" w:eastAsia="Times New Roman" w:hAnsi="Arial" w:cs="Times New Roman"/>
        <w:sz w:val="16"/>
        <w:szCs w:val="28"/>
      </w:rPr>
      <w:t xml:space="preserve"> Guideline number 6 Version 2</w:t>
    </w:r>
    <w:bookmarkEnd w:id="4"/>
    <w:r w:rsidR="00CC3B9F">
      <w:rPr>
        <w:rFonts w:ascii="Arial" w:eastAsia="Times New Roman" w:hAnsi="Arial" w:cs="Times New Roman"/>
        <w:sz w:val="16"/>
        <w:szCs w:val="28"/>
      </w:rPr>
      <w:t>.</w:t>
    </w:r>
    <w:r w:rsidR="00E20196">
      <w:rPr>
        <w:rFonts w:ascii="Arial" w:eastAsia="Times New Roman" w:hAnsi="Arial" w:cs="Times New Roman"/>
        <w:sz w:val="16"/>
        <w:szCs w:val="28"/>
      </w:rPr>
      <w:t>2</w:t>
    </w:r>
    <w:r w:rsidR="00EA6396">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1C45" w14:textId="77777777" w:rsidR="00470613" w:rsidRDefault="00470613" w:rsidP="006F4129">
      <w:pPr>
        <w:spacing w:after="0"/>
      </w:pPr>
      <w:r>
        <w:separator/>
      </w:r>
    </w:p>
  </w:footnote>
  <w:footnote w:type="continuationSeparator" w:id="0">
    <w:p w14:paraId="3E5BC1A3" w14:textId="77777777" w:rsidR="00470613" w:rsidRDefault="00470613" w:rsidP="006F4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F5A16"/>
    <w:multiLevelType w:val="hybridMultilevel"/>
    <w:tmpl w:val="AB7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662DC"/>
    <w:multiLevelType w:val="hybridMultilevel"/>
    <w:tmpl w:val="975AF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4D36E2"/>
    <w:multiLevelType w:val="hybridMultilevel"/>
    <w:tmpl w:val="705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8"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BE0A1B"/>
    <w:multiLevelType w:val="hybridMultilevel"/>
    <w:tmpl w:val="A1F6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EE66CF"/>
    <w:multiLevelType w:val="hybridMultilevel"/>
    <w:tmpl w:val="DE8A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3977AC"/>
    <w:multiLevelType w:val="hybridMultilevel"/>
    <w:tmpl w:val="A01E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930742"/>
    <w:multiLevelType w:val="hybridMultilevel"/>
    <w:tmpl w:val="D06C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B230A2"/>
    <w:multiLevelType w:val="hybridMultilevel"/>
    <w:tmpl w:val="C3FE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20700">
    <w:abstractNumId w:val="7"/>
  </w:num>
  <w:num w:numId="2" w16cid:durableId="1709572495">
    <w:abstractNumId w:val="13"/>
  </w:num>
  <w:num w:numId="3" w16cid:durableId="1577058697">
    <w:abstractNumId w:val="16"/>
  </w:num>
  <w:num w:numId="4" w16cid:durableId="1067260621">
    <w:abstractNumId w:val="14"/>
  </w:num>
  <w:num w:numId="5" w16cid:durableId="180434222">
    <w:abstractNumId w:val="1"/>
  </w:num>
  <w:num w:numId="6" w16cid:durableId="745223915">
    <w:abstractNumId w:val="15"/>
  </w:num>
  <w:num w:numId="7" w16cid:durableId="1518233034">
    <w:abstractNumId w:val="2"/>
  </w:num>
  <w:num w:numId="8" w16cid:durableId="1882550741">
    <w:abstractNumId w:val="8"/>
  </w:num>
  <w:num w:numId="9" w16cid:durableId="463276515">
    <w:abstractNumId w:val="0"/>
  </w:num>
  <w:num w:numId="10" w16cid:durableId="2131631136">
    <w:abstractNumId w:val="19"/>
  </w:num>
  <w:num w:numId="11" w16cid:durableId="85855005">
    <w:abstractNumId w:val="3"/>
  </w:num>
  <w:num w:numId="12" w16cid:durableId="264075352">
    <w:abstractNumId w:val="12"/>
  </w:num>
  <w:num w:numId="13" w16cid:durableId="299849708">
    <w:abstractNumId w:val="18"/>
  </w:num>
  <w:num w:numId="14" w16cid:durableId="1558279540">
    <w:abstractNumId w:val="5"/>
  </w:num>
  <w:num w:numId="15" w16cid:durableId="1065109185">
    <w:abstractNumId w:val="20"/>
  </w:num>
  <w:num w:numId="16" w16cid:durableId="559562114">
    <w:abstractNumId w:val="10"/>
  </w:num>
  <w:num w:numId="17" w16cid:durableId="1669670302">
    <w:abstractNumId w:val="17"/>
  </w:num>
  <w:num w:numId="18" w16cid:durableId="1303194504">
    <w:abstractNumId w:val="11"/>
  </w:num>
  <w:num w:numId="19" w16cid:durableId="857045259">
    <w:abstractNumId w:val="9"/>
  </w:num>
  <w:num w:numId="20" w16cid:durableId="1306156086">
    <w:abstractNumId w:val="21"/>
  </w:num>
  <w:num w:numId="21" w16cid:durableId="366562626">
    <w:abstractNumId w:val="4"/>
  </w:num>
  <w:num w:numId="22" w16cid:durableId="16226109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NNLGiYzIooRz96bfDjf2niV0SkgS+WKfEB7AqPPoXvHVdJwfafJgjcBBpCjWHpnyayhNhdPDIFfj8i4so+qVmw==" w:salt="I0dUJboa6Kjomq0bJNoTkQ=="/>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6F06"/>
    <w:rsid w:val="00007DF6"/>
    <w:rsid w:val="00015A9D"/>
    <w:rsid w:val="0001635D"/>
    <w:rsid w:val="00020DF8"/>
    <w:rsid w:val="00027FBB"/>
    <w:rsid w:val="00033131"/>
    <w:rsid w:val="000349CF"/>
    <w:rsid w:val="00040BCE"/>
    <w:rsid w:val="0004557E"/>
    <w:rsid w:val="00051449"/>
    <w:rsid w:val="00061E36"/>
    <w:rsid w:val="0006405F"/>
    <w:rsid w:val="000664A4"/>
    <w:rsid w:val="000678AD"/>
    <w:rsid w:val="0008179D"/>
    <w:rsid w:val="00081B1B"/>
    <w:rsid w:val="000833DA"/>
    <w:rsid w:val="000902EE"/>
    <w:rsid w:val="00090C38"/>
    <w:rsid w:val="00097D24"/>
    <w:rsid w:val="000A3722"/>
    <w:rsid w:val="000C09A9"/>
    <w:rsid w:val="000C2DB5"/>
    <w:rsid w:val="000C7F57"/>
    <w:rsid w:val="000D455C"/>
    <w:rsid w:val="000D7991"/>
    <w:rsid w:val="000E1FD2"/>
    <w:rsid w:val="000F0B54"/>
    <w:rsid w:val="000F1F7F"/>
    <w:rsid w:val="00116B64"/>
    <w:rsid w:val="00121068"/>
    <w:rsid w:val="00122599"/>
    <w:rsid w:val="00141F69"/>
    <w:rsid w:val="0015736E"/>
    <w:rsid w:val="00167BC8"/>
    <w:rsid w:val="00181294"/>
    <w:rsid w:val="001A17F5"/>
    <w:rsid w:val="001A3040"/>
    <w:rsid w:val="001A3A49"/>
    <w:rsid w:val="001A6B58"/>
    <w:rsid w:val="001B4F65"/>
    <w:rsid w:val="001B6128"/>
    <w:rsid w:val="001B6917"/>
    <w:rsid w:val="001B7240"/>
    <w:rsid w:val="001C0E58"/>
    <w:rsid w:val="001C72F0"/>
    <w:rsid w:val="001D735A"/>
    <w:rsid w:val="001D75EA"/>
    <w:rsid w:val="002006A3"/>
    <w:rsid w:val="002026D4"/>
    <w:rsid w:val="00216557"/>
    <w:rsid w:val="0022594E"/>
    <w:rsid w:val="00234740"/>
    <w:rsid w:val="002561D9"/>
    <w:rsid w:val="0026584D"/>
    <w:rsid w:val="00274684"/>
    <w:rsid w:val="00281A3C"/>
    <w:rsid w:val="002954B6"/>
    <w:rsid w:val="002A009B"/>
    <w:rsid w:val="002A2513"/>
    <w:rsid w:val="002B0C19"/>
    <w:rsid w:val="002B3320"/>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B6537"/>
    <w:rsid w:val="003D1B74"/>
    <w:rsid w:val="003D6F3B"/>
    <w:rsid w:val="003F2A47"/>
    <w:rsid w:val="003F3B33"/>
    <w:rsid w:val="003F779D"/>
    <w:rsid w:val="003F7848"/>
    <w:rsid w:val="004052E9"/>
    <w:rsid w:val="00406BF2"/>
    <w:rsid w:val="00413BC8"/>
    <w:rsid w:val="00420744"/>
    <w:rsid w:val="00442D9B"/>
    <w:rsid w:val="0045144B"/>
    <w:rsid w:val="00452378"/>
    <w:rsid w:val="004526B0"/>
    <w:rsid w:val="00453CB7"/>
    <w:rsid w:val="00454560"/>
    <w:rsid w:val="00455A6A"/>
    <w:rsid w:val="00456D4B"/>
    <w:rsid w:val="004579C4"/>
    <w:rsid w:val="004705AE"/>
    <w:rsid w:val="00470613"/>
    <w:rsid w:val="00473A3C"/>
    <w:rsid w:val="00474C2D"/>
    <w:rsid w:val="004A4384"/>
    <w:rsid w:val="004B177D"/>
    <w:rsid w:val="004B3E41"/>
    <w:rsid w:val="004C0564"/>
    <w:rsid w:val="004C63A3"/>
    <w:rsid w:val="004D0D25"/>
    <w:rsid w:val="004D5DB4"/>
    <w:rsid w:val="004E1322"/>
    <w:rsid w:val="004E1C35"/>
    <w:rsid w:val="004E65D9"/>
    <w:rsid w:val="00500E2E"/>
    <w:rsid w:val="005026B1"/>
    <w:rsid w:val="0052755D"/>
    <w:rsid w:val="00541195"/>
    <w:rsid w:val="005430C6"/>
    <w:rsid w:val="005476BB"/>
    <w:rsid w:val="005578FA"/>
    <w:rsid w:val="00561381"/>
    <w:rsid w:val="00564F68"/>
    <w:rsid w:val="0057271E"/>
    <w:rsid w:val="0057501A"/>
    <w:rsid w:val="00575537"/>
    <w:rsid w:val="00585D30"/>
    <w:rsid w:val="00586AE9"/>
    <w:rsid w:val="00593B38"/>
    <w:rsid w:val="005C309C"/>
    <w:rsid w:val="005C6D32"/>
    <w:rsid w:val="005C7885"/>
    <w:rsid w:val="005D1B7A"/>
    <w:rsid w:val="005D2B7C"/>
    <w:rsid w:val="005D3C00"/>
    <w:rsid w:val="005D5FCA"/>
    <w:rsid w:val="005E05B8"/>
    <w:rsid w:val="005E176B"/>
    <w:rsid w:val="005E21BE"/>
    <w:rsid w:val="005F2CB7"/>
    <w:rsid w:val="005F4854"/>
    <w:rsid w:val="00602BC1"/>
    <w:rsid w:val="00603355"/>
    <w:rsid w:val="00603489"/>
    <w:rsid w:val="00610905"/>
    <w:rsid w:val="00615095"/>
    <w:rsid w:val="00615509"/>
    <w:rsid w:val="00616BB8"/>
    <w:rsid w:val="00631DFD"/>
    <w:rsid w:val="00640CD2"/>
    <w:rsid w:val="00655FB4"/>
    <w:rsid w:val="00657EDD"/>
    <w:rsid w:val="00663031"/>
    <w:rsid w:val="00672B57"/>
    <w:rsid w:val="00672F35"/>
    <w:rsid w:val="00673DDC"/>
    <w:rsid w:val="00682308"/>
    <w:rsid w:val="00682980"/>
    <w:rsid w:val="006832A6"/>
    <w:rsid w:val="00696C80"/>
    <w:rsid w:val="006A351A"/>
    <w:rsid w:val="006A5E49"/>
    <w:rsid w:val="006A7081"/>
    <w:rsid w:val="006C5A53"/>
    <w:rsid w:val="006D2CF8"/>
    <w:rsid w:val="006F31C8"/>
    <w:rsid w:val="006F4129"/>
    <w:rsid w:val="007010F8"/>
    <w:rsid w:val="00702FB6"/>
    <w:rsid w:val="00707545"/>
    <w:rsid w:val="00710AA9"/>
    <w:rsid w:val="00723203"/>
    <w:rsid w:val="00725343"/>
    <w:rsid w:val="0072705F"/>
    <w:rsid w:val="0073239C"/>
    <w:rsid w:val="00746DDF"/>
    <w:rsid w:val="00751093"/>
    <w:rsid w:val="00755258"/>
    <w:rsid w:val="00755AEA"/>
    <w:rsid w:val="007615C2"/>
    <w:rsid w:val="00773102"/>
    <w:rsid w:val="007819A8"/>
    <w:rsid w:val="0078393A"/>
    <w:rsid w:val="00785ADF"/>
    <w:rsid w:val="00792C11"/>
    <w:rsid w:val="0079538E"/>
    <w:rsid w:val="0079718D"/>
    <w:rsid w:val="007A20CB"/>
    <w:rsid w:val="007B17F4"/>
    <w:rsid w:val="007B555D"/>
    <w:rsid w:val="007B5CB4"/>
    <w:rsid w:val="007C7176"/>
    <w:rsid w:val="00804862"/>
    <w:rsid w:val="0080613F"/>
    <w:rsid w:val="00814A87"/>
    <w:rsid w:val="00824646"/>
    <w:rsid w:val="00832A16"/>
    <w:rsid w:val="00843717"/>
    <w:rsid w:val="00852110"/>
    <w:rsid w:val="008522DD"/>
    <w:rsid w:val="008551E2"/>
    <w:rsid w:val="00870BC7"/>
    <w:rsid w:val="00877DBD"/>
    <w:rsid w:val="00880A02"/>
    <w:rsid w:val="00897E3A"/>
    <w:rsid w:val="008B072E"/>
    <w:rsid w:val="008B71E0"/>
    <w:rsid w:val="008B7FB6"/>
    <w:rsid w:val="008C0C66"/>
    <w:rsid w:val="008C34F3"/>
    <w:rsid w:val="008C60DC"/>
    <w:rsid w:val="008C60E5"/>
    <w:rsid w:val="008D03D1"/>
    <w:rsid w:val="008D1EAF"/>
    <w:rsid w:val="008D3443"/>
    <w:rsid w:val="008E51B6"/>
    <w:rsid w:val="008E77E6"/>
    <w:rsid w:val="008F7BD5"/>
    <w:rsid w:val="00903ED0"/>
    <w:rsid w:val="0091151D"/>
    <w:rsid w:val="00924742"/>
    <w:rsid w:val="00926B59"/>
    <w:rsid w:val="0093340C"/>
    <w:rsid w:val="00941CD1"/>
    <w:rsid w:val="00947492"/>
    <w:rsid w:val="009572C7"/>
    <w:rsid w:val="00980660"/>
    <w:rsid w:val="009A2881"/>
    <w:rsid w:val="009A48A5"/>
    <w:rsid w:val="009A6FA9"/>
    <w:rsid w:val="009C1178"/>
    <w:rsid w:val="009C326B"/>
    <w:rsid w:val="009C539F"/>
    <w:rsid w:val="009E4D84"/>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2F58"/>
    <w:rsid w:val="00AB4A9C"/>
    <w:rsid w:val="00AC724B"/>
    <w:rsid w:val="00AD5982"/>
    <w:rsid w:val="00AD742E"/>
    <w:rsid w:val="00AE31E5"/>
    <w:rsid w:val="00AE33BC"/>
    <w:rsid w:val="00AE599B"/>
    <w:rsid w:val="00AF076D"/>
    <w:rsid w:val="00AF6D3E"/>
    <w:rsid w:val="00B061F6"/>
    <w:rsid w:val="00B10C94"/>
    <w:rsid w:val="00B11148"/>
    <w:rsid w:val="00B11AF0"/>
    <w:rsid w:val="00B127EC"/>
    <w:rsid w:val="00B1737A"/>
    <w:rsid w:val="00B30881"/>
    <w:rsid w:val="00B42EA4"/>
    <w:rsid w:val="00B51190"/>
    <w:rsid w:val="00B62EE0"/>
    <w:rsid w:val="00B65903"/>
    <w:rsid w:val="00B91E12"/>
    <w:rsid w:val="00B920C0"/>
    <w:rsid w:val="00B94E30"/>
    <w:rsid w:val="00BA1496"/>
    <w:rsid w:val="00BA3B1F"/>
    <w:rsid w:val="00BA7759"/>
    <w:rsid w:val="00BB233D"/>
    <w:rsid w:val="00BB5161"/>
    <w:rsid w:val="00BC0016"/>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210"/>
    <w:rsid w:val="00C63E57"/>
    <w:rsid w:val="00C74787"/>
    <w:rsid w:val="00C83EBD"/>
    <w:rsid w:val="00C91C1E"/>
    <w:rsid w:val="00CA1BB1"/>
    <w:rsid w:val="00CB0FCF"/>
    <w:rsid w:val="00CB147C"/>
    <w:rsid w:val="00CC01A3"/>
    <w:rsid w:val="00CC0AC9"/>
    <w:rsid w:val="00CC2A7B"/>
    <w:rsid w:val="00CC3B9F"/>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56106"/>
    <w:rsid w:val="00D73BA6"/>
    <w:rsid w:val="00D7516C"/>
    <w:rsid w:val="00D763E4"/>
    <w:rsid w:val="00D7659F"/>
    <w:rsid w:val="00D874B0"/>
    <w:rsid w:val="00D91D06"/>
    <w:rsid w:val="00D92F8E"/>
    <w:rsid w:val="00D9407E"/>
    <w:rsid w:val="00D95A4B"/>
    <w:rsid w:val="00DC2E68"/>
    <w:rsid w:val="00DD0721"/>
    <w:rsid w:val="00DD1664"/>
    <w:rsid w:val="00DD4907"/>
    <w:rsid w:val="00DE41DC"/>
    <w:rsid w:val="00E06022"/>
    <w:rsid w:val="00E17CCB"/>
    <w:rsid w:val="00E2019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A6396"/>
    <w:rsid w:val="00EF3E34"/>
    <w:rsid w:val="00EF65C0"/>
    <w:rsid w:val="00F076D6"/>
    <w:rsid w:val="00F12528"/>
    <w:rsid w:val="00F12CB2"/>
    <w:rsid w:val="00F2058C"/>
    <w:rsid w:val="00F243D6"/>
    <w:rsid w:val="00F31F41"/>
    <w:rsid w:val="00F32762"/>
    <w:rsid w:val="00F6322C"/>
    <w:rsid w:val="00F675C7"/>
    <w:rsid w:val="00F700A3"/>
    <w:rsid w:val="00F82115"/>
    <w:rsid w:val="00F85EC9"/>
    <w:rsid w:val="00F976BC"/>
    <w:rsid w:val="00FA3389"/>
    <w:rsid w:val="00FA5965"/>
    <w:rsid w:val="00FB0EA6"/>
    <w:rsid w:val="00FB56AF"/>
    <w:rsid w:val="00FB6469"/>
    <w:rsid w:val="00FB6604"/>
    <w:rsid w:val="00FD6BFE"/>
    <w:rsid w:val="00FF4596"/>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06"/>
  </w:style>
  <w:style w:type="paragraph" w:styleId="Heading1">
    <w:name w:val="heading 1"/>
    <w:basedOn w:val="Normal"/>
    <w:next w:val="Normal"/>
    <w:link w:val="Heading1Char"/>
    <w:uiPriority w:val="9"/>
    <w:qFormat/>
    <w:rsid w:val="00006F06"/>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06F06"/>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F06"/>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F0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6F0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F0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F0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F0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6F0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006F06"/>
    <w:pPr>
      <w:spacing w:after="0"/>
    </w:pPr>
  </w:style>
  <w:style w:type="paragraph" w:customStyle="1" w:styleId="xmsonormal">
    <w:name w:val="x_msonormal"/>
    <w:basedOn w:val="Normal"/>
    <w:rsid w:val="00897E3A"/>
    <w:pPr>
      <w:spacing w:after="0"/>
    </w:pPr>
    <w:rPr>
      <w:rFonts w:ascii="Times New Roman" w:hAnsi="Times New Roman" w:cs="Times New Roman"/>
      <w:sz w:val="24"/>
      <w:szCs w:val="24"/>
      <w:lang w:eastAsia="en-GB"/>
    </w:rPr>
  </w:style>
  <w:style w:type="paragraph" w:styleId="NormalWeb">
    <w:name w:val="Normal (Web)"/>
    <w:basedOn w:val="Normal"/>
    <w:uiPriority w:val="99"/>
    <w:unhideWhenUsed/>
    <w:rsid w:val="004526B0"/>
    <w:pPr>
      <w:spacing w:after="0"/>
    </w:pPr>
    <w:rPr>
      <w:rFonts w:ascii="Times New Roman" w:hAnsi="Times New Roman" w:cs="Times New Roman"/>
      <w:sz w:val="24"/>
      <w:szCs w:val="24"/>
      <w:lang w:eastAsia="en-GB"/>
    </w:rPr>
  </w:style>
  <w:style w:type="character" w:customStyle="1" w:styleId="highwire-cite-metadata-journal">
    <w:name w:val="highwire-cite-metadata-journal"/>
    <w:basedOn w:val="DefaultParagraphFont"/>
    <w:rsid w:val="004526B0"/>
  </w:style>
  <w:style w:type="character" w:customStyle="1" w:styleId="highwire-cite-metadata-date">
    <w:name w:val="highwire-cite-metadata-date"/>
    <w:basedOn w:val="DefaultParagraphFont"/>
    <w:rsid w:val="004526B0"/>
  </w:style>
  <w:style w:type="character" w:customStyle="1" w:styleId="highwire-cite-metadata-volume">
    <w:name w:val="highwire-cite-metadata-volume"/>
    <w:basedOn w:val="DefaultParagraphFont"/>
    <w:rsid w:val="004526B0"/>
  </w:style>
  <w:style w:type="character" w:customStyle="1" w:styleId="highwire-cite-metadata-issue">
    <w:name w:val="highwire-cite-metadata-issue"/>
    <w:basedOn w:val="DefaultParagraphFont"/>
    <w:rsid w:val="004526B0"/>
  </w:style>
  <w:style w:type="character" w:customStyle="1" w:styleId="highwire-cite-metadata-pages">
    <w:name w:val="highwire-cite-metadata-pages"/>
    <w:basedOn w:val="DefaultParagraphFont"/>
    <w:rsid w:val="004526B0"/>
  </w:style>
  <w:style w:type="character" w:customStyle="1" w:styleId="cit">
    <w:name w:val="cit"/>
    <w:basedOn w:val="DefaultParagraphFont"/>
    <w:rsid w:val="004526B0"/>
  </w:style>
  <w:style w:type="character" w:customStyle="1" w:styleId="normaltextrun">
    <w:name w:val="normaltextrun"/>
    <w:basedOn w:val="DefaultParagraphFont"/>
    <w:rsid w:val="001A3A49"/>
  </w:style>
  <w:style w:type="paragraph" w:customStyle="1" w:styleId="paragraph">
    <w:name w:val="paragraph"/>
    <w:basedOn w:val="Normal"/>
    <w:rsid w:val="001A3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A3A49"/>
  </w:style>
  <w:style w:type="character" w:customStyle="1" w:styleId="Heading1Char">
    <w:name w:val="Heading 1 Char"/>
    <w:basedOn w:val="DefaultParagraphFont"/>
    <w:link w:val="Heading1"/>
    <w:uiPriority w:val="9"/>
    <w:rsid w:val="00006F0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06F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F0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F0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06F0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06F0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F0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F0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6F0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6F06"/>
    <w:rPr>
      <w:b/>
      <w:bCs/>
      <w:smallCaps/>
      <w:color w:val="1F497D" w:themeColor="text2"/>
    </w:rPr>
  </w:style>
  <w:style w:type="paragraph" w:styleId="Title">
    <w:name w:val="Title"/>
    <w:basedOn w:val="Normal"/>
    <w:next w:val="Normal"/>
    <w:link w:val="TitleChar"/>
    <w:uiPriority w:val="10"/>
    <w:qFormat/>
    <w:rsid w:val="00006F0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F0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06F06"/>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F0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06F06"/>
    <w:rPr>
      <w:b/>
      <w:bCs/>
    </w:rPr>
  </w:style>
  <w:style w:type="character" w:styleId="Emphasis">
    <w:name w:val="Emphasis"/>
    <w:basedOn w:val="DefaultParagraphFont"/>
    <w:uiPriority w:val="20"/>
    <w:qFormat/>
    <w:rsid w:val="00006F06"/>
    <w:rPr>
      <w:i/>
      <w:iCs/>
    </w:rPr>
  </w:style>
  <w:style w:type="paragraph" w:styleId="Quote">
    <w:name w:val="Quote"/>
    <w:basedOn w:val="Normal"/>
    <w:next w:val="Normal"/>
    <w:link w:val="QuoteChar"/>
    <w:uiPriority w:val="29"/>
    <w:qFormat/>
    <w:rsid w:val="00006F0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F06"/>
    <w:rPr>
      <w:color w:val="1F497D" w:themeColor="text2"/>
      <w:sz w:val="24"/>
      <w:szCs w:val="24"/>
    </w:rPr>
  </w:style>
  <w:style w:type="paragraph" w:styleId="IntenseQuote">
    <w:name w:val="Intense Quote"/>
    <w:basedOn w:val="Normal"/>
    <w:next w:val="Normal"/>
    <w:link w:val="IntenseQuoteChar"/>
    <w:uiPriority w:val="30"/>
    <w:qFormat/>
    <w:rsid w:val="00006F06"/>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F0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F06"/>
    <w:rPr>
      <w:i/>
      <w:iCs/>
      <w:color w:val="595959" w:themeColor="text1" w:themeTint="A6"/>
    </w:rPr>
  </w:style>
  <w:style w:type="character" w:styleId="IntenseEmphasis">
    <w:name w:val="Intense Emphasis"/>
    <w:basedOn w:val="DefaultParagraphFont"/>
    <w:uiPriority w:val="21"/>
    <w:qFormat/>
    <w:rsid w:val="00006F06"/>
    <w:rPr>
      <w:b/>
      <w:bCs/>
      <w:i/>
      <w:iCs/>
    </w:rPr>
  </w:style>
  <w:style w:type="character" w:styleId="SubtleReference">
    <w:name w:val="Subtle Reference"/>
    <w:basedOn w:val="DefaultParagraphFont"/>
    <w:uiPriority w:val="31"/>
    <w:qFormat/>
    <w:rsid w:val="00006F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F06"/>
    <w:rPr>
      <w:b/>
      <w:bCs/>
      <w:smallCaps/>
      <w:color w:val="1F497D" w:themeColor="text2"/>
      <w:u w:val="single"/>
    </w:rPr>
  </w:style>
  <w:style w:type="character" w:styleId="BookTitle">
    <w:name w:val="Book Title"/>
    <w:basedOn w:val="DefaultParagraphFont"/>
    <w:uiPriority w:val="33"/>
    <w:qFormat/>
    <w:rsid w:val="00006F06"/>
    <w:rPr>
      <w:b/>
      <w:bCs/>
      <w:smallCaps/>
      <w:spacing w:val="10"/>
    </w:rPr>
  </w:style>
  <w:style w:type="paragraph" w:styleId="TOCHeading">
    <w:name w:val="TOC Heading"/>
    <w:basedOn w:val="Heading1"/>
    <w:next w:val="Normal"/>
    <w:uiPriority w:val="39"/>
    <w:semiHidden/>
    <w:unhideWhenUsed/>
    <w:qFormat/>
    <w:rsid w:val="00006F06"/>
    <w:pPr>
      <w:outlineLvl w:val="9"/>
    </w:pPr>
  </w:style>
  <w:style w:type="table" w:customStyle="1" w:styleId="TableGrid3">
    <w:name w:val="Table Grid3"/>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pa-tr.haematologyadminclinicalcorrespondence@nhs.net" TargetMode="External"/><Relationship Id="rId21" Type="http://schemas.openxmlformats.org/officeDocument/2006/relationships/hyperlink" Target="https://www.gov.uk/drug-safety-update/mycophenolate-mofetil-mycophenolic-acid-new-pregnancy-prevention-advice-for-women-and-men" TargetMode="External"/><Relationship Id="rId42" Type="http://schemas.openxmlformats.org/officeDocument/2006/relationships/hyperlink" Target="https://onlinelibrary.wiley.com/doi/full/10.1111/bjd.15930" TargetMode="External"/><Relationship Id="rId47" Type="http://schemas.openxmlformats.org/officeDocument/2006/relationships/hyperlink" Target="https://kdigo.org/wp-content/uploads/2017/02/KDIGO-2012-GN-Guideline-English.pdf" TargetMode="External"/><Relationship Id="rId63" Type="http://schemas.openxmlformats.org/officeDocument/2006/relationships/hyperlink" Target="https://doi.org/10.1093/rheumatology/kev404"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Tpa-tr.gastroadminclinicalcorrespondence@nhs.net" TargetMode="External"/><Relationship Id="rId11" Type="http://schemas.openxmlformats.org/officeDocument/2006/relationships/hyperlink" Target="https://www.gov.uk/government/publications/post-exposure-prophylaxis-for-chickenpox-and-shingles" TargetMode="External"/><Relationship Id="rId24" Type="http://schemas.openxmlformats.org/officeDocument/2006/relationships/hyperlink" Target="http://www.bnf.org/bnf/index.htm" TargetMode="External"/><Relationship Id="rId32" Type="http://schemas.openxmlformats.org/officeDocument/2006/relationships/hyperlink" Target="mailto:tpa-tr.respiratoryadminclinicalcorrespondence@nhs.net" TargetMode="External"/><Relationship Id="rId37" Type="http://schemas.openxmlformats.org/officeDocument/2006/relationships/hyperlink" Target="https://ard.bmj.com/content/78/6/736" TargetMode="External"/><Relationship Id="rId40" Type="http://schemas.openxmlformats.org/officeDocument/2006/relationships/hyperlink" Target="https://ashpublications.org/blood/article-lookup/doi/10.1182/blood-2009-06-225565" TargetMode="External"/><Relationship Id="rId45" Type="http://schemas.openxmlformats.org/officeDocument/2006/relationships/hyperlink" Target="https://doi.org/10.1093/rheumatology/ket445" TargetMode="External"/><Relationship Id="rId53" Type="http://schemas.openxmlformats.org/officeDocument/2006/relationships/hyperlink" Target="https://www.openaccessjournals.com/articles/mycophenolate-mofetil-is-an-effective-therapy-for-connective-tissue-diseaseassociated-interstitial-lung-disease.pdf" TargetMode="External"/><Relationship Id="rId58" Type="http://schemas.openxmlformats.org/officeDocument/2006/relationships/hyperlink" Target="https://www.nice.org.uk/advice/esuom32/chapter/Key-points-from-the-evidence" TargetMode="External"/><Relationship Id="rId66" Type="http://schemas.openxmlformats.org/officeDocument/2006/relationships/hyperlink" Target="https://www.gov.uk/drug-safety-update/mycophenolate-mofetil-mycophenolic-acid-updated-contraception-advice-for-male-patients" TargetMode="External"/><Relationship Id="rId5" Type="http://schemas.openxmlformats.org/officeDocument/2006/relationships/webSettings" Target="webSettings.xml"/><Relationship Id="rId61" Type="http://schemas.openxmlformats.org/officeDocument/2006/relationships/hyperlink" Target="https://www.gov.uk/government/collections/immunisation-against-infectious-disease-the-green-book" TargetMode="External"/><Relationship Id="rId19" Type="http://schemas.openxmlformats.org/officeDocument/2006/relationships/hyperlink" Target="http://www.medicines.org.uk/emc" TargetMode="External"/><Relationship Id="rId14" Type="http://schemas.openxmlformats.org/officeDocument/2006/relationships/hyperlink" Target="http://www.medicines.org.uk/emc/medicine/1680" TargetMode="External"/><Relationship Id="rId22" Type="http://schemas.openxmlformats.org/officeDocument/2006/relationships/hyperlink" Target="https://www.gov.uk/drug-safety-update/mycophenolate-mofetil-mycophenolic-acid-updated-contraception-advice-for-male-patients" TargetMode="External"/><Relationship Id="rId27" Type="http://schemas.openxmlformats.org/officeDocument/2006/relationships/hyperlink" Target="mailto:tpa-tr.neurologyadminclinicalcorrespondence@nhs.net" TargetMode="External"/><Relationship Id="rId30" Type="http://schemas.openxmlformats.org/officeDocument/2006/relationships/hyperlink" Target="mailto:Paht.ibd@nhs.net" TargetMode="External"/><Relationship Id="rId35" Type="http://schemas.openxmlformats.org/officeDocument/2006/relationships/hyperlink" Target="mailto:sharedcare.enh-tr@nhs.net" TargetMode="External"/><Relationship Id="rId43" Type="http://schemas.openxmlformats.org/officeDocument/2006/relationships/hyperlink" Target="https://onlinelibrary.wiley.com/doi/full/10.1111/bjd.12072" TargetMode="External"/><Relationship Id="rId48" Type="http://schemas.openxmlformats.org/officeDocument/2006/relationships/hyperlink" Target="http://dx.doi.org/10.1136/practneurol-2015-001126" TargetMode="External"/><Relationship Id="rId56" Type="http://schemas.openxmlformats.org/officeDocument/2006/relationships/hyperlink" Target="https://pubmed.ncbi.nlm.nih.gov/8324935/" TargetMode="External"/><Relationship Id="rId64" Type="http://schemas.openxmlformats.org/officeDocument/2006/relationships/hyperlink" Target="https://renal.org/wp-content/uploads/2019/09/FINAL-Pregnancy-Guideline-September-2019.pdf" TargetMode="External"/><Relationship Id="rId69" Type="http://schemas.openxmlformats.org/officeDocument/2006/relationships/header" Target="header2.xm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hyperlink" Target="https://www.engage.england.nhs.uk/consultation/specialised-services-consultation/user_uploads/uveitis-adults-policy.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http://www.medicines.org.uk/emc" TargetMode="External"/><Relationship Id="rId33" Type="http://schemas.openxmlformats.org/officeDocument/2006/relationships/hyperlink" Target="mailto:tpa-tr.rheumatologyadminclinicalcorrespondence@nhs.net" TargetMode="External"/><Relationship Id="rId38" Type="http://schemas.openxmlformats.org/officeDocument/2006/relationships/hyperlink" Target="https://www.nice.org.uk/advice/esuom36/chapter/Key-points-from-the-evidence" TargetMode="External"/><Relationship Id="rId46" Type="http://schemas.openxmlformats.org/officeDocument/2006/relationships/hyperlink" Target="https://ard.bmj.com/content/75/9/1583" TargetMode="External"/><Relationship Id="rId59" Type="http://schemas.openxmlformats.org/officeDocument/2006/relationships/hyperlink" Target="https://cks.nice.org.uk/dmards" TargetMode="External"/><Relationship Id="rId67" Type="http://schemas.openxmlformats.org/officeDocument/2006/relationships/header" Target="header1.xml"/><Relationship Id="rId20" Type="http://schemas.openxmlformats.org/officeDocument/2006/relationships/hyperlink" Target="https://www.gov.uk/drug-safety-update/medicines-with-teratogenic-potential-what-is-effective-contraception-and-how-often-is-pregnancy-testing-needed" TargetMode="External"/><Relationship Id="rId41" Type="http://schemas.openxmlformats.org/officeDocument/2006/relationships/hyperlink" Target="https://www.england.nhs.uk/wp-content/uploads/2018/07/Rituximab-for-the-treatment-of-dermatomyositis-and-polymyositis-adults.pdf" TargetMode="External"/><Relationship Id="rId54" Type="http://schemas.openxmlformats.org/officeDocument/2006/relationships/hyperlink" Target="https://www.bsg.org.uk/wp-content/uploads/2019/12/BSG-guidelines-for-the-management-of-autoimmune-hepatitis.pdf" TargetMode="External"/><Relationship Id="rId62" Type="http://schemas.openxmlformats.org/officeDocument/2006/relationships/hyperlink" Target="http://www.ipnsm.hscni.net/download/shared_care_guidelines/AzathioprineSCG2017.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3" Type="http://schemas.openxmlformats.org/officeDocument/2006/relationships/hyperlink" Target="https://www.gov.uk/government/publications/post-exposure-prophylaxis-for-chickenpox-and-shingles" TargetMode="External"/><Relationship Id="rId28" Type="http://schemas.openxmlformats.org/officeDocument/2006/relationships/hyperlink" Target="mailto:tpa-tr.dermatologyclinicalcorrespondence@nhs.net" TargetMode="External"/><Relationship Id="rId36" Type="http://schemas.openxmlformats.org/officeDocument/2006/relationships/hyperlink" Target="https://doi.org/10.1093/rheumatology/kex286" TargetMode="External"/><Relationship Id="rId49" Type="http://schemas.openxmlformats.org/officeDocument/2006/relationships/hyperlink" Target="https://www.ncbi.nlm.nih.gov/pmc/articles/PMC4977114/" TargetMode="External"/><Relationship Id="rId57" Type="http://schemas.openxmlformats.org/officeDocument/2006/relationships/hyperlink" Target="https://ard.bmj.com/content/annrheumdis/76/8/1327.full.pdf" TargetMode="External"/><Relationship Id="rId10" Type="http://schemas.openxmlformats.org/officeDocument/2006/relationships/hyperlink" Target="https://www.gov.uk/government/publications/covid-19-the-green-book-chapter-14a" TargetMode="External"/><Relationship Id="rId31" Type="http://schemas.openxmlformats.org/officeDocument/2006/relationships/hyperlink" Target="mailto:tpa-tr.ophthalmologyadminclinicalcorrespondence@nhs.net" TargetMode="External"/><Relationship Id="rId44" Type="http://schemas.openxmlformats.org/officeDocument/2006/relationships/hyperlink" Target="https://www.ncbi.nlm.nih.gov/pmc/articles/PMC3030212/" TargetMode="External"/><Relationship Id="rId52" Type="http://schemas.openxmlformats.org/officeDocument/2006/relationships/hyperlink" Target="https://jamanetwork.com/journals/jama/fullarticle/2749597" TargetMode="External"/><Relationship Id="rId60" Type="http://schemas.openxmlformats.org/officeDocument/2006/relationships/hyperlink" Target="https://www.rheumatology.org.uk/practice-quality/guidelines" TargetMode="External"/><Relationship Id="rId65" Type="http://schemas.openxmlformats.org/officeDocument/2006/relationships/hyperlink" Target="https://www.gov.uk/drug-safety-update/mycophenolate-mofetil-mycophenolic-acid-new-pregnancy-prevention-advice-for-women-and-men"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bnf.org/bnf/index.htm" TargetMode="External"/><Relationship Id="rId39" Type="http://schemas.openxmlformats.org/officeDocument/2006/relationships/hyperlink" Target="https://doi.org/10.1111/bjh.14478" TargetMode="External"/><Relationship Id="rId34" Type="http://schemas.openxmlformats.org/officeDocument/2006/relationships/hyperlink" Target="mailto:nephadmin.enh-tr@nhs.net" TargetMode="External"/><Relationship Id="rId50" Type="http://schemas.openxmlformats.org/officeDocument/2006/relationships/hyperlink" Target="https://www.nice.org.uk/guidance/ta460/chapter/1-Recommendations" TargetMode="External"/><Relationship Id="rId55" Type="http://schemas.openxmlformats.org/officeDocument/2006/relationships/hyperlink" Target="https://aasldpubs.onlinelibrary.wiley.com/doi/full/10.1002/hep.3106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6883</Words>
  <Characters>39237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2025-05-06T08:55:00Z</dcterms:created>
  <dcterms:modified xsi:type="dcterms:W3CDTF">2025-05-06T08:55:00Z</dcterms:modified>
</cp:coreProperties>
</file>