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1AB081FB" w:rsidR="006F4129" w:rsidRPr="000833DA" w:rsidRDefault="00114E55" w:rsidP="00846FE1">
      <w:pPr>
        <w:spacing w:after="0" w:line="240" w:lineRule="auto"/>
        <w:jc w:val="center"/>
        <w:rPr>
          <w:rFonts w:ascii="Arial" w:eastAsia="Times New Roman" w:hAnsi="Arial" w:cs="Arial"/>
          <w:b/>
          <w:bCs/>
          <w:sz w:val="28"/>
          <w:szCs w:val="28"/>
          <w:u w:val="single"/>
        </w:rPr>
      </w:pPr>
      <w:r w:rsidRPr="00114E55">
        <w:rPr>
          <w:rFonts w:ascii="Arial" w:eastAsia="Times New Roman" w:hAnsi="Arial" w:cs="Arial"/>
          <w:bCs/>
          <w:noProof/>
          <w:sz w:val="28"/>
          <w:szCs w:val="28"/>
          <w:lang w:eastAsia="en-GB"/>
        </w:rPr>
        <w:t xml:space="preserve">             </w:t>
      </w:r>
      <w:r w:rsidRPr="00114E55">
        <w:rPr>
          <w:rFonts w:ascii="Arial" w:eastAsia="Times New Roman" w:hAnsi="Arial" w:cs="Arial"/>
          <w:b/>
          <w:noProof/>
          <w:sz w:val="28"/>
          <w:szCs w:val="28"/>
          <w:u w:val="single"/>
          <w:lang w:eastAsia="en-GB"/>
        </w:rPr>
        <w:t xml:space="preserve"> </w:t>
      </w:r>
      <w:r w:rsidR="000833DA"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38BC370F" w14:textId="2F8813C4" w:rsidR="00DE41DC" w:rsidRDefault="00DE41DC" w:rsidP="00DE41D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bookmarkStart w:id="0" w:name="_Hlk156422060"/>
      <w:r>
        <w:rPr>
          <w:rFonts w:ascii="Arial" w:eastAsia="Times New Roman" w:hAnsi="Arial" w:cs="Times New Roman"/>
          <w:b/>
          <w:szCs w:val="24"/>
          <w:lang w:val="en-US"/>
        </w:rPr>
        <w:t xml:space="preserve">Azathioprine / Mercaptopurine </w:t>
      </w:r>
      <w:bookmarkEnd w:id="0"/>
      <w:r>
        <w:rPr>
          <w:rFonts w:ascii="Arial" w:eastAsia="Times New Roman" w:hAnsi="Arial" w:cs="Times New Roman"/>
          <w:b/>
          <w:szCs w:val="24"/>
          <w:lang w:val="en-US"/>
        </w:rPr>
        <w:t>(MP) use in adults with multisystem autoimmune disease:</w:t>
      </w:r>
    </w:p>
    <w:p w14:paraId="2799121E" w14:textId="7166D79F" w:rsidR="00DE41DC" w:rsidRPr="003C3EFF" w:rsidRDefault="00DE41DC" w:rsidP="00DE41D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Arial"/>
          <w:b/>
          <w:lang w:val="en-US"/>
        </w:rPr>
      </w:pPr>
      <w:r w:rsidRPr="00406BF2">
        <w:rPr>
          <w:rFonts w:ascii="Arial" w:hAnsi="Arial" w:cs="Arial"/>
          <w:b/>
        </w:rPr>
        <w:t xml:space="preserve">Dermatology / Gastroenterology / Haematology / </w:t>
      </w:r>
      <w:r w:rsidRPr="00445870">
        <w:rPr>
          <w:rFonts w:ascii="Arial" w:hAnsi="Arial" w:cs="Arial"/>
          <w:b/>
        </w:rPr>
        <w:t>Nephrology</w:t>
      </w:r>
      <w:r>
        <w:rPr>
          <w:rFonts w:ascii="Arial" w:hAnsi="Arial" w:cs="Arial"/>
          <w:b/>
        </w:rPr>
        <w:t xml:space="preserve"> /</w:t>
      </w:r>
      <w:r w:rsidRPr="00406BF2">
        <w:rPr>
          <w:rFonts w:ascii="Arial" w:hAnsi="Arial" w:cs="Arial"/>
          <w:b/>
        </w:rPr>
        <w:t xml:space="preserve"> </w:t>
      </w:r>
      <w:r w:rsidRPr="003C3EFF">
        <w:rPr>
          <w:rFonts w:ascii="Arial" w:hAnsi="Arial" w:cs="Arial"/>
          <w:b/>
        </w:rPr>
        <w:t>Neurology / Ophthalmology / Respiratory / Rheumatology</w:t>
      </w:r>
    </w:p>
    <w:p w14:paraId="4A2B330F" w14:textId="092B2208" w:rsidR="00DE41DC" w:rsidRPr="003C3EFF" w:rsidRDefault="00F85EC9" w:rsidP="00DE41D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3C3EFF">
        <w:rPr>
          <w:rFonts w:ascii="Arial" w:eastAsia="Times New Roman" w:hAnsi="Arial" w:cs="Times New Roman"/>
          <w:b/>
          <w:szCs w:val="24"/>
          <w:lang w:val="en-US"/>
        </w:rPr>
        <w:t>Shared Care Protocol</w:t>
      </w:r>
      <w:r w:rsidR="00B1737A" w:rsidRPr="003C3EFF">
        <w:rPr>
          <w:rFonts w:ascii="Arial" w:eastAsia="Times New Roman" w:hAnsi="Arial" w:cs="Times New Roman"/>
          <w:b/>
          <w:szCs w:val="24"/>
          <w:lang w:val="en-US"/>
        </w:rPr>
        <w:t>: Guideline No</w:t>
      </w:r>
      <w:r w:rsidR="00D435E7" w:rsidRPr="003C3EFF">
        <w:rPr>
          <w:rFonts w:ascii="Arial" w:eastAsia="Times New Roman" w:hAnsi="Arial" w:cs="Times New Roman"/>
          <w:b/>
          <w:szCs w:val="24"/>
          <w:lang w:val="en-US"/>
        </w:rPr>
        <w:t xml:space="preserve"> 1; </w:t>
      </w:r>
      <w:r w:rsidR="00B1737A" w:rsidRPr="003C3EFF">
        <w:rPr>
          <w:rFonts w:ascii="Arial" w:eastAsia="Times New Roman" w:hAnsi="Arial" w:cs="Times New Roman"/>
          <w:b/>
          <w:szCs w:val="24"/>
          <w:lang w:val="en-US"/>
        </w:rPr>
        <w:t xml:space="preserve">Version </w:t>
      </w:r>
      <w:r w:rsidR="00846FE1" w:rsidRPr="003C3EFF">
        <w:rPr>
          <w:rFonts w:ascii="Arial" w:eastAsia="Times New Roman" w:hAnsi="Arial" w:cs="Times New Roman"/>
          <w:b/>
          <w:szCs w:val="24"/>
          <w:lang w:val="en-US"/>
        </w:rPr>
        <w:t>2</w:t>
      </w:r>
      <w:r w:rsidR="003A3F45">
        <w:rPr>
          <w:rFonts w:ascii="Arial" w:eastAsia="Times New Roman" w:hAnsi="Arial" w:cs="Times New Roman"/>
          <w:b/>
          <w:szCs w:val="24"/>
          <w:lang w:val="en-US"/>
        </w:rPr>
        <w:t>.</w:t>
      </w:r>
      <w:r w:rsidR="00156070">
        <w:rPr>
          <w:rFonts w:ascii="Arial" w:eastAsia="Times New Roman" w:hAnsi="Arial" w:cs="Times New Roman"/>
          <w:b/>
          <w:szCs w:val="24"/>
          <w:lang w:val="en-US"/>
        </w:rPr>
        <w:t>2</w:t>
      </w:r>
    </w:p>
    <w:p w14:paraId="1E90A2C3" w14:textId="758CE687" w:rsidR="00DE41DC" w:rsidRPr="00DE41DC" w:rsidRDefault="00DE41DC" w:rsidP="00DE41DC">
      <w:pPr>
        <w:jc w:val="center"/>
        <w:rPr>
          <w:rFonts w:ascii="Calibri" w:eastAsia="Calibri" w:hAnsi="Calibri" w:cs="Times New Roman"/>
          <w:b/>
          <w:bCs/>
          <w:sz w:val="32"/>
          <w:szCs w:val="32"/>
        </w:rPr>
      </w:pPr>
      <w:r w:rsidRPr="003C3EFF">
        <w:rPr>
          <w:rFonts w:ascii="Calibri" w:eastAsia="Calibri" w:hAnsi="Calibri" w:cs="Times New Roman"/>
          <w:b/>
          <w:bCs/>
          <w:sz w:val="32"/>
          <w:szCs w:val="32"/>
        </w:rPr>
        <w:t xml:space="preserve">For use in West </w:t>
      </w:r>
      <w:r w:rsidR="004F290F" w:rsidRPr="003C3EFF">
        <w:rPr>
          <w:rFonts w:ascii="Calibri" w:eastAsia="Calibri" w:hAnsi="Calibri" w:cs="Times New Roman"/>
          <w:b/>
          <w:bCs/>
          <w:sz w:val="32"/>
          <w:szCs w:val="32"/>
        </w:rPr>
        <w:t>Essex</w:t>
      </w:r>
    </w:p>
    <w:p w14:paraId="71979840" w14:textId="77777777" w:rsidR="00114E55" w:rsidRDefault="00114E55" w:rsidP="00114E55">
      <w:pPr>
        <w:spacing w:after="0" w:line="240" w:lineRule="auto"/>
        <w:jc w:val="center"/>
        <w:rPr>
          <w:rFonts w:ascii="Arial" w:eastAsia="Times New Roman" w:hAnsi="Arial" w:cs="Times New Roman"/>
          <w:bCs/>
          <w:lang w:val="en-US" w:eastAsia="en-GB"/>
        </w:rPr>
      </w:pPr>
      <w:r w:rsidRPr="00552E47">
        <w:rPr>
          <w:rFonts w:ascii="Arial" w:eastAsia="Times New Roman" w:hAnsi="Arial" w:cs="Times New Roman"/>
          <w:bCs/>
          <w:lang w:val="en-US" w:eastAsia="en-GB"/>
        </w:rPr>
        <w:t xml:space="preserve">This </w:t>
      </w:r>
      <w:r>
        <w:rPr>
          <w:rFonts w:ascii="Arial" w:eastAsia="Times New Roman" w:hAnsi="Arial" w:cs="Times New Roman"/>
          <w:bCs/>
          <w:lang w:val="en-US" w:eastAsia="en-GB"/>
        </w:rPr>
        <w:t>r</w:t>
      </w:r>
      <w:r w:rsidRPr="00552E47">
        <w:rPr>
          <w:rFonts w:ascii="Arial" w:eastAsia="Times New Roman" w:hAnsi="Arial" w:cs="Times New Roman"/>
          <w:bCs/>
          <w:lang w:val="en-US" w:eastAsia="en-GB"/>
        </w:rPr>
        <w:t xml:space="preserve">equest to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provides </w:t>
      </w:r>
      <w:r>
        <w:rPr>
          <w:rFonts w:ascii="Arial" w:eastAsia="Times New Roman" w:hAnsi="Arial" w:cs="Times New Roman"/>
          <w:bCs/>
          <w:lang w:val="en-US" w:eastAsia="en-GB"/>
        </w:rPr>
        <w:t>k</w:t>
      </w:r>
      <w:r w:rsidRPr="00552E47">
        <w:rPr>
          <w:rFonts w:ascii="Arial" w:eastAsia="Times New Roman" w:hAnsi="Arial" w:cs="Times New Roman"/>
          <w:bCs/>
          <w:lang w:val="en-US" w:eastAsia="en-GB"/>
        </w:rPr>
        <w:t xml:space="preserve">ey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rimary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i</w:t>
      </w:r>
      <w:r w:rsidRPr="00552E47">
        <w:rPr>
          <w:rFonts w:ascii="Arial" w:eastAsia="Times New Roman" w:hAnsi="Arial" w:cs="Times New Roman"/>
          <w:bCs/>
          <w:lang w:val="en-US" w:eastAsia="en-GB"/>
        </w:rPr>
        <w:t xml:space="preserve">nformation on responsibilities and monitoring. The aim is to support the GP to agree to share care arrangements. Refer to </w:t>
      </w:r>
      <w:r>
        <w:rPr>
          <w:rFonts w:ascii="Arial" w:eastAsia="Times New Roman" w:hAnsi="Arial" w:cs="Times New Roman"/>
          <w:bCs/>
          <w:lang w:val="en-US" w:eastAsia="en-GB"/>
        </w:rPr>
        <w:t>f</w:t>
      </w:r>
      <w:r w:rsidRPr="00552E47">
        <w:rPr>
          <w:rFonts w:ascii="Arial" w:eastAsia="Times New Roman" w:hAnsi="Arial" w:cs="Times New Roman"/>
          <w:bCs/>
          <w:lang w:val="en-US" w:eastAsia="en-GB"/>
        </w:rPr>
        <w:t xml:space="preserve">ull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hared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rotocol for </w:t>
      </w:r>
      <w:r>
        <w:rPr>
          <w:rFonts w:ascii="Arial" w:eastAsia="Times New Roman" w:hAnsi="Arial" w:cs="Times New Roman"/>
          <w:bCs/>
          <w:lang w:val="en-US" w:eastAsia="en-GB"/>
        </w:rPr>
        <w:t>further information.</w:t>
      </w:r>
    </w:p>
    <w:p w14:paraId="5FB8C7F5" w14:textId="77777777" w:rsidR="00114E55" w:rsidRDefault="00114E55" w:rsidP="00114E55">
      <w:pPr>
        <w:spacing w:after="0" w:line="240" w:lineRule="auto"/>
        <w:jc w:val="center"/>
        <w:rPr>
          <w:rFonts w:ascii="Arial" w:eastAsia="Times New Roman" w:hAnsi="Arial" w:cs="Arial"/>
          <w:b/>
          <w:lang w:val="en-US"/>
        </w:rPr>
      </w:pPr>
      <w:r>
        <w:rPr>
          <w:rFonts w:ascii="Arial" w:eastAsia="Times New Roman" w:hAnsi="Arial" w:cs="Times New Roman"/>
          <w:bCs/>
          <w:lang w:val="en-US" w:eastAsia="en-GB"/>
        </w:rPr>
        <w:t xml:space="preserve"> </w:t>
      </w:r>
      <w:r w:rsidRPr="00144CBA">
        <w:rPr>
          <w:rFonts w:ascii="Arial" w:hAnsi="Arial" w:cs="Arial"/>
          <w:b/>
          <w:color w:val="000000"/>
          <w:lang w:eastAsia="en-GB"/>
        </w:rPr>
        <w:t>GP to review and must respond to provider Trust request to share care within 2 weeks</w:t>
      </w:r>
      <w:r w:rsidRPr="00552E47">
        <w:rPr>
          <w:rFonts w:ascii="Arial" w:hAnsi="Arial" w:cs="Arial"/>
          <w:bCs/>
          <w:color w:val="000000"/>
          <w:lang w:eastAsia="en-GB"/>
        </w:rPr>
        <w:t>.</w:t>
      </w:r>
      <w:r w:rsidRPr="00552E47">
        <w:rPr>
          <w:rFonts w:ascii="Arial" w:eastAsia="Times New Roman" w:hAnsi="Arial" w:cs="Arial"/>
          <w:bCs/>
          <w:lang w:val="en-US"/>
        </w:rPr>
        <w:t xml:space="preserve"> </w:t>
      </w:r>
      <w:r w:rsidRPr="00B25DFC">
        <w:rPr>
          <w:rFonts w:ascii="Arial" w:eastAsia="Times New Roman" w:hAnsi="Arial" w:cs="Arial"/>
          <w:b/>
          <w:lang w:val="en-US"/>
        </w:rPr>
        <w:t>This form is used to</w:t>
      </w:r>
      <w:r>
        <w:rPr>
          <w:rFonts w:ascii="Arial" w:eastAsia="Times New Roman" w:hAnsi="Arial" w:cs="Arial"/>
          <w:b/>
          <w:lang w:val="en-US"/>
        </w:rPr>
        <w:t xml:space="preserve"> </w:t>
      </w:r>
      <w:r w:rsidRPr="00B25DFC">
        <w:rPr>
          <w:rFonts w:ascii="Arial" w:eastAsia="Times New Roman" w:hAnsi="Arial" w:cs="Arial"/>
          <w:b/>
          <w:lang w:val="en-US"/>
        </w:rPr>
        <w:t xml:space="preserve">agree shared care between the specialist, patient and GP </w:t>
      </w:r>
      <w:r>
        <w:rPr>
          <w:rFonts w:ascii="Arial" w:eastAsia="Times New Roman" w:hAnsi="Arial" w:cs="Arial"/>
          <w:b/>
          <w:lang w:val="en-US"/>
        </w:rPr>
        <w:t xml:space="preserve">and a copy of the form to be retained in </w:t>
      </w:r>
      <w:proofErr w:type="gramStart"/>
      <w:r>
        <w:rPr>
          <w:rFonts w:ascii="Arial" w:eastAsia="Times New Roman" w:hAnsi="Arial" w:cs="Arial"/>
          <w:b/>
          <w:lang w:val="en-US"/>
        </w:rPr>
        <w:t>1.Patients</w:t>
      </w:r>
      <w:proofErr w:type="gramEnd"/>
      <w:r>
        <w:rPr>
          <w:rFonts w:ascii="Arial" w:eastAsia="Times New Roman" w:hAnsi="Arial" w:cs="Arial"/>
          <w:b/>
          <w:lang w:val="en-US"/>
        </w:rPr>
        <w:t>’ hospital records, 2. Given to patient, and 3. Retained in GP notes.</w:t>
      </w:r>
    </w:p>
    <w:tbl>
      <w:tblPr>
        <w:tblStyle w:val="TableGrid3"/>
        <w:tblpPr w:leftFromText="180" w:rightFromText="180" w:vertAnchor="text" w:horzAnchor="page" w:tblpX="253" w:tblpY="110"/>
        <w:tblOverlap w:val="never"/>
        <w:tblW w:w="11410" w:type="dxa"/>
        <w:tblLayout w:type="fixed"/>
        <w:tblLook w:val="04A0" w:firstRow="1" w:lastRow="0" w:firstColumn="1" w:lastColumn="0" w:noHBand="0" w:noVBand="1"/>
      </w:tblPr>
      <w:tblGrid>
        <w:gridCol w:w="2852"/>
        <w:gridCol w:w="1963"/>
        <w:gridCol w:w="3827"/>
        <w:gridCol w:w="2768"/>
      </w:tblGrid>
      <w:tr w:rsidR="00114E55" w:rsidRPr="002A2513" w14:paraId="27EEFE7B" w14:textId="77777777" w:rsidTr="009F25F3">
        <w:trPr>
          <w:trHeight w:val="247"/>
        </w:trPr>
        <w:tc>
          <w:tcPr>
            <w:tcW w:w="4815" w:type="dxa"/>
            <w:gridSpan w:val="2"/>
            <w:tcBorders>
              <w:right w:val="single" w:sz="4" w:space="0" w:color="auto"/>
            </w:tcBorders>
            <w:noWrap/>
          </w:tcPr>
          <w:p w14:paraId="4EDBF3D2" w14:textId="77777777" w:rsidR="00114E55" w:rsidRPr="00B168C1" w:rsidRDefault="00114E55" w:rsidP="009F25F3">
            <w:pPr>
              <w:jc w:val="center"/>
              <w:rPr>
                <w:rFonts w:ascii="Arial" w:hAnsi="Arial" w:cs="Arial"/>
                <w:b/>
                <w:bCs/>
              </w:rPr>
            </w:pPr>
            <w:r w:rsidRPr="00B25DFC">
              <w:rPr>
                <w:rFonts w:ascii="Arial" w:hAnsi="Arial" w:cs="Arial"/>
                <w:b/>
                <w:bCs/>
              </w:rPr>
              <w:t>Patient Information or Addressograph</w:t>
            </w:r>
            <w:r>
              <w:rPr>
                <w:rFonts w:ascii="Arial" w:hAnsi="Arial" w:cs="Arial"/>
                <w:b/>
                <w:bCs/>
              </w:rPr>
              <w:t xml:space="preserve"> label</w:t>
            </w:r>
          </w:p>
        </w:tc>
        <w:tc>
          <w:tcPr>
            <w:tcW w:w="6595" w:type="dxa"/>
            <w:gridSpan w:val="2"/>
            <w:tcBorders>
              <w:right w:val="single" w:sz="4" w:space="0" w:color="auto"/>
            </w:tcBorders>
          </w:tcPr>
          <w:p w14:paraId="672595C1" w14:textId="77777777" w:rsidR="00114E55" w:rsidRPr="00131AEC" w:rsidRDefault="00114E55" w:rsidP="009F25F3">
            <w:pPr>
              <w:jc w:val="center"/>
              <w:rPr>
                <w:rFonts w:ascii="Arial" w:hAnsi="Arial" w:cs="Arial"/>
                <w:b/>
                <w:bCs/>
                <w:sz w:val="18"/>
                <w:szCs w:val="18"/>
              </w:rPr>
            </w:pPr>
            <w:r w:rsidRPr="00131AEC">
              <w:rPr>
                <w:rFonts w:ascii="Arial" w:hAnsi="Arial" w:cs="Arial"/>
                <w:b/>
                <w:bCs/>
              </w:rPr>
              <w:t>Drug information</w:t>
            </w:r>
          </w:p>
        </w:tc>
      </w:tr>
      <w:tr w:rsidR="00114E55" w:rsidRPr="002A2513" w14:paraId="02690586" w14:textId="77777777" w:rsidTr="009F25F3">
        <w:trPr>
          <w:trHeight w:val="510"/>
        </w:trPr>
        <w:tc>
          <w:tcPr>
            <w:tcW w:w="2852" w:type="dxa"/>
            <w:noWrap/>
            <w:hideMark/>
          </w:tcPr>
          <w:p w14:paraId="16A587B5" w14:textId="77777777" w:rsidR="00114E55" w:rsidRPr="00B654C0" w:rsidRDefault="00114E55" w:rsidP="009F25F3">
            <w:pPr>
              <w:rPr>
                <w:rFonts w:ascii="Arial" w:hAnsi="Arial" w:cs="Arial"/>
              </w:rPr>
            </w:pPr>
            <w:r w:rsidRPr="00B654C0">
              <w:rPr>
                <w:rFonts w:ascii="Arial" w:hAnsi="Arial" w:cs="Arial"/>
                <w:lang w:val="en-US"/>
              </w:rPr>
              <w:t>Patient name</w:t>
            </w:r>
            <w:r>
              <w:rPr>
                <w:rFonts w:ascii="Arial" w:hAnsi="Arial" w:cs="Arial"/>
                <w:lang w:val="en-US"/>
              </w:rPr>
              <w:t>:</w:t>
            </w:r>
          </w:p>
        </w:tc>
        <w:tc>
          <w:tcPr>
            <w:tcW w:w="1963" w:type="dxa"/>
            <w:tcBorders>
              <w:right w:val="single" w:sz="4" w:space="0" w:color="auto"/>
            </w:tcBorders>
            <w:noWrap/>
            <w:hideMark/>
          </w:tcPr>
          <w:p w14:paraId="6753E81E" w14:textId="77777777" w:rsidR="00114E55" w:rsidRPr="002A2513" w:rsidRDefault="00114E55" w:rsidP="009F25F3">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18FCBE0A" w14:textId="77777777" w:rsidR="00114E55" w:rsidRPr="00B654C0" w:rsidRDefault="00114E55" w:rsidP="009F25F3">
            <w:pPr>
              <w:spacing w:after="80"/>
              <w:contextualSpacing/>
              <w:rPr>
                <w:rFonts w:ascii="Arial" w:eastAsia="Times New Roman" w:hAnsi="Arial" w:cs="Arial"/>
                <w:lang w:val="en-US"/>
              </w:rPr>
            </w:pPr>
            <w:r w:rsidRPr="00B168C1">
              <w:rPr>
                <w:rFonts w:ascii="Arial" w:eastAsia="Times New Roman" w:hAnsi="Arial" w:cs="Arial"/>
                <w:lang w:val="en-US"/>
              </w:rPr>
              <w:t xml:space="preserve">Drug(s) and Dose at handover: </w:t>
            </w:r>
          </w:p>
        </w:tc>
        <w:tc>
          <w:tcPr>
            <w:tcW w:w="2768" w:type="dxa"/>
            <w:tcBorders>
              <w:right w:val="single" w:sz="4" w:space="0" w:color="auto"/>
            </w:tcBorders>
          </w:tcPr>
          <w:p w14:paraId="331331C4" w14:textId="77777777" w:rsidR="00114E55" w:rsidRPr="002A2513" w:rsidRDefault="00114E55" w:rsidP="009F25F3">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114E55" w:rsidRPr="002A2513" w14:paraId="6325C946" w14:textId="77777777" w:rsidTr="009F25F3">
        <w:trPr>
          <w:trHeight w:val="261"/>
        </w:trPr>
        <w:tc>
          <w:tcPr>
            <w:tcW w:w="2852" w:type="dxa"/>
            <w:noWrap/>
            <w:hideMark/>
          </w:tcPr>
          <w:p w14:paraId="12058694" w14:textId="77777777" w:rsidR="00114E55" w:rsidRPr="00B654C0" w:rsidRDefault="00114E55" w:rsidP="009F25F3">
            <w:pPr>
              <w:rPr>
                <w:rFonts w:ascii="Arial" w:hAnsi="Arial" w:cs="Arial"/>
              </w:rPr>
            </w:pPr>
            <w:r w:rsidRPr="00B654C0">
              <w:rPr>
                <w:rFonts w:ascii="Arial" w:hAnsi="Arial" w:cs="Arial"/>
                <w:lang w:val="en-US"/>
              </w:rPr>
              <w:t>DOB</w:t>
            </w:r>
            <w:r>
              <w:rPr>
                <w:rFonts w:ascii="Arial" w:hAnsi="Arial" w:cs="Arial"/>
                <w:lang w:val="en-US"/>
              </w:rPr>
              <w:t>:</w:t>
            </w:r>
          </w:p>
        </w:tc>
        <w:tc>
          <w:tcPr>
            <w:tcW w:w="1963" w:type="dxa"/>
            <w:tcBorders>
              <w:right w:val="single" w:sz="4" w:space="0" w:color="auto"/>
            </w:tcBorders>
            <w:noWrap/>
            <w:hideMark/>
          </w:tcPr>
          <w:p w14:paraId="79088546" w14:textId="77777777" w:rsidR="00114E55" w:rsidRPr="002A2513" w:rsidRDefault="00114E55" w:rsidP="009F25F3">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56EDD766" w14:textId="77777777" w:rsidR="00114E55" w:rsidRPr="00B654C0" w:rsidRDefault="00114E55" w:rsidP="009F25F3">
            <w:pPr>
              <w:spacing w:after="80"/>
              <w:contextualSpacing/>
              <w:jc w:val="both"/>
              <w:rPr>
                <w:rFonts w:ascii="Arial" w:eastAsia="Times New Roman" w:hAnsi="Arial" w:cs="Arial"/>
                <w:lang w:val="en-US"/>
              </w:rPr>
            </w:pPr>
            <w:r w:rsidRPr="00B168C1">
              <w:rPr>
                <w:rFonts w:ascii="Arial" w:eastAsia="Times New Roman" w:hAnsi="Arial" w:cs="Arial"/>
                <w:lang w:val="en-US"/>
              </w:rPr>
              <w:t xml:space="preserve">Indication: </w:t>
            </w:r>
          </w:p>
        </w:tc>
        <w:tc>
          <w:tcPr>
            <w:tcW w:w="2768" w:type="dxa"/>
            <w:tcBorders>
              <w:right w:val="single" w:sz="4" w:space="0" w:color="auto"/>
            </w:tcBorders>
          </w:tcPr>
          <w:p w14:paraId="7D6D3F64" w14:textId="77777777" w:rsidR="00114E55" w:rsidRPr="002A2513" w:rsidRDefault="00114E55" w:rsidP="009F25F3">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114E55" w:rsidRPr="002A2513" w14:paraId="7CA1D56F" w14:textId="77777777" w:rsidTr="009F25F3">
        <w:trPr>
          <w:trHeight w:val="247"/>
        </w:trPr>
        <w:tc>
          <w:tcPr>
            <w:tcW w:w="2852" w:type="dxa"/>
            <w:noWrap/>
            <w:hideMark/>
          </w:tcPr>
          <w:p w14:paraId="3BA77CA3" w14:textId="77777777" w:rsidR="00114E55" w:rsidRPr="00B654C0" w:rsidRDefault="00114E55" w:rsidP="009F25F3">
            <w:pPr>
              <w:rPr>
                <w:rFonts w:ascii="Arial" w:hAnsi="Arial" w:cs="Arial"/>
              </w:rPr>
            </w:pPr>
            <w:r w:rsidRPr="00B654C0">
              <w:rPr>
                <w:rFonts w:ascii="Arial" w:hAnsi="Arial" w:cs="Arial"/>
                <w:lang w:val="en-US"/>
              </w:rPr>
              <w:t>NHS number</w:t>
            </w:r>
            <w:r>
              <w:rPr>
                <w:rFonts w:ascii="Arial" w:hAnsi="Arial" w:cs="Arial"/>
                <w:lang w:val="en-US"/>
              </w:rPr>
              <w:t>:</w:t>
            </w:r>
          </w:p>
        </w:tc>
        <w:tc>
          <w:tcPr>
            <w:tcW w:w="1963" w:type="dxa"/>
            <w:tcBorders>
              <w:right w:val="single" w:sz="4" w:space="0" w:color="auto"/>
            </w:tcBorders>
            <w:noWrap/>
            <w:hideMark/>
          </w:tcPr>
          <w:p w14:paraId="23655CDF" w14:textId="77777777" w:rsidR="00114E55" w:rsidRPr="002A2513" w:rsidRDefault="00114E55" w:rsidP="009F25F3">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02A8A0D2" w14:textId="77777777" w:rsidR="00114E55" w:rsidRPr="00B654C0" w:rsidRDefault="00114E55" w:rsidP="009F25F3">
            <w:pPr>
              <w:spacing w:after="80"/>
              <w:contextualSpacing/>
              <w:rPr>
                <w:rFonts w:ascii="Arial" w:eastAsia="Times New Roman" w:hAnsi="Arial" w:cs="Arial"/>
                <w:lang w:val="en-US"/>
              </w:rPr>
            </w:pPr>
            <w:r w:rsidRPr="00B168C1">
              <w:rPr>
                <w:rFonts w:ascii="Arial" w:eastAsia="Times New Roman" w:hAnsi="Arial" w:cs="Arial"/>
                <w:lang w:val="en-US"/>
              </w:rPr>
              <w:t xml:space="preserve">Estimated date for prescribing to be continued by the GP: </w:t>
            </w:r>
          </w:p>
        </w:tc>
        <w:tc>
          <w:tcPr>
            <w:tcW w:w="2768" w:type="dxa"/>
            <w:tcBorders>
              <w:right w:val="single" w:sz="4" w:space="0" w:color="auto"/>
            </w:tcBorders>
          </w:tcPr>
          <w:p w14:paraId="1A2E488C" w14:textId="77777777" w:rsidR="00114E55" w:rsidRPr="002A2513" w:rsidRDefault="00114E55" w:rsidP="009F25F3">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114E55" w:rsidRPr="002A2513" w14:paraId="2E6DFE4E" w14:textId="77777777" w:rsidTr="009F25F3">
        <w:trPr>
          <w:trHeight w:val="50"/>
        </w:trPr>
        <w:tc>
          <w:tcPr>
            <w:tcW w:w="2852" w:type="dxa"/>
            <w:noWrap/>
          </w:tcPr>
          <w:p w14:paraId="67860B78" w14:textId="77777777" w:rsidR="00114E55" w:rsidRPr="00B654C0" w:rsidRDefault="00114E55" w:rsidP="009F25F3">
            <w:pPr>
              <w:spacing w:after="80"/>
              <w:contextualSpacing/>
              <w:jc w:val="both"/>
              <w:rPr>
                <w:rFonts w:ascii="Arial" w:eastAsia="Times New Roman" w:hAnsi="Arial" w:cs="Arial"/>
                <w:lang w:val="en-US"/>
              </w:rPr>
            </w:pPr>
            <w:r w:rsidRPr="00B168C1">
              <w:rPr>
                <w:rFonts w:ascii="Arial" w:eastAsia="Times New Roman" w:hAnsi="Arial" w:cs="Arial"/>
                <w:lang w:val="en-US"/>
              </w:rPr>
              <w:t>Patient weight (kg):</w:t>
            </w:r>
          </w:p>
        </w:tc>
        <w:tc>
          <w:tcPr>
            <w:tcW w:w="1963" w:type="dxa"/>
            <w:tcBorders>
              <w:right w:val="single" w:sz="4" w:space="0" w:color="auto"/>
            </w:tcBorders>
            <w:noWrap/>
          </w:tcPr>
          <w:p w14:paraId="1C72D615" w14:textId="77777777" w:rsidR="00114E55" w:rsidRPr="00B654C0" w:rsidRDefault="00114E55" w:rsidP="009F25F3">
            <w:pPr>
              <w:rPr>
                <w:rFonts w:ascii="Arial" w:eastAsia="Times New Roman" w:hAnsi="Arial" w:cs="Arial"/>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c>
          <w:tcPr>
            <w:tcW w:w="3827" w:type="dxa"/>
            <w:tcBorders>
              <w:right w:val="single" w:sz="4" w:space="0" w:color="auto"/>
            </w:tcBorders>
          </w:tcPr>
          <w:p w14:paraId="7C8BB526" w14:textId="77777777" w:rsidR="00114E55" w:rsidRPr="00B654C0" w:rsidRDefault="00114E55" w:rsidP="009F25F3">
            <w:pPr>
              <w:rPr>
                <w:rFonts w:ascii="Arial" w:hAnsi="Arial" w:cs="Arial"/>
                <w:sz w:val="18"/>
                <w:szCs w:val="18"/>
              </w:rPr>
            </w:pPr>
            <w:r w:rsidRPr="00B168C1">
              <w:rPr>
                <w:rFonts w:ascii="Arial" w:eastAsia="Times New Roman" w:hAnsi="Arial" w:cs="Arial"/>
                <w:lang w:val="en-US"/>
              </w:rPr>
              <w:t>Date of first prescription by specialist</w:t>
            </w:r>
          </w:p>
        </w:tc>
        <w:tc>
          <w:tcPr>
            <w:tcW w:w="2768" w:type="dxa"/>
            <w:tcBorders>
              <w:right w:val="single" w:sz="4" w:space="0" w:color="auto"/>
            </w:tcBorders>
          </w:tcPr>
          <w:p w14:paraId="16B164A0" w14:textId="77777777" w:rsidR="00114E55" w:rsidRPr="00B654C0" w:rsidRDefault="00114E55" w:rsidP="009F25F3">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114E55" w:rsidRPr="002A2513" w14:paraId="2863CAB0" w14:textId="77777777" w:rsidTr="009F25F3">
        <w:trPr>
          <w:trHeight w:val="50"/>
        </w:trPr>
        <w:tc>
          <w:tcPr>
            <w:tcW w:w="4815" w:type="dxa"/>
            <w:gridSpan w:val="2"/>
            <w:tcBorders>
              <w:right w:val="single" w:sz="4" w:space="0" w:color="auto"/>
            </w:tcBorders>
            <w:noWrap/>
          </w:tcPr>
          <w:p w14:paraId="4CC1C84F" w14:textId="77777777" w:rsidR="00114E55" w:rsidRPr="00B168C1" w:rsidRDefault="00114E55" w:rsidP="009F25F3">
            <w:pPr>
              <w:rPr>
                <w:rFonts w:ascii="Arial" w:eastAsia="Times New Roman" w:hAnsi="Arial" w:cs="Arial"/>
              </w:rPr>
            </w:pPr>
            <w:r w:rsidRPr="00B654C0">
              <w:rPr>
                <w:rFonts w:ascii="Arial" w:eastAsia="Times New Roman" w:hAnsi="Arial" w:cs="Arial"/>
                <w:lang w:val="en-US"/>
              </w:rPr>
              <w:t xml:space="preserve">Next monitoring tests due and dates: </w:t>
            </w:r>
          </w:p>
        </w:tc>
        <w:tc>
          <w:tcPr>
            <w:tcW w:w="6595" w:type="dxa"/>
            <w:gridSpan w:val="2"/>
            <w:tcBorders>
              <w:right w:val="single" w:sz="4" w:space="0" w:color="auto"/>
            </w:tcBorders>
          </w:tcPr>
          <w:p w14:paraId="412E4D99" w14:textId="77777777" w:rsidR="00114E55" w:rsidRPr="002A2513" w:rsidRDefault="00114E55" w:rsidP="009F25F3">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114E55" w:rsidRPr="002A2513" w14:paraId="7B4F497C" w14:textId="77777777" w:rsidTr="009F25F3">
        <w:trPr>
          <w:trHeight w:val="418"/>
        </w:trPr>
        <w:tc>
          <w:tcPr>
            <w:tcW w:w="4815" w:type="dxa"/>
            <w:gridSpan w:val="2"/>
            <w:tcBorders>
              <w:right w:val="single" w:sz="4" w:space="0" w:color="auto"/>
            </w:tcBorders>
            <w:noWrap/>
          </w:tcPr>
          <w:p w14:paraId="17638F31" w14:textId="77777777" w:rsidR="00114E55" w:rsidRPr="00B168C1" w:rsidRDefault="00114E55" w:rsidP="009F25F3">
            <w:pPr>
              <w:rPr>
                <w:rFonts w:ascii="Arial" w:eastAsia="Times New Roman" w:hAnsi="Arial" w:cs="Arial"/>
              </w:rPr>
            </w:pPr>
            <w:r w:rsidRPr="00B654C0">
              <w:rPr>
                <w:rFonts w:ascii="Arial" w:eastAsia="Times New Roman" w:hAnsi="Arial" w:cs="Arial"/>
                <w:lang w:val="en-US"/>
              </w:rPr>
              <w:t>Specialist additional comments/advice:</w:t>
            </w:r>
          </w:p>
        </w:tc>
        <w:tc>
          <w:tcPr>
            <w:tcW w:w="6595" w:type="dxa"/>
            <w:gridSpan w:val="2"/>
            <w:tcBorders>
              <w:right w:val="single" w:sz="4" w:space="0" w:color="auto"/>
            </w:tcBorders>
          </w:tcPr>
          <w:p w14:paraId="617908B1" w14:textId="77777777" w:rsidR="00114E55" w:rsidRPr="002A2513" w:rsidRDefault="00114E55" w:rsidP="009F25F3">
            <w:pPr>
              <w:rPr>
                <w:rFonts w:ascii="Arial" w:hAnsi="Arial" w:cs="Arial"/>
                <w:sz w:val="18"/>
                <w:szCs w:val="18"/>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bl>
    <w:p w14:paraId="2BC31C6C" w14:textId="77777777" w:rsidR="00114E55" w:rsidRPr="00B25DFC" w:rsidRDefault="00114E55" w:rsidP="00114E55">
      <w:pPr>
        <w:spacing w:after="0" w:line="240" w:lineRule="auto"/>
        <w:rPr>
          <w:rFonts w:ascii="Arial" w:eastAsia="Times New Roman" w:hAnsi="Arial" w:cs="Arial"/>
          <w:b/>
          <w:lang w:val="en-US"/>
        </w:rPr>
      </w:pPr>
    </w:p>
    <w:tbl>
      <w:tblPr>
        <w:tblStyle w:val="TableGrid"/>
        <w:tblW w:w="11374" w:type="dxa"/>
        <w:tblInd w:w="-431" w:type="dxa"/>
        <w:tblLook w:val="04A0" w:firstRow="1" w:lastRow="0" w:firstColumn="1" w:lastColumn="0" w:noHBand="0" w:noVBand="1"/>
      </w:tblPr>
      <w:tblGrid>
        <w:gridCol w:w="5375"/>
        <w:gridCol w:w="270"/>
        <w:gridCol w:w="5729"/>
      </w:tblGrid>
      <w:tr w:rsidR="00114E55" w14:paraId="4FE4AA52" w14:textId="77777777" w:rsidTr="009F25F3">
        <w:trPr>
          <w:trHeight w:val="672"/>
        </w:trPr>
        <w:tc>
          <w:tcPr>
            <w:tcW w:w="11374" w:type="dxa"/>
            <w:gridSpan w:val="3"/>
          </w:tcPr>
          <w:p w14:paraId="7726372B" w14:textId="77777777" w:rsidR="00114E55" w:rsidRPr="00131AEC" w:rsidRDefault="00114E55" w:rsidP="009F25F3">
            <w:pPr>
              <w:rPr>
                <w:rFonts w:ascii="Arial" w:hAnsi="Arial" w:cs="Arial"/>
                <w:b/>
                <w:color w:val="000000"/>
                <w:u w:val="single"/>
                <w:lang w:eastAsia="en-GB"/>
              </w:rPr>
            </w:pPr>
            <w:r w:rsidRPr="00131AEC">
              <w:rPr>
                <w:rFonts w:ascii="Arial" w:hAnsi="Arial" w:cs="Arial"/>
                <w:b/>
                <w:color w:val="000000"/>
                <w:u w:val="single"/>
                <w:lang w:eastAsia="en-GB"/>
              </w:rPr>
              <w:t>Specialist and patient agreement</w:t>
            </w:r>
          </w:p>
          <w:p w14:paraId="101F67F5" w14:textId="77777777" w:rsidR="00114E55" w:rsidRPr="000E0E99" w:rsidRDefault="00114E55" w:rsidP="009F25F3">
            <w:pPr>
              <w:rPr>
                <w:rFonts w:ascii="Arial" w:hAnsi="Arial" w:cs="Arial"/>
                <w:b/>
                <w:color w:val="000000"/>
                <w:lang w:eastAsia="en-GB"/>
              </w:rPr>
            </w:pPr>
            <w:r w:rsidRPr="000E0E99">
              <w:rPr>
                <w:rFonts w:ascii="Arial" w:hAnsi="Arial" w:cs="Arial"/>
                <w:b/>
                <w:color w:val="000000"/>
                <w:lang w:eastAsia="en-GB"/>
              </w:rPr>
              <w:t xml:space="preserve">By signing </w:t>
            </w:r>
            <w:proofErr w:type="gramStart"/>
            <w:r w:rsidRPr="000E0E99">
              <w:rPr>
                <w:rFonts w:ascii="Arial" w:hAnsi="Arial" w:cs="Arial"/>
                <w:b/>
                <w:color w:val="000000"/>
                <w:lang w:eastAsia="en-GB"/>
              </w:rPr>
              <w:t>below</w:t>
            </w:r>
            <w:proofErr w:type="gramEnd"/>
            <w:r w:rsidRPr="000E0E99">
              <w:rPr>
                <w:rFonts w:ascii="Arial" w:hAnsi="Arial" w:cs="Arial"/>
                <w:b/>
                <w:color w:val="000000"/>
                <w:lang w:eastAsia="en-GB"/>
              </w:rPr>
              <w:t xml:space="preserve"> we accept:</w:t>
            </w:r>
          </w:p>
          <w:p w14:paraId="1FE3D4E2" w14:textId="77777777" w:rsidR="00114E55" w:rsidRPr="00B42EA4" w:rsidRDefault="00114E55" w:rsidP="00114E55">
            <w:pPr>
              <w:numPr>
                <w:ilvl w:val="0"/>
                <w:numId w:val="2"/>
              </w:numPr>
              <w:spacing w:after="120"/>
              <w:jc w:val="both"/>
              <w:outlineLvl w:val="0"/>
              <w:rPr>
                <w:rFonts w:ascii="Arial" w:eastAsia="Times New Roman" w:hAnsi="Arial" w:cs="Arial"/>
                <w:lang w:val="en-US"/>
              </w:rPr>
            </w:pPr>
            <w:r>
              <w:rPr>
                <w:rFonts w:ascii="Arial" w:eastAsia="Times New Roman" w:hAnsi="Arial" w:cs="Arial"/>
                <w:lang w:val="en-US"/>
              </w:rPr>
              <w:t>T</w:t>
            </w:r>
            <w:r w:rsidRPr="00B42EA4">
              <w:rPr>
                <w:rFonts w:ascii="Arial" w:eastAsia="Times New Roman" w:hAnsi="Arial" w:cs="Arial"/>
                <w:lang w:val="en-US"/>
              </w:rPr>
              <w:t xml:space="preserve">he </w:t>
            </w:r>
            <w:r w:rsidRPr="00BD2343">
              <w:rPr>
                <w:rFonts w:ascii="Arial" w:eastAsia="Times New Roman" w:hAnsi="Arial" w:cs="Arial"/>
                <w:lang w:val="en-US"/>
              </w:rPr>
              <w:t xml:space="preserve">Herts and West Essex Area Prescribing Committee </w:t>
            </w:r>
            <w:hyperlink r:id="rId8" w:history="1">
              <w:r w:rsidRPr="00BD2343">
                <w:rPr>
                  <w:rStyle w:val="Hyperlink"/>
                  <w:rFonts w:ascii="Arial" w:eastAsia="Times New Roman" w:hAnsi="Arial" w:cs="Arial"/>
                  <w:lang w:val="en-US"/>
                </w:rPr>
                <w:t>shared care principles</w:t>
              </w:r>
            </w:hyperlink>
            <w:r w:rsidRPr="00BD2343">
              <w:rPr>
                <w:rFonts w:ascii="Arial" w:eastAsia="Times New Roman" w:hAnsi="Arial" w:cs="Arial"/>
                <w:lang w:val="en-US"/>
              </w:rPr>
              <w:t xml:space="preserve"> (HWE APC) and</w:t>
            </w:r>
          </w:p>
          <w:p w14:paraId="026AA265" w14:textId="77777777" w:rsidR="00114E55" w:rsidRPr="00131AEC" w:rsidRDefault="00114E55" w:rsidP="00114E55">
            <w:pPr>
              <w:numPr>
                <w:ilvl w:val="0"/>
                <w:numId w:val="2"/>
              </w:numPr>
              <w:spacing w:after="120"/>
              <w:jc w:val="both"/>
              <w:outlineLvl w:val="0"/>
              <w:rPr>
                <w:rFonts w:ascii="Arial" w:eastAsia="Times New Roman" w:hAnsi="Arial" w:cs="Arial"/>
                <w:b/>
                <w:lang w:val="en-US"/>
              </w:rPr>
            </w:pPr>
            <w:r>
              <w:rPr>
                <w:rFonts w:ascii="Arial" w:eastAsia="Times New Roman" w:hAnsi="Arial" w:cs="Arial"/>
                <w:lang w:val="en-US"/>
              </w:rPr>
              <w:t>T</w:t>
            </w:r>
            <w:r w:rsidRPr="00B42EA4">
              <w:rPr>
                <w:rFonts w:ascii="Arial" w:eastAsia="Times New Roman" w:hAnsi="Arial" w:cs="Arial"/>
                <w:lang w:val="en-US"/>
              </w:rPr>
              <w:t>he requirements and responsibilities defined in this drug specific shared care protocol</w:t>
            </w:r>
          </w:p>
        </w:tc>
      </w:tr>
      <w:tr w:rsidR="00114E55" w14:paraId="48E94CEC" w14:textId="77777777" w:rsidTr="009F25F3">
        <w:trPr>
          <w:trHeight w:val="461"/>
        </w:trPr>
        <w:tc>
          <w:tcPr>
            <w:tcW w:w="5375" w:type="dxa"/>
          </w:tcPr>
          <w:p w14:paraId="1266FD63" w14:textId="77777777" w:rsidR="00114E55" w:rsidRPr="00B654C0" w:rsidRDefault="00114E55" w:rsidP="009F25F3">
            <w:pPr>
              <w:rPr>
                <w:rFonts w:ascii="Arial" w:hAnsi="Arial" w:cs="Arial"/>
                <w:bCs/>
                <w:color w:val="000000"/>
                <w:lang w:eastAsia="en-GB"/>
              </w:rPr>
            </w:pPr>
            <w:r w:rsidRPr="00B654C0">
              <w:rPr>
                <w:rFonts w:ascii="Arial" w:hAnsi="Arial" w:cs="Arial"/>
                <w:bCs/>
                <w:color w:val="000000"/>
                <w:lang w:eastAsia="en-GB"/>
              </w:rPr>
              <w:t>Specialist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1413712B" w14:textId="77777777" w:rsidR="00114E55" w:rsidRPr="00B654C0" w:rsidRDefault="00114E55" w:rsidP="009F25F3">
            <w:pPr>
              <w:rPr>
                <w:rFonts w:ascii="Arial" w:hAnsi="Arial" w:cs="Arial"/>
                <w:bCs/>
                <w:color w:val="000000"/>
                <w:lang w:eastAsia="en-GB"/>
              </w:rPr>
            </w:pPr>
            <w:r w:rsidRPr="00B654C0">
              <w:rPr>
                <w:rFonts w:ascii="Arial" w:hAnsi="Arial" w:cs="Arial"/>
                <w:bCs/>
                <w:color w:val="000000"/>
                <w:lang w:eastAsia="en-GB"/>
              </w:rPr>
              <w:t xml:space="preserve">Specialist signature: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114E55" w14:paraId="0531E6AF" w14:textId="77777777" w:rsidTr="009F25F3">
        <w:trPr>
          <w:trHeight w:val="461"/>
        </w:trPr>
        <w:tc>
          <w:tcPr>
            <w:tcW w:w="5375" w:type="dxa"/>
          </w:tcPr>
          <w:p w14:paraId="3938CC75" w14:textId="77777777" w:rsidR="00114E55" w:rsidRPr="00B654C0" w:rsidRDefault="00114E55" w:rsidP="009F25F3">
            <w:pPr>
              <w:rPr>
                <w:rFonts w:ascii="Arial" w:hAnsi="Arial" w:cs="Arial"/>
                <w:bCs/>
                <w:color w:val="000000"/>
                <w:lang w:eastAsia="en-GB"/>
              </w:rPr>
            </w:pPr>
            <w:r w:rsidRPr="00B654C0">
              <w:rPr>
                <w:rFonts w:ascii="Arial" w:hAnsi="Arial" w:cs="Arial"/>
                <w:bCs/>
                <w:color w:val="000000"/>
                <w:lang w:eastAsia="en-GB"/>
              </w:rPr>
              <w:t>Designation:</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53086C5C" w14:textId="77777777" w:rsidR="00114E55" w:rsidRPr="00B654C0" w:rsidRDefault="00114E55" w:rsidP="009F25F3">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114E55" w14:paraId="554EF3FB" w14:textId="77777777" w:rsidTr="009F25F3">
        <w:trPr>
          <w:trHeight w:val="360"/>
        </w:trPr>
        <w:tc>
          <w:tcPr>
            <w:tcW w:w="5375" w:type="dxa"/>
          </w:tcPr>
          <w:p w14:paraId="666B7235" w14:textId="77777777" w:rsidR="00114E55" w:rsidRPr="00B654C0" w:rsidRDefault="00114E55" w:rsidP="009F25F3">
            <w:pPr>
              <w:rPr>
                <w:rFonts w:ascii="Arial" w:hAnsi="Arial" w:cs="Arial"/>
                <w:bCs/>
                <w:color w:val="000000"/>
                <w:lang w:eastAsia="en-GB"/>
              </w:rPr>
            </w:pPr>
            <w:r w:rsidRPr="00B654C0">
              <w:rPr>
                <w:rFonts w:ascii="Arial" w:hAnsi="Arial" w:cs="Arial"/>
                <w:bCs/>
                <w:color w:val="000000"/>
                <w:lang w:eastAsia="en-GB"/>
              </w:rPr>
              <w:t xml:space="preserve">Direct telephone: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val="restart"/>
          </w:tcPr>
          <w:p w14:paraId="430942A8" w14:textId="77777777" w:rsidR="00114E55" w:rsidRPr="00B654C0" w:rsidRDefault="00114E55" w:rsidP="009F25F3">
            <w:pPr>
              <w:rPr>
                <w:rFonts w:ascii="Arial" w:hAnsi="Arial" w:cs="Arial"/>
                <w:bCs/>
                <w:color w:val="000000"/>
                <w:lang w:eastAsia="en-GB"/>
              </w:rPr>
            </w:pPr>
            <w:r w:rsidRPr="00B654C0">
              <w:rPr>
                <w:rFonts w:ascii="Arial" w:hAnsi="Arial" w:cs="Arial"/>
                <w:bCs/>
                <w:color w:val="000000"/>
                <w:lang w:eastAsia="en-GB"/>
              </w:rPr>
              <w:t>Patient signature</w:t>
            </w:r>
            <w:r w:rsidRPr="00B654C0">
              <w:rPr>
                <w:rFonts w:ascii="Arial" w:hAnsi="Arial" w:cs="Arial"/>
                <w:bCs/>
              </w:rPr>
              <w:t xml:space="preserve"> or specialist confirmation of patient agreement to shared care arrangement</w:t>
            </w:r>
            <w:r w:rsidRPr="00B654C0">
              <w:rPr>
                <w:rFonts w:ascii="Arial" w:hAnsi="Arial" w:cs="Arial"/>
                <w:bCs/>
                <w:color w:val="000000"/>
                <w:lang w:eastAsia="en-GB"/>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114E55" w14:paraId="2DED9515" w14:textId="77777777" w:rsidTr="009F25F3">
        <w:trPr>
          <w:trHeight w:val="360"/>
        </w:trPr>
        <w:tc>
          <w:tcPr>
            <w:tcW w:w="5375" w:type="dxa"/>
          </w:tcPr>
          <w:p w14:paraId="50F2D2ED" w14:textId="77777777" w:rsidR="00114E55" w:rsidRPr="00B654C0" w:rsidRDefault="00114E55" w:rsidP="009F25F3">
            <w:pPr>
              <w:contextualSpacing/>
              <w:rPr>
                <w:rFonts w:ascii="Arial" w:eastAsia="Times New Roman" w:hAnsi="Arial" w:cs="Arial"/>
                <w:bCs/>
                <w:lang w:val="en-US"/>
              </w:rPr>
            </w:pPr>
            <w:r w:rsidRPr="00B654C0">
              <w:rPr>
                <w:rFonts w:ascii="Arial" w:eastAsia="Times New Roman" w:hAnsi="Arial" w:cs="Arial"/>
                <w:bCs/>
                <w:lang w:val="en-US"/>
              </w:rPr>
              <w:t xml:space="preserve">Provider trust: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tcPr>
          <w:p w14:paraId="0E92B9C6" w14:textId="77777777" w:rsidR="00114E55" w:rsidRPr="00B654C0" w:rsidRDefault="00114E55" w:rsidP="009F25F3">
            <w:pPr>
              <w:rPr>
                <w:rFonts w:ascii="Arial" w:hAnsi="Arial" w:cs="Arial"/>
                <w:bCs/>
                <w:color w:val="000000"/>
                <w:lang w:eastAsia="en-GB"/>
              </w:rPr>
            </w:pPr>
          </w:p>
        </w:tc>
      </w:tr>
      <w:tr w:rsidR="00114E55" w14:paraId="27293375" w14:textId="77777777" w:rsidTr="009F25F3">
        <w:trPr>
          <w:trHeight w:val="461"/>
        </w:trPr>
        <w:tc>
          <w:tcPr>
            <w:tcW w:w="5375" w:type="dxa"/>
          </w:tcPr>
          <w:p w14:paraId="0E7D0A4B" w14:textId="77777777" w:rsidR="00114E55" w:rsidRPr="00B654C0" w:rsidRDefault="00114E55" w:rsidP="009F25F3">
            <w:pPr>
              <w:rPr>
                <w:rFonts w:ascii="Arial" w:hAnsi="Arial" w:cs="Arial"/>
                <w:bCs/>
                <w:color w:val="000000"/>
                <w:lang w:eastAsia="en-GB"/>
              </w:rPr>
            </w:pPr>
            <w:r w:rsidRPr="00B654C0">
              <w:rPr>
                <w:rFonts w:ascii="Arial" w:hAnsi="Arial" w:cs="Arial"/>
                <w:bCs/>
                <w:color w:val="000000"/>
                <w:lang w:eastAsia="en-GB"/>
              </w:rPr>
              <w:t xml:space="preserve">Email/ Shared care email for use by GP: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6E00938B" w14:textId="77777777" w:rsidR="00114E55" w:rsidRPr="00B654C0" w:rsidRDefault="00114E55" w:rsidP="009F25F3">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114E55" w14:paraId="3B1CCB86" w14:textId="77777777" w:rsidTr="009F25F3">
        <w:trPr>
          <w:trHeight w:val="147"/>
        </w:trPr>
        <w:tc>
          <w:tcPr>
            <w:tcW w:w="11374" w:type="dxa"/>
            <w:gridSpan w:val="3"/>
          </w:tcPr>
          <w:p w14:paraId="72A7E1FF" w14:textId="77777777" w:rsidR="00114E55" w:rsidRDefault="00114E55" w:rsidP="009F25F3">
            <w:pPr>
              <w:contextualSpacing/>
              <w:jc w:val="both"/>
              <w:rPr>
                <w:rFonts w:ascii="Arial" w:hAnsi="Arial" w:cs="Arial"/>
                <w:b/>
                <w:u w:val="single"/>
              </w:rPr>
            </w:pPr>
            <w:r w:rsidRPr="000E0E99">
              <w:rPr>
                <w:rFonts w:ascii="Arial" w:hAnsi="Arial" w:cs="Arial"/>
                <w:b/>
                <w:u w:val="single"/>
              </w:rPr>
              <w:t>GP response to shared care</w:t>
            </w:r>
          </w:p>
          <w:p w14:paraId="2D95F351" w14:textId="77777777" w:rsidR="00114E55" w:rsidRPr="00B654C0" w:rsidRDefault="00114E55" w:rsidP="009F25F3">
            <w:pPr>
              <w:contextualSpacing/>
              <w:jc w:val="both"/>
              <w:rPr>
                <w:rFonts w:ascii="Arial" w:hAnsi="Arial" w:cs="Arial"/>
                <w:b/>
                <w:u w:val="single"/>
              </w:rPr>
            </w:pPr>
          </w:p>
          <w:p w14:paraId="6CA431AE" w14:textId="77777777" w:rsidR="00114E55" w:rsidRPr="000E0E99" w:rsidRDefault="00114E55" w:rsidP="009F25F3">
            <w:pPr>
              <w:contextualSpacing/>
              <w:rPr>
                <w:rFonts w:ascii="Arial" w:hAnsi="Arial" w:cs="Arial"/>
                <w:b/>
              </w:rPr>
            </w:pPr>
            <w:r w:rsidRPr="000E0E99">
              <w:rPr>
                <w:rFonts w:ascii="Arial" w:hAnsi="Arial" w:cs="Arial"/>
                <w:b/>
              </w:rPr>
              <w:t xml:space="preserve">Please return to specialist </w:t>
            </w:r>
            <w:r w:rsidRPr="000E0E99">
              <w:rPr>
                <w:rFonts w:ascii="Arial" w:hAnsi="Arial" w:cs="Arial"/>
                <w:b/>
                <w:u w:val="single"/>
              </w:rPr>
              <w:t>within two weeks</w:t>
            </w:r>
            <w:r w:rsidRPr="000E0E99">
              <w:rPr>
                <w:rFonts w:ascii="Arial" w:hAnsi="Arial" w:cs="Arial"/>
                <w:b/>
              </w:rPr>
              <w:t xml:space="preserve"> of receipt of request to share care.</w:t>
            </w:r>
          </w:p>
          <w:p w14:paraId="7212D672" w14:textId="77777777" w:rsidR="00114E55" w:rsidRPr="00B654C0" w:rsidRDefault="00114E55" w:rsidP="009F25F3">
            <w:pPr>
              <w:spacing w:after="120"/>
              <w:contextualSpacing/>
              <w:rPr>
                <w:rFonts w:ascii="Arial" w:hAnsi="Arial" w:cs="Times New Roman"/>
                <w:b/>
                <w:i/>
              </w:rPr>
            </w:pPr>
            <w:r w:rsidRPr="000E0E99">
              <w:rPr>
                <w:rFonts w:ascii="Arial" w:hAnsi="Arial"/>
                <w:b/>
                <w:i/>
              </w:rPr>
              <w:t>This form is to be completed by the GP who is requested to share care.</w:t>
            </w:r>
          </w:p>
          <w:p w14:paraId="57B9C587" w14:textId="77777777" w:rsidR="00114E55" w:rsidRPr="000E0E99" w:rsidRDefault="00114E55" w:rsidP="009F25F3">
            <w:pPr>
              <w:contextualSpacing/>
              <w:rPr>
                <w:rFonts w:ascii="Arial" w:hAnsi="Arial" w:cs="Arial"/>
              </w:rPr>
            </w:pPr>
            <w:r w:rsidRPr="000E0E99">
              <w:rPr>
                <w:rFonts w:ascii="Arial" w:hAnsi="Arial" w:cs="Arial"/>
              </w:rPr>
              <w:t xml:space="preserve">I agree to accept shared care for this patient as set out in this shared care protocol and APC </w:t>
            </w:r>
            <w:hyperlink r:id="rId9" w:history="1">
              <w:r w:rsidRPr="00BD2343">
                <w:rPr>
                  <w:rStyle w:val="Hyperlink"/>
                  <w:rFonts w:ascii="Arial" w:hAnsi="Arial" w:cs="Arial"/>
                </w:rPr>
                <w:t>shared care</w:t>
              </w:r>
            </w:hyperlink>
            <w:r w:rsidRPr="00BD2343">
              <w:rPr>
                <w:rFonts w:ascii="Arial" w:hAnsi="Arial" w:cs="Arial"/>
              </w:rPr>
              <w:t xml:space="preserve"> </w:t>
            </w:r>
            <w:r w:rsidRPr="000E0E99">
              <w:rPr>
                <w:rFonts w:ascii="Arial" w:hAnsi="Arial" w:cs="Arial"/>
              </w:rPr>
              <w:t>principles</w:t>
            </w:r>
            <w:r>
              <w:rPr>
                <w:rFonts w:ascii="Arial" w:hAnsi="Arial" w:cs="Arial"/>
              </w:rPr>
              <w:t xml:space="preserve"> </w:t>
            </w:r>
            <w:r w:rsidRPr="000E0E99">
              <w:rPr>
                <w:rFonts w:ascii="Arial" w:hAnsi="Arial" w:cs="Arial"/>
                <w:color w:val="FF0000"/>
              </w:rPr>
              <w:t xml:space="preserve">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sidR="00156070">
              <w:rPr>
                <w:rFonts w:ascii="Arial" w:hAnsi="Arial" w:cs="Arial"/>
              </w:rPr>
            </w:r>
            <w:r w:rsidR="00156070">
              <w:rPr>
                <w:rFonts w:ascii="Arial" w:hAnsi="Arial" w:cs="Arial"/>
              </w:rPr>
              <w:fldChar w:fldCharType="separate"/>
            </w:r>
            <w:r w:rsidRPr="000E0E99">
              <w:rPr>
                <w:rFonts w:ascii="Arial" w:hAnsi="Arial" w:cs="Arial"/>
              </w:rPr>
              <w:fldChar w:fldCharType="end"/>
            </w:r>
          </w:p>
          <w:p w14:paraId="0CDBBE76" w14:textId="77777777" w:rsidR="00114E55" w:rsidRPr="000E0E99" w:rsidRDefault="00114E55" w:rsidP="009F25F3">
            <w:pPr>
              <w:spacing w:after="120"/>
              <w:contextualSpacing/>
              <w:rPr>
                <w:rFonts w:ascii="Arial" w:hAnsi="Arial" w:cs="Arial"/>
              </w:rPr>
            </w:pPr>
            <w:r w:rsidRPr="000E0E99">
              <w:rPr>
                <w:rFonts w:ascii="Arial" w:hAnsi="Arial" w:cs="Arial"/>
              </w:rPr>
              <w:t xml:space="preserve">I do not accept shared care for this patient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sidR="00156070">
              <w:rPr>
                <w:rFonts w:ascii="Arial" w:hAnsi="Arial" w:cs="Arial"/>
              </w:rPr>
            </w:r>
            <w:r w:rsidR="00156070">
              <w:rPr>
                <w:rFonts w:ascii="Arial" w:hAnsi="Arial" w:cs="Arial"/>
              </w:rPr>
              <w:fldChar w:fldCharType="separate"/>
            </w:r>
            <w:r w:rsidRPr="000E0E99">
              <w:rPr>
                <w:rFonts w:ascii="Arial" w:hAnsi="Arial" w:cs="Arial"/>
              </w:rPr>
              <w:fldChar w:fldCharType="end"/>
            </w:r>
          </w:p>
          <w:p w14:paraId="6526765A" w14:textId="2A2E0973" w:rsidR="00114E55" w:rsidRPr="009E68B2" w:rsidRDefault="00114E55" w:rsidP="009F25F3">
            <w:pPr>
              <w:contextualSpacing/>
              <w:rPr>
                <w:rFonts w:ascii="Arial" w:hAnsi="Arial" w:cs="Arial"/>
                <w:b/>
              </w:rPr>
            </w:pPr>
            <w:r w:rsidRPr="000E0E99">
              <w:rPr>
                <w:rFonts w:ascii="Arial" w:hAnsi="Arial" w:cs="Arial"/>
              </w:rPr>
              <w:t xml:space="preserve">My reason(s) for not prescribing are given </w:t>
            </w:r>
            <w:proofErr w:type="gramStart"/>
            <w:r w:rsidRPr="000E0E99">
              <w:rPr>
                <w:rFonts w:ascii="Arial" w:hAnsi="Arial" w:cs="Arial"/>
              </w:rPr>
              <w:t>below</w:t>
            </w:r>
            <w:r w:rsidR="00156070" w:rsidRPr="00156070">
              <w:rPr>
                <w:rFonts w:ascii="Arial" w:hAnsi="Arial" w:cs="Arial"/>
              </w:rPr>
              <w:t>(</w:t>
            </w:r>
            <w:r w:rsidR="00156070">
              <w:rPr>
                <w:rFonts w:ascii="Arial" w:hAnsi="Arial" w:cs="Arial"/>
              </w:rPr>
              <w:t xml:space="preserve"> </w:t>
            </w:r>
            <w:r w:rsidR="00156070" w:rsidRPr="00156070">
              <w:rPr>
                <w:rFonts w:ascii="Arial" w:hAnsi="Arial" w:cs="Arial"/>
              </w:rPr>
              <w:t>refer</w:t>
            </w:r>
            <w:proofErr w:type="gramEnd"/>
            <w:r w:rsidR="00156070" w:rsidRPr="00156070">
              <w:rPr>
                <w:rFonts w:ascii="Arial" w:hAnsi="Arial" w:cs="Arial"/>
              </w:rPr>
              <w:t xml:space="preserve"> to GP considerations for shared care at end of protocol)</w:t>
            </w:r>
            <w:r w:rsidRPr="000E0E99">
              <w:rPr>
                <w:rFonts w:ascii="Arial" w:hAnsi="Arial" w:cs="Arial"/>
              </w:rPr>
              <w:t>:</w:t>
            </w:r>
            <w:r w:rsidRPr="00D56106">
              <w:rPr>
                <w:rFonts w:ascii="Arial" w:hAnsi="Arial" w:cs="Arial"/>
                <w:b/>
              </w:rPr>
              <w:t xml:space="preserve"> </w:t>
            </w: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p w14:paraId="0F975176" w14:textId="432D591E" w:rsidR="00156070" w:rsidRPr="000E0E99" w:rsidRDefault="00156070" w:rsidP="009F25F3">
            <w:pPr>
              <w:contextualSpacing/>
              <w:rPr>
                <w:rFonts w:ascii="Arial" w:hAnsi="Arial" w:cs="Arial"/>
              </w:rPr>
            </w:pPr>
          </w:p>
        </w:tc>
      </w:tr>
      <w:tr w:rsidR="00114E55" w14:paraId="7F3B15CB" w14:textId="77777777" w:rsidTr="009F25F3">
        <w:trPr>
          <w:trHeight w:val="462"/>
        </w:trPr>
        <w:tc>
          <w:tcPr>
            <w:tcW w:w="5645" w:type="dxa"/>
            <w:gridSpan w:val="2"/>
          </w:tcPr>
          <w:p w14:paraId="5AB89B3C" w14:textId="77777777" w:rsidR="00114E55" w:rsidRPr="00B654C0" w:rsidRDefault="00114E55" w:rsidP="009F25F3">
            <w:pPr>
              <w:contextualSpacing/>
              <w:rPr>
                <w:rFonts w:ascii="Arial" w:hAnsi="Arial" w:cs="Arial"/>
                <w:bCs/>
              </w:rPr>
            </w:pPr>
            <w:r w:rsidRPr="00B654C0">
              <w:rPr>
                <w:rFonts w:ascii="Arial" w:hAnsi="Arial" w:cs="Arial"/>
                <w:bCs/>
              </w:rPr>
              <w:t>GP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val="restart"/>
          </w:tcPr>
          <w:p w14:paraId="7728388A" w14:textId="77777777" w:rsidR="00114E55" w:rsidRDefault="00114E55" w:rsidP="009F25F3">
            <w:pPr>
              <w:contextualSpacing/>
              <w:jc w:val="both"/>
              <w:rPr>
                <w:rFonts w:ascii="Arial" w:hAnsi="Arial" w:cs="Arial"/>
                <w:bCs/>
                <w:u w:val="single"/>
              </w:rPr>
            </w:pPr>
            <w:r w:rsidRPr="00B654C0">
              <w:rPr>
                <w:rFonts w:ascii="Arial" w:hAnsi="Arial" w:cs="Arial"/>
                <w:bCs/>
                <w:u w:val="single"/>
              </w:rPr>
              <w:t xml:space="preserve">Practice Address/Stamp: </w:t>
            </w:r>
          </w:p>
          <w:p w14:paraId="5D0E0DFA" w14:textId="77777777" w:rsidR="00114E55" w:rsidRPr="00B654C0" w:rsidRDefault="00114E55" w:rsidP="009F25F3">
            <w:pPr>
              <w:contextualSpacing/>
              <w:jc w:val="both"/>
              <w:rPr>
                <w:rFonts w:ascii="Arial" w:hAnsi="Arial" w:cs="Arial"/>
                <w:bCs/>
                <w:sz w:val="24"/>
                <w:szCs w:val="24"/>
                <w:u w:val="single"/>
              </w:rPr>
            </w:pP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114E55" w14:paraId="6A7634BF" w14:textId="77777777" w:rsidTr="009F25F3">
        <w:trPr>
          <w:trHeight w:val="462"/>
        </w:trPr>
        <w:tc>
          <w:tcPr>
            <w:tcW w:w="5645" w:type="dxa"/>
            <w:gridSpan w:val="2"/>
          </w:tcPr>
          <w:p w14:paraId="18C0151E" w14:textId="77777777" w:rsidR="00114E55" w:rsidRPr="00B654C0" w:rsidRDefault="00114E55" w:rsidP="009F25F3">
            <w:pPr>
              <w:contextualSpacing/>
              <w:rPr>
                <w:rFonts w:ascii="Arial" w:hAnsi="Arial" w:cs="Arial"/>
                <w:bCs/>
              </w:rPr>
            </w:pPr>
            <w:r w:rsidRPr="00B654C0">
              <w:rPr>
                <w:rFonts w:ascii="Arial" w:hAnsi="Arial" w:cs="Arial"/>
                <w:bCs/>
              </w:rPr>
              <w:t>Direct telephone number:</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1BF6E9DB" w14:textId="77777777" w:rsidR="00114E55" w:rsidRPr="00B654C0" w:rsidRDefault="00114E55" w:rsidP="009F25F3">
            <w:pPr>
              <w:contextualSpacing/>
              <w:jc w:val="both"/>
              <w:rPr>
                <w:rFonts w:ascii="Arial" w:hAnsi="Arial" w:cs="Arial"/>
                <w:bCs/>
                <w:sz w:val="24"/>
                <w:szCs w:val="24"/>
                <w:u w:val="single"/>
              </w:rPr>
            </w:pPr>
          </w:p>
        </w:tc>
      </w:tr>
      <w:tr w:rsidR="00114E55" w14:paraId="245EE2C6" w14:textId="77777777" w:rsidTr="009F25F3">
        <w:trPr>
          <w:trHeight w:val="462"/>
        </w:trPr>
        <w:tc>
          <w:tcPr>
            <w:tcW w:w="5645" w:type="dxa"/>
            <w:gridSpan w:val="2"/>
          </w:tcPr>
          <w:p w14:paraId="53D27A72" w14:textId="77777777" w:rsidR="00114E55" w:rsidRPr="00B654C0" w:rsidRDefault="00114E55" w:rsidP="009F25F3">
            <w:pPr>
              <w:contextualSpacing/>
              <w:rPr>
                <w:rFonts w:ascii="Arial" w:hAnsi="Arial" w:cs="Arial"/>
                <w:bCs/>
              </w:rPr>
            </w:pPr>
            <w:r w:rsidRPr="00B654C0">
              <w:rPr>
                <w:rFonts w:ascii="Arial" w:hAnsi="Arial" w:cs="Arial"/>
                <w:bCs/>
              </w:rPr>
              <w:t>Email:</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4CB0594E" w14:textId="77777777" w:rsidR="00114E55" w:rsidRPr="00B654C0" w:rsidRDefault="00114E55" w:rsidP="009F25F3">
            <w:pPr>
              <w:contextualSpacing/>
              <w:jc w:val="both"/>
              <w:rPr>
                <w:rFonts w:ascii="Arial" w:hAnsi="Arial" w:cs="Arial"/>
                <w:bCs/>
                <w:sz w:val="24"/>
                <w:szCs w:val="24"/>
                <w:u w:val="single"/>
              </w:rPr>
            </w:pPr>
          </w:p>
        </w:tc>
      </w:tr>
      <w:tr w:rsidR="00114E55" w14:paraId="56C8C936" w14:textId="77777777" w:rsidTr="009F25F3">
        <w:trPr>
          <w:trHeight w:val="462"/>
        </w:trPr>
        <w:tc>
          <w:tcPr>
            <w:tcW w:w="5645" w:type="dxa"/>
            <w:gridSpan w:val="2"/>
          </w:tcPr>
          <w:p w14:paraId="6F567EB5" w14:textId="77777777" w:rsidR="00114E55" w:rsidRDefault="00114E55" w:rsidP="009F25F3">
            <w:pPr>
              <w:contextualSpacing/>
              <w:rPr>
                <w:rFonts w:ascii="Arial" w:hAnsi="Arial" w:cs="Arial"/>
                <w:bCs/>
                <w:sz w:val="18"/>
                <w:szCs w:val="18"/>
              </w:rPr>
            </w:pPr>
            <w:r w:rsidRPr="00B654C0">
              <w:rPr>
                <w:rFonts w:ascii="Arial" w:hAnsi="Arial" w:cs="Arial"/>
                <w:bCs/>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p w14:paraId="3187E535" w14:textId="77777777" w:rsidR="00114E55" w:rsidRDefault="00114E55" w:rsidP="00114E55">
            <w:pPr>
              <w:rPr>
                <w:rFonts w:ascii="Arial" w:hAnsi="Arial" w:cs="Arial"/>
                <w:bCs/>
                <w:sz w:val="18"/>
                <w:szCs w:val="18"/>
              </w:rPr>
            </w:pPr>
          </w:p>
          <w:p w14:paraId="672E8CCF" w14:textId="77777777" w:rsidR="00114E55" w:rsidRPr="00114E55" w:rsidRDefault="00114E55" w:rsidP="00114E55">
            <w:pPr>
              <w:jc w:val="right"/>
              <w:rPr>
                <w:rFonts w:ascii="Arial" w:hAnsi="Arial" w:cs="Arial"/>
              </w:rPr>
            </w:pPr>
          </w:p>
        </w:tc>
        <w:tc>
          <w:tcPr>
            <w:tcW w:w="5729" w:type="dxa"/>
          </w:tcPr>
          <w:p w14:paraId="7FDCDAF4" w14:textId="77777777" w:rsidR="00114E55" w:rsidRPr="00B654C0" w:rsidRDefault="00114E55" w:rsidP="009F25F3">
            <w:pPr>
              <w:contextualSpacing/>
              <w:rPr>
                <w:rFonts w:ascii="Arial" w:hAnsi="Arial" w:cs="Arial"/>
                <w:bCs/>
              </w:rPr>
            </w:pPr>
            <w:r w:rsidRPr="00B654C0">
              <w:rPr>
                <w:rFonts w:ascii="Arial" w:hAnsi="Arial" w:cs="Arial"/>
                <w:bCs/>
              </w:rPr>
              <w:t>GP Signature</w:t>
            </w:r>
            <w:r>
              <w:rPr>
                <w:rFonts w:ascii="Arial" w:hAnsi="Arial" w:cs="Arial"/>
                <w:bCs/>
              </w:rPr>
              <w:t>:</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bl>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E60DF5" w:rsidRPr="00E60DF5" w14:paraId="61541AAC" w14:textId="77777777" w:rsidTr="009235CE">
        <w:trPr>
          <w:trHeight w:val="632"/>
        </w:trPr>
        <w:tc>
          <w:tcPr>
            <w:tcW w:w="10627" w:type="dxa"/>
            <w:shd w:val="clear" w:color="auto" w:fill="auto"/>
          </w:tcPr>
          <w:p w14:paraId="444D51DD" w14:textId="77777777"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lastRenderedPageBreak/>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30281590"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Consider request to shared care arrangements and prompt completion and emailed return of signed response to the specialist using the Shared Care Agreement Form within 14 days of its receipt.</w:t>
            </w:r>
          </w:p>
          <w:p w14:paraId="0CCFFF1F" w14:textId="7ADB6EB1"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If shared care accepted prescribe azathioprine</w:t>
            </w:r>
            <w:r w:rsidR="009C46C1">
              <w:rPr>
                <w:rFonts w:ascii="Arial" w:eastAsia="Times New Roman" w:hAnsi="Arial" w:cs="Arial"/>
                <w:bCs/>
                <w:lang w:eastAsia="en-GB"/>
              </w:rPr>
              <w:t>/mercaptopurine</w:t>
            </w:r>
            <w:r w:rsidRPr="000C7F57">
              <w:rPr>
                <w:rFonts w:ascii="Arial" w:eastAsia="Times New Roman" w:hAnsi="Arial" w:cs="Arial"/>
                <w:bCs/>
                <w:lang w:eastAsia="en-GB"/>
              </w:rPr>
              <w:t xml:space="preserve"> once patient is clinically stable in line with protocol. </w:t>
            </w:r>
          </w:p>
          <w:p w14:paraId="227AF885"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Arrange, record and share ongoing monitoring and take appropriate action as per protocol and advised by specialist (see monitoring table), ensuring</w:t>
            </w:r>
            <w:r>
              <w:rPr>
                <w:rFonts w:ascii="Arial" w:eastAsia="Times New Roman" w:hAnsi="Arial" w:cs="Arial"/>
                <w:bCs/>
                <w:lang w:eastAsia="en-GB"/>
              </w:rPr>
              <w:t xml:space="preserve"> GP</w:t>
            </w:r>
            <w:r w:rsidRPr="000C7F57">
              <w:rPr>
                <w:rFonts w:ascii="Arial" w:eastAsia="Times New Roman" w:hAnsi="Arial" w:cs="Arial"/>
                <w:bCs/>
                <w:lang w:eastAsia="en-GB"/>
              </w:rPr>
              <w:t xml:space="preserve"> practice systems are in place to recall patients for monitoring blood tests. </w:t>
            </w:r>
          </w:p>
          <w:p w14:paraId="629CB8E4"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316DF3F9"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Ascertaining the reason for non-completion of routine blood testing, if one test is missed.</w:t>
            </w:r>
          </w:p>
          <w:p w14:paraId="62355592"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Appropriately prompt notification to the hospital specialist of any significant and relevant changes in the patient’s condition, medication dose, or of an adverse reaction</w:t>
            </w:r>
            <w:r>
              <w:rPr>
                <w:rFonts w:ascii="Arial" w:eastAsia="Times New Roman" w:hAnsi="Arial" w:cs="Arial"/>
                <w:bCs/>
                <w:lang w:eastAsia="en-GB"/>
              </w:rPr>
              <w:t>,</w:t>
            </w:r>
            <w:r w:rsidRPr="000C7F57">
              <w:rPr>
                <w:rFonts w:ascii="Arial" w:eastAsia="Times New Roman" w:hAnsi="Arial" w:cs="Arial"/>
                <w:bCs/>
                <w:lang w:eastAsia="en-GB"/>
              </w:rPr>
              <w:t xml:space="preserve"> according to the protocol and if the patient fails to attend for blood monitoring. </w:t>
            </w:r>
          </w:p>
          <w:p w14:paraId="3320B222"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085E9201"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Administer inactivated influenza vaccine annually unless otherwise advised by the initiating specialist.</w:t>
            </w:r>
          </w:p>
          <w:p w14:paraId="22CEEF9E" w14:textId="77777777" w:rsidR="002460C8" w:rsidRPr="002460C8" w:rsidRDefault="00DE41DC" w:rsidP="002460C8">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Check patient has had ONE DOSE of pneumococcal vaccine (revaccination is not recommended except every five </w:t>
            </w:r>
            <w:r w:rsidRPr="000C7F57">
              <w:rPr>
                <w:rFonts w:ascii="Arial" w:eastAsia="Times New Roman" w:hAnsi="Arial" w:cs="Arial"/>
                <w:bCs/>
                <w:lang w:eastAsia="en-GB"/>
              </w:rPr>
              <w:tab/>
              <w:t>years in patients whose antibody levels are likely to have declined more rapidly e</w:t>
            </w:r>
            <w:r w:rsidRPr="00755AEA">
              <w:rPr>
                <w:rFonts w:ascii="Arial" w:eastAsia="Times New Roman" w:hAnsi="Arial" w:cs="Arial"/>
                <w:bCs/>
                <w:lang w:eastAsia="en-GB"/>
              </w:rPr>
              <w:t xml:space="preserve">g. </w:t>
            </w:r>
            <w:r w:rsidRPr="002460C8">
              <w:rPr>
                <w:rFonts w:ascii="Arial" w:eastAsia="Times New Roman" w:hAnsi="Arial" w:cs="Arial"/>
                <w:bCs/>
                <w:lang w:eastAsia="en-GB"/>
              </w:rPr>
              <w:t>asplenia), see BNF or Green Book.</w:t>
            </w:r>
          </w:p>
          <w:p w14:paraId="5F5F8525" w14:textId="401939E5" w:rsidR="002460C8" w:rsidRPr="003C3EFF" w:rsidRDefault="002460C8" w:rsidP="002460C8">
            <w:pPr>
              <w:numPr>
                <w:ilvl w:val="0"/>
                <w:numId w:val="7"/>
              </w:numPr>
              <w:spacing w:after="0" w:line="240" w:lineRule="auto"/>
              <w:rPr>
                <w:rFonts w:ascii="Arial" w:eastAsia="Times New Roman" w:hAnsi="Arial" w:cs="Arial"/>
                <w:bCs/>
                <w:lang w:eastAsia="en-GB"/>
              </w:rPr>
            </w:pPr>
            <w:r w:rsidRPr="003C3EFF">
              <w:rPr>
                <w:rFonts w:ascii="Arial" w:eastAsia="Arial" w:hAnsi="Arial" w:cs="Arial"/>
                <w:color w:val="000000" w:themeColor="text1"/>
              </w:rPr>
              <w:t xml:space="preserve">COVID-19 vaccination is safe and recommended (see </w:t>
            </w:r>
            <w:hyperlink r:id="rId10">
              <w:r w:rsidRPr="003C3EFF">
                <w:rPr>
                  <w:rStyle w:val="Hyperlink"/>
                  <w:rFonts w:ascii="Arial" w:eastAsia="Arial" w:hAnsi="Arial" w:cs="Arial"/>
                </w:rPr>
                <w:t>The Green Book, Chapter 14a</w:t>
              </w:r>
            </w:hyperlink>
            <w:r w:rsidRPr="003C3EFF">
              <w:rPr>
                <w:rFonts w:ascii="Arial" w:eastAsia="Arial" w:hAnsi="Arial" w:cs="Arial"/>
                <w:color w:val="000000" w:themeColor="text1"/>
              </w:rPr>
              <w:t xml:space="preserve">). </w:t>
            </w:r>
          </w:p>
          <w:p w14:paraId="29941B38" w14:textId="584A3ED2" w:rsidR="00DE41DC" w:rsidRPr="003C3EFF" w:rsidRDefault="00DE41DC" w:rsidP="00DE41DC">
            <w:pPr>
              <w:numPr>
                <w:ilvl w:val="0"/>
                <w:numId w:val="7"/>
              </w:numPr>
              <w:spacing w:after="0" w:line="240" w:lineRule="auto"/>
              <w:rPr>
                <w:rFonts w:ascii="Arial" w:eastAsia="Times New Roman" w:hAnsi="Arial" w:cs="Arial"/>
                <w:bCs/>
                <w:lang w:eastAsia="en-GB"/>
              </w:rPr>
            </w:pPr>
            <w:r w:rsidRPr="003C3EFF">
              <w:rPr>
                <w:rFonts w:ascii="Arial" w:eastAsia="Times New Roman" w:hAnsi="Arial" w:cs="Arial"/>
                <w:bCs/>
                <w:lang w:eastAsia="en-GB"/>
              </w:rPr>
              <w:t xml:space="preserve">For susceptible immunosuppressed individuals with significant exposure to chickenpox (varicella) or shingles (zoster), follow latest national guidance on post exposure prophylaxis and use of anti-virals and varicella zoster immunoglobulin (VZIG) </w:t>
            </w:r>
            <w:hyperlink r:id="rId11" w:history="1">
              <w:r w:rsidR="00BB3A0D" w:rsidRPr="003C3EFF">
                <w:rPr>
                  <w:rStyle w:val="Hyperlink"/>
                  <w:rFonts w:ascii="Arial" w:hAnsi="Arial" w:cs="Arial"/>
                </w:rPr>
                <w:t>https://www.gov.uk/government/publications/post-exposure-prophylaxis-for-chickenpox-and-shingles</w:t>
              </w:r>
            </w:hyperlink>
            <w:r w:rsidR="00BB3A0D" w:rsidRPr="003C3EFF">
              <w:rPr>
                <w:rFonts w:ascii="Arial" w:hAnsi="Arial" w:cs="Arial"/>
              </w:rPr>
              <w:t xml:space="preserve"> </w:t>
            </w:r>
          </w:p>
          <w:p w14:paraId="31E4F4FB"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Ask about oral ulceration, sore throat, unexplained rash or unusual bruising</w:t>
            </w:r>
            <w:r>
              <w:rPr>
                <w:rFonts w:ascii="Arial" w:eastAsia="Times New Roman" w:hAnsi="Arial" w:cs="Arial"/>
                <w:bCs/>
                <w:lang w:eastAsia="en-GB"/>
              </w:rPr>
              <w:t>/bleeding at every consultation.</w:t>
            </w:r>
          </w:p>
          <w:p w14:paraId="37971F85" w14:textId="77777777" w:rsidR="00DE41DC"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Change dose or stop treatment in line with protocol and as advised by specialist</w:t>
            </w:r>
            <w:r>
              <w:rPr>
                <w:rFonts w:ascii="Arial" w:eastAsia="Times New Roman" w:hAnsi="Arial" w:cs="Arial"/>
                <w:bCs/>
                <w:lang w:eastAsia="en-GB"/>
              </w:rPr>
              <w:t>.</w:t>
            </w:r>
          </w:p>
          <w:p w14:paraId="3BA0FF18" w14:textId="77777777" w:rsidR="00DE41DC" w:rsidRPr="004E6E87" w:rsidRDefault="00DE41DC" w:rsidP="00DE41DC">
            <w:pPr>
              <w:numPr>
                <w:ilvl w:val="0"/>
                <w:numId w:val="7"/>
              </w:numPr>
              <w:spacing w:after="0" w:line="240" w:lineRule="auto"/>
              <w:rPr>
                <w:rFonts w:ascii="Arial" w:eastAsia="Times New Roman" w:hAnsi="Arial" w:cs="Arial"/>
                <w:bCs/>
                <w:lang w:eastAsia="en-GB"/>
              </w:rPr>
            </w:pPr>
            <w:r w:rsidRPr="004E6E87">
              <w:rPr>
                <w:rFonts w:ascii="Arial" w:eastAsia="Times New Roman" w:hAnsi="Arial" w:cs="Arial"/>
                <w:bCs/>
                <w:lang w:eastAsia="en-GB"/>
              </w:rPr>
              <w:t>Organization of urgent referral to the specialist team or A&amp;E if severe side effects or potential overdose is apparent.</w:t>
            </w:r>
          </w:p>
          <w:p w14:paraId="2A670407" w14:textId="77777777" w:rsidR="00DE41DC" w:rsidRDefault="00DE41DC" w:rsidP="00DE41DC">
            <w:pPr>
              <w:numPr>
                <w:ilvl w:val="0"/>
                <w:numId w:val="7"/>
              </w:numPr>
              <w:spacing w:after="0" w:line="240" w:lineRule="auto"/>
              <w:rPr>
                <w:rFonts w:ascii="Arial" w:eastAsia="Times New Roman" w:hAnsi="Arial" w:cs="Arial"/>
                <w:bCs/>
                <w:lang w:eastAsia="en-GB"/>
              </w:rPr>
            </w:pPr>
            <w:r w:rsidRPr="004E6E87">
              <w:rPr>
                <w:rFonts w:ascii="Arial" w:eastAsia="Times New Roman" w:hAnsi="Arial" w:cs="Arial"/>
                <w:bCs/>
                <w:lang w:eastAsia="en-GB"/>
              </w:rPr>
              <w:t>Liaising with the initiating clinician if the medicine becomes less effective</w:t>
            </w:r>
            <w:r>
              <w:rPr>
                <w:rFonts w:ascii="Arial" w:eastAsia="Times New Roman" w:hAnsi="Arial" w:cs="Arial"/>
                <w:bCs/>
                <w:lang w:eastAsia="en-GB"/>
              </w:rPr>
              <w:t xml:space="preserve"> and patient complains of symptoms</w:t>
            </w:r>
            <w:r w:rsidRPr="004E6E87">
              <w:rPr>
                <w:rFonts w:ascii="Arial" w:eastAsia="Times New Roman" w:hAnsi="Arial" w:cs="Arial"/>
                <w:bCs/>
                <w:lang w:eastAsia="en-GB"/>
              </w:rPr>
              <w:t>.</w:t>
            </w:r>
          </w:p>
          <w:p w14:paraId="48638FA2" w14:textId="77777777" w:rsidR="0015736E" w:rsidRPr="000C7F57"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ayout w:type="fixed"/>
              <w:tblLook w:val="04A0" w:firstRow="1" w:lastRow="0" w:firstColumn="1" w:lastColumn="0" w:noHBand="0" w:noVBand="1"/>
            </w:tblPr>
            <w:tblGrid>
              <w:gridCol w:w="10683"/>
            </w:tblGrid>
            <w:tr w:rsidR="0015736E" w14:paraId="4CB903B1" w14:textId="77777777" w:rsidTr="006B319A">
              <w:trPr>
                <w:trHeight w:val="1402"/>
              </w:trPr>
              <w:tc>
                <w:tcPr>
                  <w:tcW w:w="10683" w:type="dxa"/>
                </w:tcPr>
                <w:p w14:paraId="2E8A0D53" w14:textId="77777777" w:rsidR="0015736E" w:rsidRDefault="0015736E" w:rsidP="0015736E">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012DE9F8" w14:textId="77777777" w:rsidR="0015736E" w:rsidRPr="00B62EE0" w:rsidRDefault="0015736E" w:rsidP="0015736E">
                  <w:pPr>
                    <w:keepNext/>
                    <w:spacing w:after="120"/>
                    <w:contextualSpacing/>
                    <w:jc w:val="both"/>
                    <w:outlineLvl w:val="0"/>
                    <w:rPr>
                      <w:rFonts w:ascii="Arial" w:eastAsia="Times New Roman" w:hAnsi="Arial" w:cs="Times New Roman"/>
                      <w:b/>
                      <w:bCs/>
                      <w:sz w:val="12"/>
                      <w:szCs w:val="24"/>
                    </w:rPr>
                  </w:pPr>
                </w:p>
                <w:p w14:paraId="59758724" w14:textId="6CE9F128" w:rsidR="0015736E" w:rsidRDefault="0015736E" w:rsidP="0015736E">
                  <w:pPr>
                    <w:keepNext/>
                    <w:contextualSpacing/>
                    <w:jc w:val="both"/>
                    <w:outlineLvl w:val="0"/>
                    <w:rPr>
                      <w:rFonts w:ascii="Arial" w:eastAsia="Times New Roman" w:hAnsi="Arial" w:cs="Arial"/>
                      <w:b/>
                      <w:bCs/>
                      <w:u w:val="single"/>
                    </w:rPr>
                  </w:pPr>
                  <w:r w:rsidRPr="00843717">
                    <w:rPr>
                      <w:rFonts w:ascii="Arial" w:eastAsia="Times New Roman" w:hAnsi="Arial" w:cs="Arial"/>
                      <w:b/>
                      <w:bCs/>
                      <w:u w:val="single"/>
                    </w:rPr>
                    <w:t>Monitoring Table</w:t>
                  </w:r>
                  <w:r w:rsidR="00710AA9">
                    <w:rPr>
                      <w:rFonts w:ascii="Arial" w:eastAsia="Times New Roman" w:hAnsi="Arial" w:cs="Arial"/>
                      <w:b/>
                      <w:bCs/>
                      <w:u w:val="single"/>
                    </w:rPr>
                    <w:t xml:space="preserve"> </w:t>
                  </w:r>
                  <w:r w:rsidR="00E163C9" w:rsidRPr="00EA6396">
                    <w:rPr>
                      <w:rFonts w:ascii="Arial" w:eastAsia="Times New Roman" w:hAnsi="Arial" w:cs="Arial"/>
                      <w:b/>
                      <w:u w:val="single"/>
                      <w:lang w:eastAsia="en-GB"/>
                    </w:rPr>
                    <w:t>– see GP monitoring highlighted in grey</w:t>
                  </w:r>
                </w:p>
                <w:p w14:paraId="218D7ECD" w14:textId="77777777" w:rsidR="00D7659F" w:rsidRPr="00843717" w:rsidRDefault="00D7659F" w:rsidP="0015736E">
                  <w:pPr>
                    <w:keepNext/>
                    <w:contextualSpacing/>
                    <w:jc w:val="both"/>
                    <w:outlineLvl w:val="0"/>
                    <w:rPr>
                      <w:rFonts w:ascii="Arial" w:eastAsia="Times New Roman" w:hAnsi="Arial" w:cs="Arial"/>
                      <w:b/>
                      <w:bCs/>
                      <w:u w:val="single"/>
                    </w:rPr>
                  </w:pPr>
                </w:p>
                <w:tbl>
                  <w:tblPr>
                    <w:tblStyle w:val="TableGrid2"/>
                    <w:tblW w:w="10372" w:type="dxa"/>
                    <w:tblLayout w:type="fixed"/>
                    <w:tblLook w:val="04A0" w:firstRow="1" w:lastRow="0" w:firstColumn="1" w:lastColumn="0" w:noHBand="0" w:noVBand="1"/>
                  </w:tblPr>
                  <w:tblGrid>
                    <w:gridCol w:w="1194"/>
                    <w:gridCol w:w="1451"/>
                    <w:gridCol w:w="1219"/>
                    <w:gridCol w:w="1525"/>
                    <w:gridCol w:w="2120"/>
                    <w:gridCol w:w="1451"/>
                    <w:gridCol w:w="1412"/>
                  </w:tblGrid>
                  <w:tr w:rsidR="004E1C35" w:rsidRPr="00843717" w14:paraId="6AE4D9EB" w14:textId="77777777" w:rsidTr="009235CE">
                    <w:tc>
                      <w:tcPr>
                        <w:tcW w:w="2645" w:type="dxa"/>
                        <w:gridSpan w:val="2"/>
                        <w:shd w:val="clear" w:color="auto" w:fill="auto"/>
                      </w:tcPr>
                      <w:p w14:paraId="3E3E5253" w14:textId="77777777" w:rsidR="004E1C35" w:rsidRPr="00843717" w:rsidRDefault="004E1C35" w:rsidP="004E1C35">
                        <w:pPr>
                          <w:rPr>
                            <w:rFonts w:ascii="Arial" w:hAnsi="Arial" w:cs="Arial"/>
                            <w:b/>
                          </w:rPr>
                        </w:pPr>
                        <w:r w:rsidRPr="00843717">
                          <w:rPr>
                            <w:rFonts w:ascii="Arial" w:hAnsi="Arial" w:cs="Arial"/>
                            <w:b/>
                          </w:rPr>
                          <w:t>Monitoring table</w:t>
                        </w:r>
                      </w:p>
                    </w:tc>
                    <w:tc>
                      <w:tcPr>
                        <w:tcW w:w="1219" w:type="dxa"/>
                        <w:shd w:val="clear" w:color="auto" w:fill="auto"/>
                      </w:tcPr>
                      <w:p w14:paraId="77E90EE5" w14:textId="77777777" w:rsidR="004E1C35" w:rsidRPr="00843717" w:rsidRDefault="004E1C35" w:rsidP="004E1C35">
                        <w:pPr>
                          <w:jc w:val="center"/>
                          <w:rPr>
                            <w:rFonts w:ascii="Arial" w:hAnsi="Arial" w:cs="Arial"/>
                            <w:b/>
                          </w:rPr>
                        </w:pPr>
                        <w:r w:rsidRPr="00843717">
                          <w:rPr>
                            <w:rFonts w:ascii="Arial" w:hAnsi="Arial" w:cs="Arial"/>
                            <w:b/>
                          </w:rPr>
                          <w:t>Hospital specialist</w:t>
                        </w:r>
                      </w:p>
                    </w:tc>
                    <w:tc>
                      <w:tcPr>
                        <w:tcW w:w="1525" w:type="dxa"/>
                        <w:shd w:val="clear" w:color="auto" w:fill="auto"/>
                      </w:tcPr>
                      <w:p w14:paraId="42ED51BD" w14:textId="77777777" w:rsidR="004E1C35" w:rsidRPr="004579C4" w:rsidRDefault="004E1C35" w:rsidP="004E1C35">
                        <w:pPr>
                          <w:jc w:val="center"/>
                          <w:rPr>
                            <w:rFonts w:ascii="Arial" w:hAnsi="Arial" w:cs="Arial"/>
                            <w:b/>
                          </w:rPr>
                        </w:pPr>
                        <w:r w:rsidRPr="004579C4">
                          <w:rPr>
                            <w:rFonts w:ascii="Arial" w:hAnsi="Arial" w:cs="Arial"/>
                            <w:b/>
                          </w:rPr>
                          <w:t>Hospital specialist</w:t>
                        </w:r>
                      </w:p>
                    </w:tc>
                    <w:tc>
                      <w:tcPr>
                        <w:tcW w:w="2120" w:type="dxa"/>
                        <w:shd w:val="pct10" w:color="auto" w:fill="auto"/>
                      </w:tcPr>
                      <w:p w14:paraId="2565A4E4" w14:textId="77777777" w:rsidR="004E1C35" w:rsidRPr="004579C4" w:rsidRDefault="004E1C35" w:rsidP="004E1C35">
                        <w:pPr>
                          <w:jc w:val="center"/>
                          <w:rPr>
                            <w:rFonts w:ascii="Arial" w:hAnsi="Arial" w:cs="Arial"/>
                            <w:b/>
                          </w:rPr>
                        </w:pPr>
                        <w:r w:rsidRPr="004579C4">
                          <w:rPr>
                            <w:rFonts w:ascii="Arial" w:hAnsi="Arial" w:cs="Arial"/>
                            <w:b/>
                          </w:rPr>
                          <w:t>Hospital specialist / GP</w:t>
                        </w:r>
                      </w:p>
                    </w:tc>
                    <w:tc>
                      <w:tcPr>
                        <w:tcW w:w="1451" w:type="dxa"/>
                        <w:shd w:val="pct10" w:color="auto" w:fill="auto"/>
                      </w:tcPr>
                      <w:p w14:paraId="47738184" w14:textId="77777777" w:rsidR="004E1C35" w:rsidRPr="004579C4" w:rsidRDefault="004E1C35" w:rsidP="004E1C35">
                        <w:pPr>
                          <w:jc w:val="center"/>
                          <w:rPr>
                            <w:rFonts w:ascii="Arial" w:hAnsi="Arial" w:cs="Arial"/>
                            <w:b/>
                          </w:rPr>
                        </w:pPr>
                        <w:r w:rsidRPr="004579C4">
                          <w:rPr>
                            <w:rFonts w:ascii="Arial" w:hAnsi="Arial" w:cs="Arial"/>
                            <w:b/>
                          </w:rPr>
                          <w:t xml:space="preserve">GP </w:t>
                        </w:r>
                      </w:p>
                    </w:tc>
                    <w:tc>
                      <w:tcPr>
                        <w:tcW w:w="1412" w:type="dxa"/>
                        <w:shd w:val="clear" w:color="auto" w:fill="auto"/>
                      </w:tcPr>
                      <w:p w14:paraId="353C71C1" w14:textId="77777777" w:rsidR="004E1C35" w:rsidRPr="00843717" w:rsidRDefault="004E1C35" w:rsidP="004E1C35">
                        <w:pPr>
                          <w:jc w:val="center"/>
                          <w:rPr>
                            <w:rFonts w:ascii="Arial" w:hAnsi="Arial" w:cs="Arial"/>
                            <w:b/>
                          </w:rPr>
                        </w:pPr>
                        <w:r w:rsidRPr="00843717">
                          <w:rPr>
                            <w:rFonts w:ascii="Arial" w:hAnsi="Arial" w:cs="Arial"/>
                            <w:b/>
                          </w:rPr>
                          <w:t>Hospital specialist</w:t>
                        </w:r>
                      </w:p>
                    </w:tc>
                  </w:tr>
                  <w:tr w:rsidR="004E1C35" w:rsidRPr="00843717" w14:paraId="7D2CDD2F" w14:textId="77777777" w:rsidTr="009235CE">
                    <w:trPr>
                      <w:trHeight w:val="843"/>
                    </w:trPr>
                    <w:tc>
                      <w:tcPr>
                        <w:tcW w:w="1194" w:type="dxa"/>
                        <w:shd w:val="clear" w:color="auto" w:fill="auto"/>
                      </w:tcPr>
                      <w:p w14:paraId="68890048" w14:textId="77777777" w:rsidR="004E1C35" w:rsidRPr="00843717" w:rsidRDefault="004E1C35" w:rsidP="004E1C35">
                        <w:pPr>
                          <w:jc w:val="center"/>
                          <w:rPr>
                            <w:rFonts w:ascii="Arial" w:hAnsi="Arial" w:cs="Arial"/>
                            <w:b/>
                          </w:rPr>
                        </w:pPr>
                      </w:p>
                      <w:p w14:paraId="6ADCCA5B" w14:textId="77777777" w:rsidR="004E1C35" w:rsidRPr="00843717" w:rsidRDefault="004E1C35" w:rsidP="004E1C35">
                        <w:pPr>
                          <w:jc w:val="center"/>
                          <w:rPr>
                            <w:rFonts w:ascii="Arial" w:hAnsi="Arial" w:cs="Arial"/>
                            <w:b/>
                          </w:rPr>
                        </w:pPr>
                        <w:r w:rsidRPr="00843717">
                          <w:rPr>
                            <w:rFonts w:ascii="Arial" w:hAnsi="Arial" w:cs="Arial"/>
                            <w:b/>
                          </w:rPr>
                          <w:t>Test</w:t>
                        </w:r>
                      </w:p>
                    </w:tc>
                    <w:tc>
                      <w:tcPr>
                        <w:tcW w:w="1451" w:type="dxa"/>
                        <w:shd w:val="clear" w:color="auto" w:fill="auto"/>
                      </w:tcPr>
                      <w:p w14:paraId="334BFD18" w14:textId="77777777" w:rsidR="004E1C35" w:rsidRPr="00843717" w:rsidRDefault="004E1C35" w:rsidP="004E1C35">
                        <w:pPr>
                          <w:jc w:val="center"/>
                          <w:rPr>
                            <w:rFonts w:ascii="Arial" w:hAnsi="Arial" w:cs="Arial"/>
                            <w:b/>
                          </w:rPr>
                        </w:pPr>
                      </w:p>
                      <w:p w14:paraId="05395B43" w14:textId="77777777" w:rsidR="004E1C35" w:rsidRPr="00843717" w:rsidRDefault="004E1C35" w:rsidP="004E1C35">
                        <w:pPr>
                          <w:jc w:val="center"/>
                          <w:rPr>
                            <w:rFonts w:ascii="Arial" w:hAnsi="Arial" w:cs="Arial"/>
                            <w:b/>
                          </w:rPr>
                        </w:pPr>
                        <w:r w:rsidRPr="00843717">
                          <w:rPr>
                            <w:rFonts w:ascii="Arial" w:hAnsi="Arial" w:cs="Arial"/>
                            <w:b/>
                          </w:rPr>
                          <w:t>Indication</w:t>
                        </w:r>
                      </w:p>
                    </w:tc>
                    <w:tc>
                      <w:tcPr>
                        <w:tcW w:w="1219" w:type="dxa"/>
                        <w:shd w:val="clear" w:color="auto" w:fill="auto"/>
                      </w:tcPr>
                      <w:p w14:paraId="046ECF24" w14:textId="77777777" w:rsidR="004E1C35" w:rsidRPr="00843717" w:rsidRDefault="004E1C35" w:rsidP="004E1C35">
                        <w:pPr>
                          <w:jc w:val="center"/>
                          <w:rPr>
                            <w:rFonts w:ascii="Arial" w:hAnsi="Arial" w:cs="Arial"/>
                          </w:rPr>
                        </w:pPr>
                        <w:r w:rsidRPr="00843717">
                          <w:rPr>
                            <w:rFonts w:ascii="Arial" w:hAnsi="Arial" w:cs="Arial"/>
                          </w:rPr>
                          <w:t>Pre-treatment baseline</w:t>
                        </w:r>
                      </w:p>
                    </w:tc>
                    <w:tc>
                      <w:tcPr>
                        <w:tcW w:w="1525" w:type="dxa"/>
                        <w:shd w:val="clear" w:color="auto" w:fill="auto"/>
                      </w:tcPr>
                      <w:p w14:paraId="2A0D5B97" w14:textId="77777777" w:rsidR="004E1C35" w:rsidRPr="004579C4" w:rsidRDefault="004E1C35" w:rsidP="004E1C35">
                        <w:pPr>
                          <w:jc w:val="center"/>
                          <w:rPr>
                            <w:rFonts w:ascii="Arial" w:hAnsi="Arial" w:cs="Arial"/>
                          </w:rPr>
                        </w:pPr>
                        <w:r w:rsidRPr="004579C4">
                          <w:rPr>
                            <w:rFonts w:ascii="Arial" w:hAnsi="Arial" w:cs="Arial"/>
                          </w:rPr>
                          <w:t>During Treatment</w:t>
                        </w:r>
                        <w:r w:rsidRPr="004579C4">
                          <w:rPr>
                            <w:rFonts w:ascii="Arial" w:hAnsi="Arial" w:cs="Arial"/>
                            <w:b/>
                          </w:rPr>
                          <w:t xml:space="preserve"> </w:t>
                        </w:r>
                        <w:r w:rsidRPr="004579C4">
                          <w:rPr>
                            <w:rFonts w:ascii="Arial" w:hAnsi="Arial" w:cs="Arial"/>
                          </w:rPr>
                          <w:t>Initiation</w:t>
                        </w:r>
                      </w:p>
                    </w:tc>
                    <w:tc>
                      <w:tcPr>
                        <w:tcW w:w="2120" w:type="dxa"/>
                        <w:shd w:val="pct10" w:color="auto" w:fill="auto"/>
                      </w:tcPr>
                      <w:p w14:paraId="5D7F7C95" w14:textId="77777777" w:rsidR="004E1C35" w:rsidRPr="004579C4" w:rsidRDefault="004E1C35" w:rsidP="004E1C35">
                        <w:pPr>
                          <w:jc w:val="center"/>
                          <w:rPr>
                            <w:rFonts w:ascii="Arial" w:hAnsi="Arial" w:cs="Arial"/>
                          </w:rPr>
                        </w:pPr>
                        <w:r w:rsidRPr="004579C4">
                          <w:rPr>
                            <w:rFonts w:ascii="Arial" w:hAnsi="Arial" w:cs="Arial"/>
                          </w:rPr>
                          <w:t xml:space="preserve">Following Treatment </w:t>
                        </w:r>
                      </w:p>
                      <w:p w14:paraId="7EDB39F7" w14:textId="77777777" w:rsidR="004E1C35" w:rsidRPr="004579C4" w:rsidRDefault="004E1C35" w:rsidP="004E1C35">
                        <w:pPr>
                          <w:jc w:val="center"/>
                          <w:rPr>
                            <w:rFonts w:ascii="Arial" w:hAnsi="Arial" w:cs="Arial"/>
                          </w:rPr>
                        </w:pPr>
                        <w:r w:rsidRPr="004579C4">
                          <w:rPr>
                            <w:rFonts w:ascii="Arial" w:hAnsi="Arial" w:cs="Arial"/>
                          </w:rPr>
                          <w:t>Initiation</w:t>
                        </w:r>
                      </w:p>
                    </w:tc>
                    <w:tc>
                      <w:tcPr>
                        <w:tcW w:w="1451" w:type="dxa"/>
                        <w:shd w:val="pct10" w:color="auto" w:fill="auto"/>
                      </w:tcPr>
                      <w:p w14:paraId="3B4BB0C4" w14:textId="77777777" w:rsidR="004E1C35" w:rsidRPr="004579C4" w:rsidRDefault="004E1C35" w:rsidP="004E1C35">
                        <w:pPr>
                          <w:jc w:val="center"/>
                          <w:rPr>
                            <w:rFonts w:ascii="Arial" w:hAnsi="Arial" w:cs="Arial"/>
                          </w:rPr>
                        </w:pPr>
                        <w:r w:rsidRPr="004579C4">
                          <w:rPr>
                            <w:rFonts w:ascii="Arial" w:hAnsi="Arial" w:cs="Arial"/>
                          </w:rPr>
                          <w:t>Ongoing</w:t>
                        </w:r>
                      </w:p>
                    </w:tc>
                    <w:tc>
                      <w:tcPr>
                        <w:tcW w:w="1412" w:type="dxa"/>
                        <w:shd w:val="clear" w:color="auto" w:fill="auto"/>
                      </w:tcPr>
                      <w:p w14:paraId="61C928BE" w14:textId="77777777" w:rsidR="004E1C35" w:rsidRPr="00843717" w:rsidRDefault="004E1C35" w:rsidP="004E1C35">
                        <w:pPr>
                          <w:rPr>
                            <w:rFonts w:ascii="Arial" w:hAnsi="Arial" w:cs="Arial"/>
                          </w:rPr>
                        </w:pPr>
                        <w:r w:rsidRPr="00843717">
                          <w:rPr>
                            <w:rFonts w:ascii="Arial" w:hAnsi="Arial" w:cs="Arial"/>
                          </w:rPr>
                          <w:t>Annual review</w:t>
                        </w:r>
                      </w:p>
                    </w:tc>
                  </w:tr>
                  <w:tr w:rsidR="00956E09" w:rsidRPr="00843717" w14:paraId="1DDFB400" w14:textId="77777777" w:rsidTr="009235CE">
                    <w:tc>
                      <w:tcPr>
                        <w:tcW w:w="1194" w:type="dxa"/>
                        <w:shd w:val="clear" w:color="auto" w:fill="auto"/>
                      </w:tcPr>
                      <w:p w14:paraId="3D2E3DF3" w14:textId="77777777" w:rsidR="00956E09" w:rsidRPr="00843717" w:rsidRDefault="00956E09" w:rsidP="004E1C35">
                        <w:pPr>
                          <w:rPr>
                            <w:rFonts w:ascii="Arial" w:hAnsi="Arial" w:cs="Arial"/>
                          </w:rPr>
                        </w:pPr>
                        <w:r w:rsidRPr="00843717">
                          <w:rPr>
                            <w:rFonts w:ascii="Arial" w:hAnsi="Arial" w:cs="Arial"/>
                          </w:rPr>
                          <w:t>FBC</w:t>
                        </w:r>
                      </w:p>
                    </w:tc>
                    <w:tc>
                      <w:tcPr>
                        <w:tcW w:w="1451" w:type="dxa"/>
                        <w:vMerge w:val="restart"/>
                        <w:shd w:val="clear" w:color="auto" w:fill="auto"/>
                      </w:tcPr>
                      <w:p w14:paraId="320B6014" w14:textId="77777777" w:rsidR="00956E09" w:rsidRPr="00843717" w:rsidRDefault="00956E09" w:rsidP="004E1C35">
                        <w:pPr>
                          <w:rPr>
                            <w:rFonts w:ascii="Arial" w:hAnsi="Arial" w:cs="Arial"/>
                          </w:rPr>
                        </w:pPr>
                        <w:r w:rsidRPr="00843717">
                          <w:rPr>
                            <w:rFonts w:ascii="Arial" w:hAnsi="Arial" w:cs="Arial"/>
                          </w:rPr>
                          <w:t xml:space="preserve">Baseline </w:t>
                        </w:r>
                        <w:r>
                          <w:rPr>
                            <w:rFonts w:ascii="Arial" w:hAnsi="Arial" w:cs="Arial"/>
                          </w:rPr>
                          <w:t xml:space="preserve">and ongoing </w:t>
                        </w:r>
                        <w:r w:rsidRPr="00843717">
                          <w:rPr>
                            <w:rFonts w:ascii="Arial" w:hAnsi="Arial" w:cs="Arial"/>
                          </w:rPr>
                          <w:t>assessment,</w:t>
                        </w:r>
                        <w:r>
                          <w:rPr>
                            <w:rFonts w:ascii="Arial" w:hAnsi="Arial" w:cs="Arial"/>
                          </w:rPr>
                          <w:t xml:space="preserve"> including</w:t>
                        </w:r>
                        <w:r w:rsidRPr="00843717">
                          <w:rPr>
                            <w:rFonts w:ascii="Arial" w:hAnsi="Arial" w:cs="Arial"/>
                          </w:rPr>
                          <w:t xml:space="preserve"> dose adjustment</w:t>
                        </w:r>
                        <w:r>
                          <w:rPr>
                            <w:rFonts w:ascii="Arial" w:hAnsi="Arial" w:cs="Arial"/>
                          </w:rPr>
                          <w:t xml:space="preserve"> to confirm safe to prescribe</w:t>
                        </w:r>
                      </w:p>
                    </w:tc>
                    <w:tc>
                      <w:tcPr>
                        <w:tcW w:w="1219" w:type="dxa"/>
                        <w:vMerge w:val="restart"/>
                        <w:shd w:val="clear" w:color="auto" w:fill="auto"/>
                      </w:tcPr>
                      <w:p w14:paraId="7971C012" w14:textId="77777777" w:rsidR="00956E09" w:rsidRPr="00843717" w:rsidRDefault="00956E09" w:rsidP="004E1C35">
                        <w:pPr>
                          <w:jc w:val="center"/>
                          <w:rPr>
                            <w:rFonts w:ascii="Arial" w:hAnsi="Arial" w:cs="Arial"/>
                          </w:rPr>
                        </w:pPr>
                      </w:p>
                      <w:p w14:paraId="1BE26675" w14:textId="77777777" w:rsidR="00956E09" w:rsidRPr="00843717" w:rsidRDefault="00956E09" w:rsidP="004E1C35">
                        <w:pPr>
                          <w:jc w:val="center"/>
                          <w:rPr>
                            <w:rFonts w:ascii="Arial" w:hAnsi="Arial" w:cs="Arial"/>
                          </w:rPr>
                        </w:pPr>
                        <w:r w:rsidRPr="00843717">
                          <w:rPr>
                            <w:rFonts w:ascii="Arial" w:hAnsi="Arial" w:cs="Arial"/>
                          </w:rPr>
                          <w:t>√</w:t>
                        </w:r>
                      </w:p>
                    </w:tc>
                    <w:tc>
                      <w:tcPr>
                        <w:tcW w:w="1525" w:type="dxa"/>
                        <w:vMerge w:val="restart"/>
                        <w:shd w:val="clear" w:color="auto" w:fill="auto"/>
                      </w:tcPr>
                      <w:p w14:paraId="578149FB" w14:textId="77777777" w:rsidR="00956E09" w:rsidRPr="004579C4" w:rsidRDefault="00956E09" w:rsidP="004E1C35">
                        <w:pPr>
                          <w:rPr>
                            <w:rFonts w:ascii="Arial" w:hAnsi="Arial" w:cs="Arial"/>
                          </w:rPr>
                        </w:pPr>
                        <w:r w:rsidRPr="004579C4">
                          <w:rPr>
                            <w:rFonts w:ascii="Arial" w:hAnsi="Arial" w:cs="Arial"/>
                            <w:b/>
                            <w:u w:val="single"/>
                          </w:rPr>
                          <w:t>Phase I monitoring*</w:t>
                        </w:r>
                        <w:r w:rsidRPr="004579C4">
                          <w:rPr>
                            <w:rFonts w:ascii="Arial" w:hAnsi="Arial" w:cs="Arial"/>
                          </w:rPr>
                          <w:t xml:space="preserve"> Every 2 weeks until stable dose for 6 weeks</w:t>
                        </w:r>
                      </w:p>
                    </w:tc>
                    <w:tc>
                      <w:tcPr>
                        <w:tcW w:w="2120" w:type="dxa"/>
                        <w:vMerge w:val="restart"/>
                        <w:shd w:val="pct10" w:color="auto" w:fill="auto"/>
                      </w:tcPr>
                      <w:p w14:paraId="15FFF3DC" w14:textId="77777777" w:rsidR="00956E09" w:rsidRPr="004579C4" w:rsidRDefault="00956E09" w:rsidP="004E1C35">
                        <w:pPr>
                          <w:rPr>
                            <w:rFonts w:ascii="Arial" w:hAnsi="Arial" w:cs="Arial"/>
                            <w:b/>
                            <w:u w:val="single"/>
                          </w:rPr>
                        </w:pPr>
                        <w:r w:rsidRPr="004579C4">
                          <w:rPr>
                            <w:rFonts w:ascii="Arial" w:hAnsi="Arial" w:cs="Arial"/>
                            <w:b/>
                            <w:u w:val="single"/>
                          </w:rPr>
                          <w:t>Phase II monitoring*</w:t>
                        </w:r>
                      </w:p>
                      <w:p w14:paraId="173AF1F3" w14:textId="77777777" w:rsidR="00956E09" w:rsidRPr="004579C4" w:rsidRDefault="00956E09" w:rsidP="004E1C35">
                        <w:pPr>
                          <w:rPr>
                            <w:rFonts w:ascii="Arial" w:hAnsi="Arial" w:cs="Arial"/>
                          </w:rPr>
                        </w:pPr>
                        <w:r w:rsidRPr="004579C4">
                          <w:rPr>
                            <w:rFonts w:ascii="Arial" w:hAnsi="Arial" w:cs="Arial"/>
                          </w:rPr>
                          <w:t>Every 4 weeks for next 12 weeks</w:t>
                        </w:r>
                      </w:p>
                      <w:p w14:paraId="2F15BF26" w14:textId="77777777" w:rsidR="00956E09" w:rsidRDefault="00956E09" w:rsidP="00C20327">
                        <w:pPr>
                          <w:rPr>
                            <w:rFonts w:ascii="Arial" w:hAnsi="Arial" w:cs="Arial"/>
                            <w:i/>
                          </w:rPr>
                        </w:pPr>
                      </w:p>
                      <w:p w14:paraId="100B11B0" w14:textId="228A4F6D" w:rsidR="00956E09" w:rsidRPr="003C3EFF" w:rsidRDefault="00956E09" w:rsidP="00C20327">
                        <w:pPr>
                          <w:rPr>
                            <w:rFonts w:ascii="Arial" w:hAnsi="Arial" w:cs="Arial"/>
                            <w:i/>
                          </w:rPr>
                        </w:pPr>
                        <w:r w:rsidRPr="003C3EFF">
                          <w:rPr>
                            <w:rFonts w:ascii="Arial" w:hAnsi="Arial" w:cs="Arial"/>
                            <w:i/>
                          </w:rPr>
                          <w:t>Hospital specialist will undertake the first 4-week test</w:t>
                        </w:r>
                      </w:p>
                      <w:p w14:paraId="13B252B3" w14:textId="77777777" w:rsidR="00956E09" w:rsidRPr="003C3EFF" w:rsidRDefault="00956E09" w:rsidP="00C20327">
                        <w:pPr>
                          <w:rPr>
                            <w:rFonts w:ascii="Arial" w:hAnsi="Arial" w:cs="Arial"/>
                            <w:i/>
                          </w:rPr>
                        </w:pPr>
                      </w:p>
                      <w:p w14:paraId="4B60C581" w14:textId="2B668EA8" w:rsidR="00956E09" w:rsidRPr="00956E09" w:rsidRDefault="00956E09" w:rsidP="00C20327">
                        <w:pPr>
                          <w:rPr>
                            <w:rFonts w:ascii="Arial" w:hAnsi="Arial" w:cs="Arial"/>
                            <w:i/>
                          </w:rPr>
                        </w:pPr>
                        <w:r w:rsidRPr="003C3EFF">
                          <w:rPr>
                            <w:rFonts w:ascii="Arial" w:hAnsi="Arial" w:cs="Arial"/>
                            <w:i/>
                          </w:rPr>
                          <w:t>GP will undertake the second and third 4-week test</w:t>
                        </w:r>
                      </w:p>
                    </w:tc>
                    <w:tc>
                      <w:tcPr>
                        <w:tcW w:w="1451" w:type="dxa"/>
                        <w:vMerge w:val="restart"/>
                        <w:shd w:val="pct10" w:color="auto" w:fill="auto"/>
                      </w:tcPr>
                      <w:p w14:paraId="5A85B19D" w14:textId="77777777" w:rsidR="00956E09" w:rsidRPr="004579C4" w:rsidRDefault="00956E09" w:rsidP="004E1C35">
                        <w:pPr>
                          <w:rPr>
                            <w:rFonts w:ascii="Arial" w:hAnsi="Arial" w:cs="Arial"/>
                            <w:b/>
                            <w:u w:val="single"/>
                          </w:rPr>
                        </w:pPr>
                        <w:r w:rsidRPr="004579C4">
                          <w:rPr>
                            <w:rFonts w:ascii="Arial" w:hAnsi="Arial" w:cs="Arial"/>
                            <w:b/>
                            <w:u w:val="single"/>
                          </w:rPr>
                          <w:t>Phase III monitoring*</w:t>
                        </w:r>
                      </w:p>
                      <w:p w14:paraId="55FBC660" w14:textId="77777777" w:rsidR="00956E09" w:rsidRPr="004579C4" w:rsidRDefault="00956E09" w:rsidP="004E1C35">
                        <w:pPr>
                          <w:rPr>
                            <w:rFonts w:ascii="Arial" w:hAnsi="Arial" w:cs="Arial"/>
                          </w:rPr>
                        </w:pPr>
                        <w:r w:rsidRPr="004579C4">
                          <w:rPr>
                            <w:rFonts w:ascii="Arial" w:hAnsi="Arial" w:cs="Arial"/>
                          </w:rPr>
                          <w:t>Every 12 weeks</w:t>
                        </w:r>
                      </w:p>
                    </w:tc>
                    <w:tc>
                      <w:tcPr>
                        <w:tcW w:w="1412" w:type="dxa"/>
                        <w:vMerge w:val="restart"/>
                        <w:shd w:val="clear" w:color="auto" w:fill="auto"/>
                      </w:tcPr>
                      <w:p w14:paraId="36F631C2" w14:textId="77777777" w:rsidR="00956E09" w:rsidRPr="00843717" w:rsidRDefault="00956E09" w:rsidP="004E1C35">
                        <w:pPr>
                          <w:rPr>
                            <w:rFonts w:ascii="Arial" w:hAnsi="Arial" w:cs="Arial"/>
                          </w:rPr>
                        </w:pPr>
                        <w:r w:rsidRPr="00843717">
                          <w:rPr>
                            <w:rFonts w:ascii="Arial" w:hAnsi="Arial" w:cs="Arial"/>
                          </w:rPr>
                          <w:t>As part of annual review or as clinically indicated</w:t>
                        </w:r>
                      </w:p>
                    </w:tc>
                  </w:tr>
                  <w:tr w:rsidR="00956E09" w:rsidRPr="00843717" w14:paraId="767FECB8" w14:textId="77777777" w:rsidTr="009235CE">
                    <w:tc>
                      <w:tcPr>
                        <w:tcW w:w="1194" w:type="dxa"/>
                        <w:shd w:val="clear" w:color="auto" w:fill="auto"/>
                      </w:tcPr>
                      <w:p w14:paraId="2A091348" w14:textId="77777777" w:rsidR="00956E09" w:rsidRPr="00843717" w:rsidRDefault="00956E09" w:rsidP="004E1C35">
                        <w:pPr>
                          <w:rPr>
                            <w:rFonts w:ascii="Arial" w:hAnsi="Arial" w:cs="Arial"/>
                          </w:rPr>
                        </w:pPr>
                        <w:r w:rsidRPr="00843717">
                          <w:rPr>
                            <w:rFonts w:ascii="Arial" w:hAnsi="Arial" w:cs="Arial"/>
                          </w:rPr>
                          <w:t>LFTs</w:t>
                        </w:r>
                      </w:p>
                    </w:tc>
                    <w:tc>
                      <w:tcPr>
                        <w:tcW w:w="1451" w:type="dxa"/>
                        <w:vMerge/>
                        <w:shd w:val="clear" w:color="auto" w:fill="auto"/>
                      </w:tcPr>
                      <w:p w14:paraId="39357C3C" w14:textId="77777777" w:rsidR="00956E09" w:rsidRPr="00843717" w:rsidRDefault="00956E09" w:rsidP="004E1C35">
                        <w:pPr>
                          <w:rPr>
                            <w:rFonts w:ascii="Arial" w:hAnsi="Arial" w:cs="Arial"/>
                          </w:rPr>
                        </w:pPr>
                      </w:p>
                    </w:tc>
                    <w:tc>
                      <w:tcPr>
                        <w:tcW w:w="1219" w:type="dxa"/>
                        <w:vMerge/>
                        <w:shd w:val="clear" w:color="auto" w:fill="auto"/>
                      </w:tcPr>
                      <w:p w14:paraId="53EBE3C9" w14:textId="77777777" w:rsidR="00956E09" w:rsidRPr="00843717" w:rsidRDefault="00956E09" w:rsidP="004E1C35">
                        <w:pPr>
                          <w:rPr>
                            <w:rFonts w:ascii="Arial" w:hAnsi="Arial" w:cs="Arial"/>
                          </w:rPr>
                        </w:pPr>
                      </w:p>
                    </w:tc>
                    <w:tc>
                      <w:tcPr>
                        <w:tcW w:w="1525" w:type="dxa"/>
                        <w:vMerge/>
                        <w:shd w:val="clear" w:color="auto" w:fill="auto"/>
                      </w:tcPr>
                      <w:p w14:paraId="1B8E75A1" w14:textId="77777777" w:rsidR="00956E09" w:rsidRPr="00843717" w:rsidRDefault="00956E09" w:rsidP="004E1C35">
                        <w:pPr>
                          <w:rPr>
                            <w:rFonts w:ascii="Arial" w:hAnsi="Arial" w:cs="Arial"/>
                          </w:rPr>
                        </w:pPr>
                      </w:p>
                    </w:tc>
                    <w:tc>
                      <w:tcPr>
                        <w:tcW w:w="2120" w:type="dxa"/>
                        <w:vMerge/>
                        <w:shd w:val="pct10" w:color="auto" w:fill="auto"/>
                      </w:tcPr>
                      <w:p w14:paraId="434372A3" w14:textId="77777777" w:rsidR="00956E09" w:rsidRPr="00843717" w:rsidRDefault="00956E09" w:rsidP="004E1C35">
                        <w:pPr>
                          <w:rPr>
                            <w:rFonts w:ascii="Arial" w:hAnsi="Arial" w:cs="Arial"/>
                          </w:rPr>
                        </w:pPr>
                      </w:p>
                    </w:tc>
                    <w:tc>
                      <w:tcPr>
                        <w:tcW w:w="1451" w:type="dxa"/>
                        <w:vMerge/>
                        <w:shd w:val="pct10" w:color="auto" w:fill="auto"/>
                      </w:tcPr>
                      <w:p w14:paraId="0D91A631" w14:textId="77777777" w:rsidR="00956E09" w:rsidRPr="00843717" w:rsidRDefault="00956E09" w:rsidP="004E1C35">
                        <w:pPr>
                          <w:rPr>
                            <w:rFonts w:ascii="Arial" w:hAnsi="Arial" w:cs="Arial"/>
                          </w:rPr>
                        </w:pPr>
                      </w:p>
                    </w:tc>
                    <w:tc>
                      <w:tcPr>
                        <w:tcW w:w="1412" w:type="dxa"/>
                        <w:vMerge/>
                        <w:shd w:val="clear" w:color="auto" w:fill="auto"/>
                      </w:tcPr>
                      <w:p w14:paraId="27A16A83" w14:textId="77777777" w:rsidR="00956E09" w:rsidRPr="00843717" w:rsidRDefault="00956E09" w:rsidP="004E1C35">
                        <w:pPr>
                          <w:rPr>
                            <w:rFonts w:ascii="Arial" w:hAnsi="Arial" w:cs="Arial"/>
                          </w:rPr>
                        </w:pPr>
                      </w:p>
                    </w:tc>
                  </w:tr>
                  <w:tr w:rsidR="00956E09" w:rsidRPr="00843717" w14:paraId="21C489D8" w14:textId="77777777" w:rsidTr="009235CE">
                    <w:tc>
                      <w:tcPr>
                        <w:tcW w:w="1194" w:type="dxa"/>
                        <w:shd w:val="clear" w:color="auto" w:fill="auto"/>
                      </w:tcPr>
                      <w:p w14:paraId="24A93379" w14:textId="77777777" w:rsidR="00956E09" w:rsidRPr="00843717" w:rsidRDefault="00956E09" w:rsidP="004E1C35">
                        <w:pPr>
                          <w:rPr>
                            <w:rFonts w:ascii="Arial" w:hAnsi="Arial" w:cs="Arial"/>
                          </w:rPr>
                        </w:pPr>
                        <w:r w:rsidRPr="00843717">
                          <w:rPr>
                            <w:rFonts w:ascii="Arial" w:hAnsi="Arial" w:cs="Arial"/>
                          </w:rPr>
                          <w:t>U&amp;Es, eGFR</w:t>
                        </w:r>
                      </w:p>
                    </w:tc>
                    <w:tc>
                      <w:tcPr>
                        <w:tcW w:w="1451" w:type="dxa"/>
                        <w:vMerge/>
                        <w:shd w:val="clear" w:color="auto" w:fill="auto"/>
                      </w:tcPr>
                      <w:p w14:paraId="0A2880B4" w14:textId="77777777" w:rsidR="00956E09" w:rsidRPr="00843717" w:rsidRDefault="00956E09" w:rsidP="004E1C35">
                        <w:pPr>
                          <w:rPr>
                            <w:rFonts w:ascii="Arial" w:hAnsi="Arial" w:cs="Arial"/>
                          </w:rPr>
                        </w:pPr>
                      </w:p>
                    </w:tc>
                    <w:tc>
                      <w:tcPr>
                        <w:tcW w:w="1219" w:type="dxa"/>
                        <w:vMerge/>
                        <w:shd w:val="clear" w:color="auto" w:fill="auto"/>
                      </w:tcPr>
                      <w:p w14:paraId="4EDE2167" w14:textId="77777777" w:rsidR="00956E09" w:rsidRPr="00843717" w:rsidRDefault="00956E09" w:rsidP="004E1C35">
                        <w:pPr>
                          <w:rPr>
                            <w:rFonts w:ascii="Arial" w:hAnsi="Arial" w:cs="Arial"/>
                          </w:rPr>
                        </w:pPr>
                      </w:p>
                    </w:tc>
                    <w:tc>
                      <w:tcPr>
                        <w:tcW w:w="1525" w:type="dxa"/>
                        <w:vMerge/>
                        <w:shd w:val="clear" w:color="auto" w:fill="auto"/>
                      </w:tcPr>
                      <w:p w14:paraId="3AB4461C" w14:textId="77777777" w:rsidR="00956E09" w:rsidRPr="00843717" w:rsidRDefault="00956E09" w:rsidP="004E1C35">
                        <w:pPr>
                          <w:rPr>
                            <w:rFonts w:ascii="Arial" w:hAnsi="Arial" w:cs="Arial"/>
                          </w:rPr>
                        </w:pPr>
                      </w:p>
                    </w:tc>
                    <w:tc>
                      <w:tcPr>
                        <w:tcW w:w="2120" w:type="dxa"/>
                        <w:vMerge/>
                        <w:shd w:val="pct10" w:color="auto" w:fill="auto"/>
                      </w:tcPr>
                      <w:p w14:paraId="30F263E9" w14:textId="77777777" w:rsidR="00956E09" w:rsidRPr="00843717" w:rsidRDefault="00956E09" w:rsidP="004E1C35">
                        <w:pPr>
                          <w:rPr>
                            <w:rFonts w:ascii="Arial" w:hAnsi="Arial" w:cs="Arial"/>
                          </w:rPr>
                        </w:pPr>
                      </w:p>
                    </w:tc>
                    <w:tc>
                      <w:tcPr>
                        <w:tcW w:w="1451" w:type="dxa"/>
                        <w:vMerge/>
                        <w:shd w:val="pct10" w:color="auto" w:fill="auto"/>
                      </w:tcPr>
                      <w:p w14:paraId="5DEF9CE9" w14:textId="77777777" w:rsidR="00956E09" w:rsidRPr="00843717" w:rsidRDefault="00956E09" w:rsidP="004E1C35">
                        <w:pPr>
                          <w:rPr>
                            <w:rFonts w:ascii="Arial" w:hAnsi="Arial" w:cs="Arial"/>
                          </w:rPr>
                        </w:pPr>
                      </w:p>
                    </w:tc>
                    <w:tc>
                      <w:tcPr>
                        <w:tcW w:w="1412" w:type="dxa"/>
                        <w:vMerge/>
                        <w:shd w:val="clear" w:color="auto" w:fill="auto"/>
                      </w:tcPr>
                      <w:p w14:paraId="4C638A7C" w14:textId="77777777" w:rsidR="00956E09" w:rsidRPr="00843717" w:rsidRDefault="00956E09" w:rsidP="004E1C35">
                        <w:pPr>
                          <w:rPr>
                            <w:rFonts w:ascii="Arial" w:hAnsi="Arial" w:cs="Arial"/>
                          </w:rPr>
                        </w:pPr>
                      </w:p>
                    </w:tc>
                  </w:tr>
                  <w:tr w:rsidR="00956E09" w:rsidRPr="00843717" w14:paraId="39BC7C58" w14:textId="77777777" w:rsidTr="00956E09">
                    <w:trPr>
                      <w:trHeight w:val="1151"/>
                    </w:trPr>
                    <w:tc>
                      <w:tcPr>
                        <w:tcW w:w="1194" w:type="dxa"/>
                        <w:tcBorders>
                          <w:bottom w:val="single" w:sz="4" w:space="0" w:color="auto"/>
                        </w:tcBorders>
                        <w:shd w:val="clear" w:color="auto" w:fill="auto"/>
                      </w:tcPr>
                      <w:p w14:paraId="0BE8F24C" w14:textId="77777777" w:rsidR="00956E09" w:rsidRPr="00843717" w:rsidRDefault="00956E09" w:rsidP="004E1C35">
                        <w:pPr>
                          <w:rPr>
                            <w:rFonts w:ascii="Arial" w:hAnsi="Arial" w:cs="Arial"/>
                          </w:rPr>
                        </w:pPr>
                        <w:r w:rsidRPr="00843717">
                          <w:rPr>
                            <w:rFonts w:ascii="Arial" w:hAnsi="Arial" w:cs="Arial"/>
                          </w:rPr>
                          <w:lastRenderedPageBreak/>
                          <w:t xml:space="preserve">ESR/CRP </w:t>
                        </w:r>
                      </w:p>
                    </w:tc>
                    <w:tc>
                      <w:tcPr>
                        <w:tcW w:w="1451" w:type="dxa"/>
                        <w:tcBorders>
                          <w:bottom w:val="single" w:sz="4" w:space="0" w:color="auto"/>
                        </w:tcBorders>
                        <w:shd w:val="clear" w:color="auto" w:fill="auto"/>
                      </w:tcPr>
                      <w:p w14:paraId="02A40463" w14:textId="34305BCA" w:rsidR="00956E09" w:rsidRPr="00843717" w:rsidRDefault="00956E09" w:rsidP="004E1C35">
                        <w:pPr>
                          <w:rPr>
                            <w:rFonts w:ascii="Arial" w:hAnsi="Arial" w:cs="Arial"/>
                          </w:rPr>
                        </w:pPr>
                        <w:r w:rsidRPr="00843717">
                          <w:rPr>
                            <w:rFonts w:ascii="Arial" w:hAnsi="Arial" w:cs="Arial"/>
                          </w:rPr>
                          <w:t>Disease activity scoring</w:t>
                        </w:r>
                      </w:p>
                    </w:tc>
                    <w:tc>
                      <w:tcPr>
                        <w:tcW w:w="1219" w:type="dxa"/>
                        <w:tcBorders>
                          <w:bottom w:val="single" w:sz="4" w:space="0" w:color="auto"/>
                        </w:tcBorders>
                        <w:shd w:val="clear" w:color="auto" w:fill="auto"/>
                      </w:tcPr>
                      <w:p w14:paraId="6948F4F9" w14:textId="77777777" w:rsidR="00956E09" w:rsidRPr="00843717" w:rsidRDefault="00956E09" w:rsidP="004E1C35">
                        <w:pPr>
                          <w:jc w:val="center"/>
                          <w:rPr>
                            <w:rFonts w:ascii="Arial" w:hAnsi="Arial" w:cs="Arial"/>
                          </w:rPr>
                        </w:pPr>
                      </w:p>
                      <w:p w14:paraId="2EEAD857" w14:textId="77777777" w:rsidR="00956E09" w:rsidRPr="00843717" w:rsidRDefault="00956E09" w:rsidP="004E1C35">
                        <w:pPr>
                          <w:jc w:val="center"/>
                          <w:rPr>
                            <w:rFonts w:ascii="Arial" w:hAnsi="Arial" w:cs="Arial"/>
                          </w:rPr>
                        </w:pPr>
                        <w:r w:rsidRPr="00843717">
                          <w:rPr>
                            <w:rFonts w:ascii="Arial" w:hAnsi="Arial" w:cs="Arial"/>
                          </w:rPr>
                          <w:t>√</w:t>
                        </w:r>
                      </w:p>
                    </w:tc>
                    <w:tc>
                      <w:tcPr>
                        <w:tcW w:w="1525" w:type="dxa"/>
                        <w:tcBorders>
                          <w:bottom w:val="single" w:sz="4" w:space="0" w:color="auto"/>
                        </w:tcBorders>
                        <w:shd w:val="clear" w:color="auto" w:fill="auto"/>
                      </w:tcPr>
                      <w:p w14:paraId="027A50F5" w14:textId="5AF13557" w:rsidR="00956E09" w:rsidRPr="00843717" w:rsidRDefault="00956E09" w:rsidP="004E1C35">
                        <w:pPr>
                          <w:jc w:val="center"/>
                          <w:rPr>
                            <w:rFonts w:ascii="Arial" w:hAnsi="Arial" w:cs="Arial"/>
                          </w:rPr>
                        </w:pPr>
                        <w:r w:rsidRPr="00843717">
                          <w:rPr>
                            <w:rFonts w:ascii="Arial" w:hAnsi="Arial" w:cs="Arial"/>
                          </w:rPr>
                          <w:t xml:space="preserve">Every </w:t>
                        </w:r>
                        <w:r>
                          <w:rPr>
                            <w:rFonts w:ascii="Arial" w:hAnsi="Arial" w:cs="Arial"/>
                          </w:rPr>
                          <w:t>12 weeks</w:t>
                        </w:r>
                      </w:p>
                    </w:tc>
                    <w:tc>
                      <w:tcPr>
                        <w:tcW w:w="2120" w:type="dxa"/>
                        <w:vMerge w:val="restart"/>
                        <w:tcBorders>
                          <w:bottom w:val="single" w:sz="4" w:space="0" w:color="auto"/>
                        </w:tcBorders>
                        <w:vAlign w:val="center"/>
                      </w:tcPr>
                      <w:p w14:paraId="29808831" w14:textId="77777777" w:rsidR="00956E09" w:rsidRDefault="00956E09" w:rsidP="003C3EFF">
                        <w:pPr>
                          <w:jc w:val="center"/>
                          <w:rPr>
                            <w:rFonts w:ascii="Arial" w:hAnsi="Arial" w:cs="Arial"/>
                          </w:rPr>
                        </w:pPr>
                      </w:p>
                      <w:p w14:paraId="42F59AB1" w14:textId="77777777" w:rsidR="00956E09" w:rsidRDefault="00956E09" w:rsidP="003C3EFF">
                        <w:pPr>
                          <w:jc w:val="center"/>
                          <w:rPr>
                            <w:rFonts w:ascii="Arial" w:hAnsi="Arial" w:cs="Arial"/>
                          </w:rPr>
                        </w:pPr>
                      </w:p>
                      <w:p w14:paraId="633C4F71" w14:textId="77777777" w:rsidR="00956E09" w:rsidRDefault="00956E09" w:rsidP="003C3EFF">
                        <w:pPr>
                          <w:jc w:val="center"/>
                          <w:rPr>
                            <w:rFonts w:ascii="Arial" w:hAnsi="Arial" w:cs="Arial"/>
                          </w:rPr>
                        </w:pPr>
                      </w:p>
                      <w:p w14:paraId="43CABB13" w14:textId="77777777" w:rsidR="00956E09" w:rsidRDefault="00956E09" w:rsidP="003C3EFF">
                        <w:pPr>
                          <w:jc w:val="center"/>
                          <w:rPr>
                            <w:rFonts w:ascii="Arial" w:hAnsi="Arial" w:cs="Arial"/>
                          </w:rPr>
                        </w:pPr>
                      </w:p>
                      <w:p w14:paraId="5377AF01" w14:textId="77777777" w:rsidR="00956E09" w:rsidRDefault="00956E09" w:rsidP="003C3EFF">
                        <w:pPr>
                          <w:jc w:val="center"/>
                          <w:rPr>
                            <w:rFonts w:ascii="Arial" w:hAnsi="Arial" w:cs="Arial"/>
                          </w:rPr>
                        </w:pPr>
                      </w:p>
                      <w:p w14:paraId="318190CE" w14:textId="77777777" w:rsidR="00956E09" w:rsidRDefault="00956E09" w:rsidP="003C3EFF">
                        <w:pPr>
                          <w:jc w:val="center"/>
                          <w:rPr>
                            <w:rFonts w:ascii="Arial" w:hAnsi="Arial" w:cs="Arial"/>
                          </w:rPr>
                        </w:pPr>
                      </w:p>
                      <w:p w14:paraId="529D07B3" w14:textId="77777777" w:rsidR="00956E09" w:rsidRPr="00843717" w:rsidRDefault="00956E09" w:rsidP="003C3EFF">
                        <w:pPr>
                          <w:jc w:val="center"/>
                          <w:rPr>
                            <w:rFonts w:ascii="Arial" w:hAnsi="Arial" w:cs="Arial"/>
                          </w:rPr>
                        </w:pPr>
                        <w:r w:rsidRPr="000D455C">
                          <w:rPr>
                            <w:rFonts w:ascii="Arial" w:hAnsi="Arial" w:cs="Arial"/>
                          </w:rPr>
                          <w:t>Not routinely required</w:t>
                        </w:r>
                      </w:p>
                    </w:tc>
                    <w:tc>
                      <w:tcPr>
                        <w:tcW w:w="1451" w:type="dxa"/>
                        <w:tcBorders>
                          <w:bottom w:val="single" w:sz="4" w:space="0" w:color="auto"/>
                        </w:tcBorders>
                        <w:shd w:val="clear" w:color="auto" w:fill="D9D9D9" w:themeFill="background1" w:themeFillShade="D9"/>
                      </w:tcPr>
                      <w:p w14:paraId="6D3D4833" w14:textId="3901F48C" w:rsidR="00956E09" w:rsidRPr="00843717" w:rsidRDefault="00956E09" w:rsidP="00956E09">
                        <w:pPr>
                          <w:jc w:val="center"/>
                          <w:rPr>
                            <w:rFonts w:ascii="Arial" w:hAnsi="Arial" w:cs="Arial"/>
                          </w:rPr>
                        </w:pPr>
                        <w:r w:rsidRPr="00843717">
                          <w:rPr>
                            <w:rFonts w:ascii="Arial" w:hAnsi="Arial" w:cs="Arial"/>
                          </w:rPr>
                          <w:t xml:space="preserve">Every </w:t>
                        </w:r>
                        <w:r>
                          <w:rPr>
                            <w:rFonts w:ascii="Arial" w:hAnsi="Arial" w:cs="Arial"/>
                          </w:rPr>
                          <w:t>12 weeks on advice of specialist</w:t>
                        </w:r>
                      </w:p>
                    </w:tc>
                    <w:tc>
                      <w:tcPr>
                        <w:tcW w:w="1412" w:type="dxa"/>
                        <w:vMerge/>
                        <w:tcBorders>
                          <w:bottom w:val="single" w:sz="4" w:space="0" w:color="auto"/>
                        </w:tcBorders>
                        <w:shd w:val="clear" w:color="auto" w:fill="auto"/>
                      </w:tcPr>
                      <w:p w14:paraId="6307B520" w14:textId="77777777" w:rsidR="00956E09" w:rsidRPr="00843717" w:rsidRDefault="00956E09" w:rsidP="004E1C35">
                        <w:pPr>
                          <w:rPr>
                            <w:rFonts w:ascii="Arial" w:hAnsi="Arial" w:cs="Arial"/>
                          </w:rPr>
                        </w:pPr>
                      </w:p>
                    </w:tc>
                  </w:tr>
                  <w:tr w:rsidR="00956E09" w:rsidRPr="00843717" w14:paraId="201783B0" w14:textId="77777777" w:rsidTr="003C3EFF">
                    <w:tc>
                      <w:tcPr>
                        <w:tcW w:w="1194" w:type="dxa"/>
                        <w:shd w:val="clear" w:color="auto" w:fill="auto"/>
                      </w:tcPr>
                      <w:p w14:paraId="0EFB0F24" w14:textId="77777777" w:rsidR="00956E09" w:rsidRPr="00843717" w:rsidRDefault="00956E09" w:rsidP="004E1C35">
                        <w:pPr>
                          <w:rPr>
                            <w:rFonts w:ascii="Arial" w:hAnsi="Arial" w:cs="Arial"/>
                          </w:rPr>
                        </w:pPr>
                        <w:r w:rsidRPr="00843717">
                          <w:rPr>
                            <w:rFonts w:ascii="Arial" w:hAnsi="Arial" w:cs="Arial"/>
                          </w:rPr>
                          <w:t>Height &amp; weight</w:t>
                        </w:r>
                      </w:p>
                    </w:tc>
                    <w:tc>
                      <w:tcPr>
                        <w:tcW w:w="1451" w:type="dxa"/>
                        <w:shd w:val="clear" w:color="auto" w:fill="auto"/>
                      </w:tcPr>
                      <w:p w14:paraId="5080A361" w14:textId="77777777" w:rsidR="00956E09" w:rsidRPr="00843717" w:rsidRDefault="00956E09" w:rsidP="004E1C35">
                        <w:pPr>
                          <w:rPr>
                            <w:rFonts w:ascii="Arial" w:hAnsi="Arial" w:cs="Arial"/>
                          </w:rPr>
                        </w:pPr>
                        <w:r w:rsidRPr="00843717">
                          <w:rPr>
                            <w:rFonts w:ascii="Arial" w:hAnsi="Arial" w:cs="Arial"/>
                          </w:rPr>
                          <w:t>Baseline assessment</w:t>
                        </w:r>
                        <w:r>
                          <w:rPr>
                            <w:rFonts w:ascii="Arial" w:hAnsi="Arial" w:cs="Arial"/>
                          </w:rPr>
                          <w:t xml:space="preserve"> for dose</w:t>
                        </w:r>
                      </w:p>
                    </w:tc>
                    <w:tc>
                      <w:tcPr>
                        <w:tcW w:w="1219" w:type="dxa"/>
                        <w:shd w:val="clear" w:color="auto" w:fill="auto"/>
                      </w:tcPr>
                      <w:p w14:paraId="7208AF21" w14:textId="77777777" w:rsidR="00956E09" w:rsidRPr="00843717" w:rsidRDefault="00956E09" w:rsidP="004E1C35">
                        <w:pPr>
                          <w:jc w:val="center"/>
                          <w:rPr>
                            <w:rFonts w:ascii="Arial" w:hAnsi="Arial" w:cs="Arial"/>
                          </w:rPr>
                        </w:pPr>
                      </w:p>
                      <w:p w14:paraId="52337E99" w14:textId="77777777" w:rsidR="00956E09" w:rsidRPr="00843717" w:rsidRDefault="00956E09" w:rsidP="004E1C35">
                        <w:pPr>
                          <w:jc w:val="center"/>
                          <w:rPr>
                            <w:rFonts w:ascii="Arial" w:hAnsi="Arial" w:cs="Arial"/>
                          </w:rPr>
                        </w:pPr>
                        <w:r w:rsidRPr="00843717">
                          <w:rPr>
                            <w:rFonts w:ascii="Arial" w:hAnsi="Arial" w:cs="Arial"/>
                          </w:rPr>
                          <w:t>√</w:t>
                        </w:r>
                      </w:p>
                    </w:tc>
                    <w:tc>
                      <w:tcPr>
                        <w:tcW w:w="1525" w:type="dxa"/>
                        <w:vMerge w:val="restart"/>
                        <w:shd w:val="clear" w:color="auto" w:fill="auto"/>
                        <w:vAlign w:val="center"/>
                      </w:tcPr>
                      <w:p w14:paraId="099D0A70" w14:textId="723D820A" w:rsidR="00956E09" w:rsidRPr="00843717" w:rsidRDefault="00956E09" w:rsidP="003C3EFF">
                        <w:pPr>
                          <w:jc w:val="center"/>
                          <w:rPr>
                            <w:rFonts w:ascii="Arial" w:hAnsi="Arial" w:cs="Arial"/>
                          </w:rPr>
                        </w:pPr>
                        <w:r w:rsidRPr="00956E09">
                          <w:rPr>
                            <w:rFonts w:ascii="Arial" w:hAnsi="Arial" w:cs="Arial"/>
                          </w:rPr>
                          <w:t>Not routinely required</w:t>
                        </w:r>
                      </w:p>
                    </w:tc>
                    <w:tc>
                      <w:tcPr>
                        <w:tcW w:w="2120" w:type="dxa"/>
                        <w:vMerge/>
                        <w:vAlign w:val="center"/>
                      </w:tcPr>
                      <w:p w14:paraId="68A616F8" w14:textId="77777777" w:rsidR="00956E09" w:rsidRPr="00843717" w:rsidRDefault="00956E09" w:rsidP="003C3EFF">
                        <w:pPr>
                          <w:jc w:val="center"/>
                          <w:rPr>
                            <w:rFonts w:ascii="Arial" w:hAnsi="Arial" w:cs="Arial"/>
                          </w:rPr>
                        </w:pPr>
                      </w:p>
                    </w:tc>
                    <w:tc>
                      <w:tcPr>
                        <w:tcW w:w="1451" w:type="dxa"/>
                        <w:vMerge w:val="restart"/>
                        <w:shd w:val="clear" w:color="auto" w:fill="D9D9D9" w:themeFill="background1" w:themeFillShade="D9"/>
                        <w:vAlign w:val="center"/>
                      </w:tcPr>
                      <w:p w14:paraId="34051190" w14:textId="5270B69D" w:rsidR="00956E09" w:rsidRPr="00843717" w:rsidRDefault="00956E09" w:rsidP="003C3EFF">
                        <w:pPr>
                          <w:jc w:val="center"/>
                          <w:rPr>
                            <w:rFonts w:ascii="Arial" w:hAnsi="Arial" w:cs="Arial"/>
                          </w:rPr>
                        </w:pPr>
                        <w:r w:rsidRPr="00956E09">
                          <w:rPr>
                            <w:rFonts w:ascii="Arial" w:hAnsi="Arial" w:cs="Arial"/>
                          </w:rPr>
                          <w:t>Not routinely required</w:t>
                        </w:r>
                      </w:p>
                    </w:tc>
                    <w:tc>
                      <w:tcPr>
                        <w:tcW w:w="1412" w:type="dxa"/>
                        <w:vMerge w:val="restart"/>
                        <w:shd w:val="clear" w:color="auto" w:fill="auto"/>
                        <w:vAlign w:val="center"/>
                      </w:tcPr>
                      <w:p w14:paraId="73F52EF6" w14:textId="2AE7B92D" w:rsidR="00956E09" w:rsidRPr="00843717" w:rsidRDefault="00956E09" w:rsidP="003C3EFF">
                        <w:pPr>
                          <w:jc w:val="center"/>
                          <w:rPr>
                            <w:rFonts w:ascii="Arial" w:hAnsi="Arial" w:cs="Arial"/>
                          </w:rPr>
                        </w:pPr>
                        <w:r w:rsidRPr="00956E09">
                          <w:rPr>
                            <w:rFonts w:ascii="Arial" w:hAnsi="Arial" w:cs="Arial"/>
                          </w:rPr>
                          <w:t>If clinically indicated</w:t>
                        </w:r>
                      </w:p>
                    </w:tc>
                  </w:tr>
                  <w:tr w:rsidR="00956E09" w:rsidRPr="00843717" w14:paraId="465DA3FA" w14:textId="77777777" w:rsidTr="009235CE">
                    <w:tc>
                      <w:tcPr>
                        <w:tcW w:w="1194" w:type="dxa"/>
                        <w:shd w:val="clear" w:color="auto" w:fill="auto"/>
                      </w:tcPr>
                      <w:p w14:paraId="4123B534" w14:textId="77777777" w:rsidR="00956E09" w:rsidRPr="00843717" w:rsidRDefault="00956E09" w:rsidP="004E1C35">
                        <w:pPr>
                          <w:rPr>
                            <w:rFonts w:ascii="Arial" w:hAnsi="Arial" w:cs="Arial"/>
                          </w:rPr>
                        </w:pPr>
                        <w:r w:rsidRPr="00843717">
                          <w:rPr>
                            <w:rFonts w:ascii="Arial" w:hAnsi="Arial" w:cs="Arial"/>
                          </w:rPr>
                          <w:t>Hep</w:t>
                        </w:r>
                        <w:r>
                          <w:rPr>
                            <w:rFonts w:ascii="Arial" w:hAnsi="Arial" w:cs="Arial"/>
                          </w:rPr>
                          <w:t>atitis</w:t>
                        </w:r>
                        <w:r w:rsidRPr="00843717">
                          <w:rPr>
                            <w:rFonts w:ascii="Arial" w:hAnsi="Arial" w:cs="Arial"/>
                          </w:rPr>
                          <w:t xml:space="preserve"> B, C </w:t>
                        </w:r>
                        <w:r>
                          <w:rPr>
                            <w:rFonts w:ascii="Arial" w:hAnsi="Arial" w:cs="Arial"/>
                          </w:rPr>
                          <w:t>&amp; HIV</w:t>
                        </w:r>
                      </w:p>
                    </w:tc>
                    <w:tc>
                      <w:tcPr>
                        <w:tcW w:w="1451" w:type="dxa"/>
                        <w:vMerge w:val="restart"/>
                        <w:shd w:val="clear" w:color="auto" w:fill="auto"/>
                      </w:tcPr>
                      <w:p w14:paraId="11EB638F" w14:textId="77777777" w:rsidR="00956E09" w:rsidRPr="00843717" w:rsidRDefault="00956E09" w:rsidP="004E1C35">
                        <w:pPr>
                          <w:rPr>
                            <w:rFonts w:ascii="Arial" w:hAnsi="Arial" w:cs="Arial"/>
                          </w:rPr>
                        </w:pPr>
                        <w:r w:rsidRPr="00843717">
                          <w:rPr>
                            <w:rFonts w:ascii="Arial" w:hAnsi="Arial" w:cs="Arial"/>
                          </w:rPr>
                          <w:t xml:space="preserve">Baseline assessment, </w:t>
                        </w:r>
                        <w:r>
                          <w:rPr>
                            <w:rFonts w:ascii="Arial" w:hAnsi="Arial" w:cs="Arial"/>
                          </w:rPr>
                          <w:t xml:space="preserve">viral, </w:t>
                        </w:r>
                        <w:r w:rsidRPr="00843717">
                          <w:rPr>
                            <w:rFonts w:ascii="Arial" w:hAnsi="Arial" w:cs="Arial"/>
                          </w:rPr>
                          <w:t>respiratory and TB screening</w:t>
                        </w:r>
                      </w:p>
                    </w:tc>
                    <w:tc>
                      <w:tcPr>
                        <w:tcW w:w="1219" w:type="dxa"/>
                        <w:vMerge w:val="restart"/>
                        <w:shd w:val="clear" w:color="auto" w:fill="auto"/>
                      </w:tcPr>
                      <w:p w14:paraId="0E572C5C" w14:textId="77777777" w:rsidR="00956E09" w:rsidRPr="00843717" w:rsidRDefault="00956E09" w:rsidP="004E1C35">
                        <w:pPr>
                          <w:jc w:val="center"/>
                          <w:rPr>
                            <w:rFonts w:ascii="Arial" w:hAnsi="Arial" w:cs="Arial"/>
                          </w:rPr>
                        </w:pPr>
                      </w:p>
                      <w:p w14:paraId="414D7CDE" w14:textId="77777777" w:rsidR="00956E09" w:rsidRPr="00843717" w:rsidRDefault="00956E09" w:rsidP="004E1C35">
                        <w:pPr>
                          <w:jc w:val="center"/>
                          <w:rPr>
                            <w:rFonts w:ascii="Arial" w:hAnsi="Arial" w:cs="Arial"/>
                          </w:rPr>
                        </w:pPr>
                        <w:r w:rsidRPr="00843717">
                          <w:rPr>
                            <w:rFonts w:ascii="Arial" w:hAnsi="Arial" w:cs="Arial"/>
                          </w:rPr>
                          <w:t>If clinically indicated</w:t>
                        </w:r>
                      </w:p>
                    </w:tc>
                    <w:tc>
                      <w:tcPr>
                        <w:tcW w:w="1525" w:type="dxa"/>
                        <w:vMerge/>
                        <w:shd w:val="clear" w:color="auto" w:fill="auto"/>
                      </w:tcPr>
                      <w:p w14:paraId="54BC3A5F" w14:textId="77777777" w:rsidR="00956E09" w:rsidRPr="00843717" w:rsidRDefault="00956E09" w:rsidP="004E1C35">
                        <w:pPr>
                          <w:rPr>
                            <w:rFonts w:ascii="Arial" w:hAnsi="Arial" w:cs="Arial"/>
                          </w:rPr>
                        </w:pPr>
                      </w:p>
                    </w:tc>
                    <w:tc>
                      <w:tcPr>
                        <w:tcW w:w="2120" w:type="dxa"/>
                        <w:vMerge/>
                      </w:tcPr>
                      <w:p w14:paraId="541833AA" w14:textId="77777777" w:rsidR="00956E09" w:rsidRPr="00843717" w:rsidRDefault="00956E09" w:rsidP="004E1C35">
                        <w:pPr>
                          <w:rPr>
                            <w:rFonts w:ascii="Arial" w:hAnsi="Arial" w:cs="Arial"/>
                          </w:rPr>
                        </w:pPr>
                      </w:p>
                    </w:tc>
                    <w:tc>
                      <w:tcPr>
                        <w:tcW w:w="1451" w:type="dxa"/>
                        <w:vMerge/>
                        <w:shd w:val="clear" w:color="auto" w:fill="D9D9D9" w:themeFill="background1" w:themeFillShade="D9"/>
                      </w:tcPr>
                      <w:p w14:paraId="3F82E2D7" w14:textId="734676FD" w:rsidR="00956E09" w:rsidRPr="00843717" w:rsidRDefault="00956E09" w:rsidP="004E1C35">
                        <w:pPr>
                          <w:rPr>
                            <w:rFonts w:ascii="Arial" w:hAnsi="Arial" w:cs="Arial"/>
                          </w:rPr>
                        </w:pPr>
                      </w:p>
                    </w:tc>
                    <w:tc>
                      <w:tcPr>
                        <w:tcW w:w="1412" w:type="dxa"/>
                        <w:vMerge/>
                        <w:shd w:val="clear" w:color="auto" w:fill="auto"/>
                      </w:tcPr>
                      <w:p w14:paraId="1B452308" w14:textId="77777777" w:rsidR="00956E09" w:rsidRPr="00843717" w:rsidRDefault="00956E09" w:rsidP="004E1C35">
                        <w:pPr>
                          <w:rPr>
                            <w:rFonts w:ascii="Arial" w:hAnsi="Arial" w:cs="Arial"/>
                          </w:rPr>
                        </w:pPr>
                      </w:p>
                    </w:tc>
                  </w:tr>
                  <w:tr w:rsidR="00956E09" w:rsidRPr="00843717" w14:paraId="20B94D24" w14:textId="77777777" w:rsidTr="009235CE">
                    <w:tc>
                      <w:tcPr>
                        <w:tcW w:w="1194" w:type="dxa"/>
                        <w:shd w:val="clear" w:color="auto" w:fill="auto"/>
                      </w:tcPr>
                      <w:p w14:paraId="11687EE5" w14:textId="77777777" w:rsidR="00956E09" w:rsidRPr="00843717" w:rsidRDefault="00956E09" w:rsidP="004E1C35">
                        <w:pPr>
                          <w:rPr>
                            <w:rFonts w:ascii="Arial" w:hAnsi="Arial" w:cs="Arial"/>
                          </w:rPr>
                        </w:pPr>
                        <w:r w:rsidRPr="00843717">
                          <w:rPr>
                            <w:rFonts w:ascii="Arial" w:hAnsi="Arial" w:cs="Arial"/>
                          </w:rPr>
                          <w:t>Chest X-ray</w:t>
                        </w:r>
                      </w:p>
                    </w:tc>
                    <w:tc>
                      <w:tcPr>
                        <w:tcW w:w="1451" w:type="dxa"/>
                        <w:vMerge/>
                        <w:shd w:val="clear" w:color="auto" w:fill="auto"/>
                      </w:tcPr>
                      <w:p w14:paraId="70D8DF32" w14:textId="77777777" w:rsidR="00956E09" w:rsidRPr="00843717" w:rsidRDefault="00956E09" w:rsidP="004E1C35">
                        <w:pPr>
                          <w:rPr>
                            <w:rFonts w:ascii="Arial" w:hAnsi="Arial" w:cs="Arial"/>
                          </w:rPr>
                        </w:pPr>
                      </w:p>
                    </w:tc>
                    <w:tc>
                      <w:tcPr>
                        <w:tcW w:w="1219" w:type="dxa"/>
                        <w:vMerge/>
                        <w:shd w:val="clear" w:color="auto" w:fill="auto"/>
                      </w:tcPr>
                      <w:p w14:paraId="4AF7705B" w14:textId="77777777" w:rsidR="00956E09" w:rsidRPr="00843717" w:rsidRDefault="00956E09" w:rsidP="004E1C35">
                        <w:pPr>
                          <w:jc w:val="center"/>
                          <w:rPr>
                            <w:rFonts w:ascii="Arial" w:hAnsi="Arial" w:cs="Arial"/>
                          </w:rPr>
                        </w:pPr>
                      </w:p>
                    </w:tc>
                    <w:tc>
                      <w:tcPr>
                        <w:tcW w:w="1525" w:type="dxa"/>
                        <w:vMerge/>
                        <w:shd w:val="clear" w:color="auto" w:fill="auto"/>
                      </w:tcPr>
                      <w:p w14:paraId="119E422E" w14:textId="77777777" w:rsidR="00956E09" w:rsidRPr="00843717" w:rsidRDefault="00956E09" w:rsidP="004E1C35">
                        <w:pPr>
                          <w:rPr>
                            <w:rFonts w:ascii="Arial" w:hAnsi="Arial" w:cs="Arial"/>
                          </w:rPr>
                        </w:pPr>
                      </w:p>
                    </w:tc>
                    <w:tc>
                      <w:tcPr>
                        <w:tcW w:w="2120" w:type="dxa"/>
                        <w:vMerge/>
                      </w:tcPr>
                      <w:p w14:paraId="7F5DA07F" w14:textId="77777777" w:rsidR="00956E09" w:rsidRPr="00843717" w:rsidRDefault="00956E09" w:rsidP="004E1C35">
                        <w:pPr>
                          <w:rPr>
                            <w:rFonts w:ascii="Arial" w:hAnsi="Arial" w:cs="Arial"/>
                          </w:rPr>
                        </w:pPr>
                      </w:p>
                    </w:tc>
                    <w:tc>
                      <w:tcPr>
                        <w:tcW w:w="1451" w:type="dxa"/>
                        <w:vMerge/>
                        <w:shd w:val="clear" w:color="auto" w:fill="D9D9D9" w:themeFill="background1" w:themeFillShade="D9"/>
                      </w:tcPr>
                      <w:p w14:paraId="45E31468" w14:textId="77777777" w:rsidR="00956E09" w:rsidRPr="00843717" w:rsidRDefault="00956E09" w:rsidP="004E1C35">
                        <w:pPr>
                          <w:rPr>
                            <w:rFonts w:ascii="Arial" w:hAnsi="Arial" w:cs="Arial"/>
                          </w:rPr>
                        </w:pPr>
                      </w:p>
                    </w:tc>
                    <w:tc>
                      <w:tcPr>
                        <w:tcW w:w="1412" w:type="dxa"/>
                        <w:vMerge/>
                        <w:shd w:val="clear" w:color="auto" w:fill="auto"/>
                      </w:tcPr>
                      <w:p w14:paraId="3392C5C1" w14:textId="77777777" w:rsidR="00956E09" w:rsidRPr="00843717" w:rsidRDefault="00956E09" w:rsidP="004E1C35">
                        <w:pPr>
                          <w:rPr>
                            <w:rFonts w:ascii="Arial" w:hAnsi="Arial" w:cs="Arial"/>
                          </w:rPr>
                        </w:pPr>
                      </w:p>
                    </w:tc>
                  </w:tr>
                  <w:tr w:rsidR="00956E09" w:rsidRPr="00843717" w14:paraId="440F422D" w14:textId="77777777" w:rsidTr="009235CE">
                    <w:tc>
                      <w:tcPr>
                        <w:tcW w:w="1194" w:type="dxa"/>
                        <w:shd w:val="clear" w:color="auto" w:fill="auto"/>
                      </w:tcPr>
                      <w:p w14:paraId="7FD11140" w14:textId="77777777" w:rsidR="00956E09" w:rsidRPr="00843717" w:rsidRDefault="00956E09" w:rsidP="004E1C35">
                        <w:pPr>
                          <w:rPr>
                            <w:rFonts w:ascii="Arial" w:hAnsi="Arial" w:cs="Arial"/>
                          </w:rPr>
                        </w:pPr>
                        <w:r w:rsidRPr="00843717">
                          <w:rPr>
                            <w:rFonts w:ascii="Arial" w:hAnsi="Arial" w:cs="Arial"/>
                          </w:rPr>
                          <w:t>TB screening if indicated</w:t>
                        </w:r>
                      </w:p>
                    </w:tc>
                    <w:tc>
                      <w:tcPr>
                        <w:tcW w:w="1451" w:type="dxa"/>
                        <w:vMerge/>
                        <w:shd w:val="clear" w:color="auto" w:fill="auto"/>
                      </w:tcPr>
                      <w:p w14:paraId="128FC6C7" w14:textId="77777777" w:rsidR="00956E09" w:rsidRPr="00843717" w:rsidRDefault="00956E09" w:rsidP="004E1C35">
                        <w:pPr>
                          <w:rPr>
                            <w:rFonts w:ascii="Arial" w:hAnsi="Arial" w:cs="Arial"/>
                          </w:rPr>
                        </w:pPr>
                      </w:p>
                    </w:tc>
                    <w:tc>
                      <w:tcPr>
                        <w:tcW w:w="1219" w:type="dxa"/>
                        <w:vMerge/>
                        <w:shd w:val="clear" w:color="auto" w:fill="auto"/>
                      </w:tcPr>
                      <w:p w14:paraId="30C983F4" w14:textId="77777777" w:rsidR="00956E09" w:rsidRPr="00843717" w:rsidRDefault="00956E09" w:rsidP="004E1C35">
                        <w:pPr>
                          <w:jc w:val="center"/>
                          <w:rPr>
                            <w:rFonts w:ascii="Arial" w:hAnsi="Arial" w:cs="Arial"/>
                          </w:rPr>
                        </w:pPr>
                      </w:p>
                    </w:tc>
                    <w:tc>
                      <w:tcPr>
                        <w:tcW w:w="1525" w:type="dxa"/>
                        <w:vMerge/>
                        <w:shd w:val="clear" w:color="auto" w:fill="auto"/>
                      </w:tcPr>
                      <w:p w14:paraId="3DD8024E" w14:textId="77777777" w:rsidR="00956E09" w:rsidRPr="00843717" w:rsidRDefault="00956E09" w:rsidP="004E1C35">
                        <w:pPr>
                          <w:rPr>
                            <w:rFonts w:ascii="Arial" w:hAnsi="Arial" w:cs="Arial"/>
                          </w:rPr>
                        </w:pPr>
                      </w:p>
                    </w:tc>
                    <w:tc>
                      <w:tcPr>
                        <w:tcW w:w="2120" w:type="dxa"/>
                        <w:vMerge/>
                      </w:tcPr>
                      <w:p w14:paraId="22DD3BEF" w14:textId="77777777" w:rsidR="00956E09" w:rsidRPr="00843717" w:rsidRDefault="00956E09" w:rsidP="004E1C35">
                        <w:pPr>
                          <w:rPr>
                            <w:rFonts w:ascii="Arial" w:hAnsi="Arial" w:cs="Arial"/>
                          </w:rPr>
                        </w:pPr>
                      </w:p>
                    </w:tc>
                    <w:tc>
                      <w:tcPr>
                        <w:tcW w:w="1451" w:type="dxa"/>
                        <w:vMerge/>
                        <w:shd w:val="clear" w:color="auto" w:fill="D9D9D9" w:themeFill="background1" w:themeFillShade="D9"/>
                      </w:tcPr>
                      <w:p w14:paraId="1C51123F" w14:textId="77777777" w:rsidR="00956E09" w:rsidRPr="00843717" w:rsidRDefault="00956E09" w:rsidP="004E1C35">
                        <w:pPr>
                          <w:rPr>
                            <w:rFonts w:ascii="Arial" w:hAnsi="Arial" w:cs="Arial"/>
                          </w:rPr>
                        </w:pPr>
                      </w:p>
                    </w:tc>
                    <w:tc>
                      <w:tcPr>
                        <w:tcW w:w="1412" w:type="dxa"/>
                        <w:vMerge/>
                        <w:shd w:val="clear" w:color="auto" w:fill="auto"/>
                      </w:tcPr>
                      <w:p w14:paraId="6D35CD3B" w14:textId="77777777" w:rsidR="00956E09" w:rsidRPr="00843717" w:rsidRDefault="00956E09" w:rsidP="004E1C35">
                        <w:pPr>
                          <w:rPr>
                            <w:rFonts w:ascii="Arial" w:hAnsi="Arial" w:cs="Arial"/>
                          </w:rPr>
                        </w:pPr>
                      </w:p>
                    </w:tc>
                  </w:tr>
                  <w:tr w:rsidR="00956E09" w:rsidRPr="00843717" w14:paraId="703F9574" w14:textId="77777777" w:rsidTr="009235CE">
                    <w:tc>
                      <w:tcPr>
                        <w:tcW w:w="1194" w:type="dxa"/>
                        <w:shd w:val="clear" w:color="auto" w:fill="auto"/>
                      </w:tcPr>
                      <w:p w14:paraId="186A8800" w14:textId="77777777" w:rsidR="00956E09" w:rsidRPr="00843717" w:rsidRDefault="00956E09" w:rsidP="004E1C35">
                        <w:pPr>
                          <w:rPr>
                            <w:rFonts w:ascii="Arial" w:hAnsi="Arial" w:cs="Arial"/>
                          </w:rPr>
                        </w:pPr>
                        <w:r w:rsidRPr="00843717">
                          <w:rPr>
                            <w:rFonts w:ascii="Arial" w:hAnsi="Arial" w:cs="Arial"/>
                          </w:rPr>
                          <w:t>Urinalysis</w:t>
                        </w:r>
                      </w:p>
                    </w:tc>
                    <w:tc>
                      <w:tcPr>
                        <w:tcW w:w="1451" w:type="dxa"/>
                        <w:shd w:val="clear" w:color="auto" w:fill="auto"/>
                      </w:tcPr>
                      <w:p w14:paraId="49F01EB3" w14:textId="77777777" w:rsidR="00956E09" w:rsidRPr="00843717" w:rsidRDefault="00956E09" w:rsidP="004E1C35">
                        <w:pPr>
                          <w:rPr>
                            <w:rFonts w:ascii="Arial" w:hAnsi="Arial" w:cs="Arial"/>
                          </w:rPr>
                        </w:pPr>
                        <w:r w:rsidRPr="00843717">
                          <w:rPr>
                            <w:rFonts w:ascii="Arial" w:hAnsi="Arial" w:cs="Arial"/>
                          </w:rPr>
                          <w:t>To assess for or monitor renal disease (proteinuria) or infection</w:t>
                        </w:r>
                      </w:p>
                    </w:tc>
                    <w:tc>
                      <w:tcPr>
                        <w:tcW w:w="1219" w:type="dxa"/>
                        <w:shd w:val="clear" w:color="auto" w:fill="auto"/>
                      </w:tcPr>
                      <w:p w14:paraId="1BD6836F" w14:textId="77777777" w:rsidR="00956E09" w:rsidRPr="00843717" w:rsidRDefault="00956E09" w:rsidP="004E1C35">
                        <w:pPr>
                          <w:jc w:val="center"/>
                          <w:rPr>
                            <w:rFonts w:ascii="Arial" w:hAnsi="Arial" w:cs="Arial"/>
                          </w:rPr>
                        </w:pPr>
                      </w:p>
                      <w:p w14:paraId="0F7CFAF7" w14:textId="77777777" w:rsidR="00956E09" w:rsidRPr="00843717" w:rsidRDefault="00956E09" w:rsidP="004E1C35">
                        <w:pPr>
                          <w:jc w:val="center"/>
                          <w:rPr>
                            <w:rFonts w:ascii="Arial" w:hAnsi="Arial" w:cs="Arial"/>
                          </w:rPr>
                        </w:pPr>
                      </w:p>
                      <w:p w14:paraId="48B48DB4" w14:textId="77777777" w:rsidR="00956E09" w:rsidRPr="00843717" w:rsidRDefault="00956E09" w:rsidP="004E1C35">
                        <w:pPr>
                          <w:jc w:val="center"/>
                          <w:rPr>
                            <w:rFonts w:ascii="Arial" w:hAnsi="Arial" w:cs="Arial"/>
                          </w:rPr>
                        </w:pPr>
                        <w:r w:rsidRPr="00843717">
                          <w:rPr>
                            <w:rFonts w:ascii="Arial" w:hAnsi="Arial" w:cs="Arial"/>
                          </w:rPr>
                          <w:t>√</w:t>
                        </w:r>
                      </w:p>
                    </w:tc>
                    <w:tc>
                      <w:tcPr>
                        <w:tcW w:w="1525" w:type="dxa"/>
                        <w:vMerge/>
                        <w:shd w:val="clear" w:color="auto" w:fill="auto"/>
                      </w:tcPr>
                      <w:p w14:paraId="51AD002A" w14:textId="77777777" w:rsidR="00956E09" w:rsidRPr="00843717" w:rsidRDefault="00956E09" w:rsidP="004E1C35">
                        <w:pPr>
                          <w:rPr>
                            <w:rFonts w:ascii="Arial" w:hAnsi="Arial" w:cs="Arial"/>
                          </w:rPr>
                        </w:pPr>
                      </w:p>
                    </w:tc>
                    <w:tc>
                      <w:tcPr>
                        <w:tcW w:w="2120" w:type="dxa"/>
                        <w:vMerge/>
                      </w:tcPr>
                      <w:p w14:paraId="74EC39ED" w14:textId="77777777" w:rsidR="00956E09" w:rsidRPr="00843717" w:rsidRDefault="00956E09" w:rsidP="004E1C35">
                        <w:pPr>
                          <w:rPr>
                            <w:rFonts w:ascii="Arial" w:hAnsi="Arial" w:cs="Arial"/>
                          </w:rPr>
                        </w:pPr>
                      </w:p>
                    </w:tc>
                    <w:tc>
                      <w:tcPr>
                        <w:tcW w:w="1451" w:type="dxa"/>
                        <w:vMerge/>
                        <w:shd w:val="clear" w:color="auto" w:fill="D9D9D9" w:themeFill="background1" w:themeFillShade="D9"/>
                      </w:tcPr>
                      <w:p w14:paraId="25771DCE" w14:textId="77777777" w:rsidR="00956E09" w:rsidRPr="00843717" w:rsidRDefault="00956E09" w:rsidP="004E1C35">
                        <w:pPr>
                          <w:rPr>
                            <w:rFonts w:ascii="Arial" w:hAnsi="Arial" w:cs="Arial"/>
                          </w:rPr>
                        </w:pPr>
                      </w:p>
                    </w:tc>
                    <w:tc>
                      <w:tcPr>
                        <w:tcW w:w="1412" w:type="dxa"/>
                        <w:vMerge/>
                        <w:shd w:val="clear" w:color="auto" w:fill="auto"/>
                      </w:tcPr>
                      <w:p w14:paraId="65BF201B" w14:textId="77777777" w:rsidR="00956E09" w:rsidRPr="00843717" w:rsidRDefault="00956E09" w:rsidP="004E1C35">
                        <w:pPr>
                          <w:rPr>
                            <w:rFonts w:ascii="Arial" w:hAnsi="Arial" w:cs="Arial"/>
                          </w:rPr>
                        </w:pPr>
                      </w:p>
                    </w:tc>
                  </w:tr>
                  <w:tr w:rsidR="00956E09" w:rsidRPr="00843717" w14:paraId="1ECCF005" w14:textId="77777777" w:rsidTr="009235CE">
                    <w:tc>
                      <w:tcPr>
                        <w:tcW w:w="1194" w:type="dxa"/>
                        <w:shd w:val="clear" w:color="auto" w:fill="auto"/>
                      </w:tcPr>
                      <w:p w14:paraId="525587B0" w14:textId="77777777" w:rsidR="00956E09" w:rsidRPr="00843717" w:rsidRDefault="00956E09" w:rsidP="004E1C35">
                        <w:pPr>
                          <w:rPr>
                            <w:rFonts w:ascii="Arial" w:hAnsi="Arial" w:cs="Arial"/>
                          </w:rPr>
                        </w:pPr>
                        <w:r w:rsidRPr="00843717">
                          <w:rPr>
                            <w:rFonts w:ascii="Arial" w:hAnsi="Arial" w:cs="Arial"/>
                          </w:rPr>
                          <w:t>TPMT</w:t>
                        </w:r>
                      </w:p>
                    </w:tc>
                    <w:tc>
                      <w:tcPr>
                        <w:tcW w:w="1451" w:type="dxa"/>
                        <w:shd w:val="clear" w:color="auto" w:fill="auto"/>
                      </w:tcPr>
                      <w:p w14:paraId="4F8F827F" w14:textId="182A1CAF" w:rsidR="00956E09" w:rsidRPr="00843717" w:rsidRDefault="00956E09" w:rsidP="004E1C35">
                        <w:pPr>
                          <w:rPr>
                            <w:rFonts w:ascii="Arial" w:hAnsi="Arial" w:cs="Arial"/>
                          </w:rPr>
                        </w:pPr>
                        <w:r w:rsidRPr="00843717">
                          <w:rPr>
                            <w:rFonts w:ascii="Arial" w:hAnsi="Arial" w:cs="Arial"/>
                          </w:rPr>
                          <w:t>To assess suitability for treatment</w:t>
                        </w:r>
                        <w:r>
                          <w:rPr>
                            <w:rFonts w:ascii="Arial" w:hAnsi="Arial" w:cs="Arial"/>
                          </w:rPr>
                          <w:t xml:space="preserve"> and guide dose</w:t>
                        </w:r>
                      </w:p>
                    </w:tc>
                    <w:tc>
                      <w:tcPr>
                        <w:tcW w:w="1219" w:type="dxa"/>
                        <w:shd w:val="clear" w:color="auto" w:fill="auto"/>
                      </w:tcPr>
                      <w:p w14:paraId="4F8E21F8" w14:textId="77777777" w:rsidR="00956E09" w:rsidRPr="00843717" w:rsidRDefault="00956E09" w:rsidP="004E1C35">
                        <w:pPr>
                          <w:jc w:val="center"/>
                          <w:rPr>
                            <w:rFonts w:ascii="Arial" w:hAnsi="Arial" w:cs="Arial"/>
                          </w:rPr>
                        </w:pPr>
                      </w:p>
                      <w:p w14:paraId="1ABA0D26" w14:textId="77777777" w:rsidR="00956E09" w:rsidRPr="00843717" w:rsidRDefault="00956E09" w:rsidP="004E1C35">
                        <w:pPr>
                          <w:jc w:val="center"/>
                          <w:rPr>
                            <w:rFonts w:ascii="Arial" w:hAnsi="Arial" w:cs="Arial"/>
                          </w:rPr>
                        </w:pPr>
                        <w:r w:rsidRPr="00843717">
                          <w:rPr>
                            <w:rFonts w:ascii="Arial" w:hAnsi="Arial" w:cs="Arial"/>
                          </w:rPr>
                          <w:t>√</w:t>
                        </w:r>
                      </w:p>
                    </w:tc>
                    <w:tc>
                      <w:tcPr>
                        <w:tcW w:w="1525" w:type="dxa"/>
                        <w:vMerge/>
                        <w:shd w:val="clear" w:color="auto" w:fill="auto"/>
                      </w:tcPr>
                      <w:p w14:paraId="6E972D6A" w14:textId="77777777" w:rsidR="00956E09" w:rsidRPr="00843717" w:rsidRDefault="00956E09" w:rsidP="004E1C35">
                        <w:pPr>
                          <w:rPr>
                            <w:rFonts w:ascii="Arial" w:hAnsi="Arial" w:cs="Arial"/>
                          </w:rPr>
                        </w:pPr>
                      </w:p>
                    </w:tc>
                    <w:tc>
                      <w:tcPr>
                        <w:tcW w:w="2120" w:type="dxa"/>
                        <w:vMerge/>
                      </w:tcPr>
                      <w:p w14:paraId="38B627B4" w14:textId="77777777" w:rsidR="00956E09" w:rsidRPr="00843717" w:rsidRDefault="00956E09" w:rsidP="004E1C35">
                        <w:pPr>
                          <w:rPr>
                            <w:rFonts w:ascii="Arial" w:hAnsi="Arial" w:cs="Arial"/>
                          </w:rPr>
                        </w:pPr>
                      </w:p>
                    </w:tc>
                    <w:tc>
                      <w:tcPr>
                        <w:tcW w:w="1451" w:type="dxa"/>
                        <w:vMerge/>
                        <w:tcBorders>
                          <w:bottom w:val="single" w:sz="4" w:space="0" w:color="auto"/>
                        </w:tcBorders>
                        <w:shd w:val="clear" w:color="auto" w:fill="D9D9D9" w:themeFill="background1" w:themeFillShade="D9"/>
                      </w:tcPr>
                      <w:p w14:paraId="3F1E0952" w14:textId="77777777" w:rsidR="00956E09" w:rsidRPr="00843717" w:rsidRDefault="00956E09" w:rsidP="004E1C35">
                        <w:pPr>
                          <w:rPr>
                            <w:rFonts w:ascii="Arial" w:hAnsi="Arial" w:cs="Arial"/>
                          </w:rPr>
                        </w:pPr>
                      </w:p>
                    </w:tc>
                    <w:tc>
                      <w:tcPr>
                        <w:tcW w:w="1412" w:type="dxa"/>
                        <w:vMerge/>
                        <w:shd w:val="clear" w:color="auto" w:fill="auto"/>
                      </w:tcPr>
                      <w:p w14:paraId="7E585BF6" w14:textId="77777777" w:rsidR="00956E09" w:rsidRPr="00843717" w:rsidRDefault="00956E09" w:rsidP="004E1C35">
                        <w:pPr>
                          <w:rPr>
                            <w:rFonts w:ascii="Arial" w:hAnsi="Arial" w:cs="Arial"/>
                          </w:rPr>
                        </w:pPr>
                      </w:p>
                    </w:tc>
                  </w:tr>
                  <w:tr w:rsidR="004E1C35" w:rsidRPr="00843717" w14:paraId="43F885F2" w14:textId="77777777" w:rsidTr="009235CE">
                    <w:tc>
                      <w:tcPr>
                        <w:tcW w:w="2645" w:type="dxa"/>
                        <w:gridSpan w:val="2"/>
                        <w:shd w:val="clear" w:color="auto" w:fill="auto"/>
                      </w:tcPr>
                      <w:p w14:paraId="3720A8D6" w14:textId="77777777" w:rsidR="004E1C35" w:rsidRPr="00843717" w:rsidRDefault="004E1C35" w:rsidP="004E1C35">
                        <w:pPr>
                          <w:rPr>
                            <w:rFonts w:ascii="Arial" w:hAnsi="Arial" w:cs="Arial"/>
                          </w:rPr>
                        </w:pPr>
                        <w:r w:rsidRPr="00843717">
                          <w:rPr>
                            <w:rFonts w:ascii="Arial" w:hAnsi="Arial" w:cs="Arial"/>
                          </w:rPr>
                          <w:t>Ask about oral ulceration, sore throat, unexplained rash or unusual bruising/bleeding</w:t>
                        </w:r>
                      </w:p>
                    </w:tc>
                    <w:tc>
                      <w:tcPr>
                        <w:tcW w:w="1219" w:type="dxa"/>
                        <w:shd w:val="clear" w:color="auto" w:fill="auto"/>
                      </w:tcPr>
                      <w:p w14:paraId="7AF9FC58" w14:textId="77777777" w:rsidR="004E1C35" w:rsidRPr="00843717" w:rsidRDefault="004E1C35" w:rsidP="004E1C35">
                        <w:pPr>
                          <w:jc w:val="center"/>
                          <w:rPr>
                            <w:rFonts w:ascii="Arial" w:hAnsi="Arial" w:cs="Arial"/>
                          </w:rPr>
                        </w:pPr>
                      </w:p>
                      <w:p w14:paraId="6352BDAB" w14:textId="77777777" w:rsidR="004E1C35" w:rsidRPr="00843717" w:rsidRDefault="004E1C35" w:rsidP="004E1C35">
                        <w:pPr>
                          <w:jc w:val="center"/>
                          <w:rPr>
                            <w:rFonts w:ascii="Arial" w:hAnsi="Arial" w:cs="Arial"/>
                          </w:rPr>
                        </w:pPr>
                        <w:r w:rsidRPr="00843717">
                          <w:rPr>
                            <w:rFonts w:ascii="Arial" w:hAnsi="Arial" w:cs="Arial"/>
                          </w:rPr>
                          <w:t>√</w:t>
                        </w:r>
                      </w:p>
                    </w:tc>
                    <w:tc>
                      <w:tcPr>
                        <w:tcW w:w="3645" w:type="dxa"/>
                        <w:gridSpan w:val="2"/>
                        <w:shd w:val="clear" w:color="auto" w:fill="auto"/>
                      </w:tcPr>
                      <w:p w14:paraId="78433324" w14:textId="77777777" w:rsidR="004E1C35" w:rsidRPr="00843717" w:rsidRDefault="004E1C35" w:rsidP="004E1C35">
                        <w:pPr>
                          <w:jc w:val="center"/>
                          <w:rPr>
                            <w:rFonts w:ascii="Arial" w:hAnsi="Arial" w:cs="Arial"/>
                          </w:rPr>
                        </w:pPr>
                        <w:r w:rsidRPr="00843717">
                          <w:rPr>
                            <w:rFonts w:ascii="Arial" w:hAnsi="Arial" w:cs="Arial"/>
                          </w:rPr>
                          <w:t>At every consultation</w:t>
                        </w:r>
                      </w:p>
                    </w:tc>
                    <w:tc>
                      <w:tcPr>
                        <w:tcW w:w="1451" w:type="dxa"/>
                        <w:shd w:val="clear" w:color="auto" w:fill="D9D9D9" w:themeFill="background1" w:themeFillShade="D9"/>
                      </w:tcPr>
                      <w:p w14:paraId="450DED1B" w14:textId="77777777" w:rsidR="004E1C35" w:rsidRPr="00843717" w:rsidRDefault="004E1C35" w:rsidP="004E1C35">
                        <w:pPr>
                          <w:jc w:val="center"/>
                          <w:rPr>
                            <w:rFonts w:ascii="Arial" w:hAnsi="Arial" w:cs="Arial"/>
                          </w:rPr>
                        </w:pPr>
                        <w:r w:rsidRPr="00843717">
                          <w:rPr>
                            <w:rFonts w:ascii="Arial" w:hAnsi="Arial" w:cs="Arial"/>
                          </w:rPr>
                          <w:t>At every consultation</w:t>
                        </w:r>
                      </w:p>
                    </w:tc>
                    <w:tc>
                      <w:tcPr>
                        <w:tcW w:w="1412" w:type="dxa"/>
                        <w:shd w:val="clear" w:color="auto" w:fill="auto"/>
                      </w:tcPr>
                      <w:p w14:paraId="424DF68E" w14:textId="77777777" w:rsidR="004E1C35" w:rsidRPr="00843717" w:rsidRDefault="004E1C35" w:rsidP="004E1C35">
                        <w:pPr>
                          <w:jc w:val="center"/>
                          <w:rPr>
                            <w:rFonts w:ascii="Arial" w:hAnsi="Arial" w:cs="Arial"/>
                          </w:rPr>
                        </w:pPr>
                        <w:r w:rsidRPr="00843717">
                          <w:rPr>
                            <w:rFonts w:ascii="Arial" w:hAnsi="Arial" w:cs="Arial"/>
                          </w:rPr>
                          <w:t>At every consultation</w:t>
                        </w:r>
                      </w:p>
                    </w:tc>
                  </w:tr>
                  <w:tr w:rsidR="00A24681" w:rsidRPr="00843717" w14:paraId="57450EF1" w14:textId="77777777" w:rsidTr="009235CE">
                    <w:tc>
                      <w:tcPr>
                        <w:tcW w:w="10372" w:type="dxa"/>
                        <w:gridSpan w:val="7"/>
                      </w:tcPr>
                      <w:p w14:paraId="30375F05" w14:textId="77777777" w:rsidR="00A24681" w:rsidRPr="00843717" w:rsidRDefault="00A24681" w:rsidP="00A24681">
                        <w:pPr>
                          <w:rPr>
                            <w:rFonts w:ascii="Arial" w:hAnsi="Arial" w:cs="Arial"/>
                          </w:rPr>
                        </w:pPr>
                        <w:r w:rsidRPr="001A6B58">
                          <w:rPr>
                            <w:rFonts w:ascii="Arial" w:hAnsi="Arial" w:cs="Arial"/>
                            <w:b/>
                          </w:rPr>
                          <w:t>*</w:t>
                        </w:r>
                        <w:r w:rsidRPr="001A6B58">
                          <w:rPr>
                            <w:rFonts w:ascii="Arial" w:hAnsi="Arial" w:cs="Arial"/>
                          </w:rPr>
                          <w:t xml:space="preserve">If a further </w:t>
                        </w:r>
                        <w:r w:rsidRPr="00843717">
                          <w:rPr>
                            <w:rFonts w:ascii="Arial" w:hAnsi="Arial" w:cs="Arial"/>
                          </w:rPr>
                          <w:t xml:space="preserve">DMARD is added as combination therapy, or the dose is increased, the initial starting </w:t>
                        </w:r>
                        <w:r>
                          <w:rPr>
                            <w:rFonts w:ascii="Arial" w:hAnsi="Arial" w:cs="Arial"/>
                          </w:rPr>
                          <w:t>schedule should be reinstated</w:t>
                        </w:r>
                        <w:r w:rsidRPr="004579C4">
                          <w:rPr>
                            <w:rFonts w:ascii="Arial" w:hAnsi="Arial" w:cs="Arial"/>
                          </w:rPr>
                          <w:t xml:space="preserve">. </w:t>
                        </w:r>
                        <w:r w:rsidRPr="004579C4">
                          <w:rPr>
                            <w:rFonts w:ascii="Arial" w:hAnsi="Arial" w:cs="Arial"/>
                            <w:b/>
                          </w:rPr>
                          <w:t>For dose increases monitoring should start back with Phase I monitoring and be every 2 weeks until dose is stable for 6 weeks, then revert to previous schedule.</w:t>
                        </w:r>
                        <w:r w:rsidRPr="004579C4">
                          <w:rPr>
                            <w:rFonts w:ascii="Arial" w:hAnsi="Arial" w:cs="Arial"/>
                          </w:rPr>
                          <w:t xml:space="preserve"> Ther</w:t>
                        </w:r>
                        <w:r w:rsidRPr="00843717">
                          <w:rPr>
                            <w:rFonts w:ascii="Arial" w:hAnsi="Arial" w:cs="Arial"/>
                          </w:rPr>
                          <w:t xml:space="preserve">e may be clinical circumstances where the frequency of monitoring may </w:t>
                        </w:r>
                        <w:proofErr w:type="gramStart"/>
                        <w:r w:rsidRPr="00843717">
                          <w:rPr>
                            <w:rFonts w:ascii="Arial" w:hAnsi="Arial" w:cs="Arial"/>
                          </w:rPr>
                          <w:t>vary</w:t>
                        </w:r>
                        <w:proofErr w:type="gramEnd"/>
                        <w:r w:rsidRPr="00843717">
                          <w:rPr>
                            <w:rFonts w:ascii="Arial" w:hAnsi="Arial" w:cs="Arial"/>
                          </w:rPr>
                          <w:t xml:space="preserve"> and this should be specified by the initiating specialist.</w:t>
                        </w:r>
                      </w:p>
                    </w:tc>
                  </w:tr>
                </w:tbl>
                <w:p w14:paraId="774AEC50" w14:textId="77777777" w:rsidR="0015736E" w:rsidRDefault="0015736E" w:rsidP="0015736E">
                  <w:pPr>
                    <w:spacing w:after="40"/>
                  </w:pPr>
                </w:p>
                <w:p w14:paraId="38B4FDE3" w14:textId="77777777" w:rsidR="00413BC8" w:rsidRDefault="00413BC8" w:rsidP="00413BC8">
                  <w:pPr>
                    <w:spacing w:after="40"/>
                    <w:rPr>
                      <w:rFonts w:ascii="Arial" w:hAnsi="Arial" w:cs="Arial"/>
                      <w:b/>
                      <w:u w:val="single"/>
                    </w:rPr>
                  </w:pPr>
                  <w:r w:rsidRPr="00843717">
                    <w:rPr>
                      <w:rFonts w:ascii="Arial" w:hAnsi="Arial" w:cs="Arial"/>
                      <w:b/>
                      <w:u w:val="single"/>
                    </w:rPr>
                    <w:t>Action to be taken if Abnormal Result</w:t>
                  </w:r>
                </w:p>
                <w:p w14:paraId="127CB553" w14:textId="77777777" w:rsidR="00413BC8" w:rsidRPr="00843717" w:rsidRDefault="00413BC8" w:rsidP="00413BC8">
                  <w:pPr>
                    <w:spacing w:after="120"/>
                    <w:rPr>
                      <w:rFonts w:ascii="Arial" w:hAnsi="Arial" w:cs="Arial"/>
                      <w:b/>
                      <w:u w:val="single"/>
                    </w:rPr>
                  </w:pPr>
                  <w:r w:rsidRPr="00843717">
                    <w:rPr>
                      <w:rFonts w:ascii="Arial" w:hAnsi="Arial" w:cs="Arial"/>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r>
                    <w:rPr>
                      <w:rFonts w:ascii="Arial" w:hAnsi="Arial" w:cs="Arial"/>
                    </w:rPr>
                    <w:t>.</w:t>
                  </w:r>
                </w:p>
                <w:tbl>
                  <w:tblPr>
                    <w:tblStyle w:val="TableGrid"/>
                    <w:tblW w:w="0" w:type="auto"/>
                    <w:tblLayout w:type="fixed"/>
                    <w:tblLook w:val="04A0" w:firstRow="1" w:lastRow="0" w:firstColumn="1" w:lastColumn="0" w:noHBand="0" w:noVBand="1"/>
                  </w:tblPr>
                  <w:tblGrid>
                    <w:gridCol w:w="4261"/>
                    <w:gridCol w:w="5799"/>
                  </w:tblGrid>
                  <w:tr w:rsidR="00413BC8" w:rsidRPr="00843717" w14:paraId="0410DF77" w14:textId="77777777" w:rsidTr="009235CE">
                    <w:trPr>
                      <w:trHeight w:val="280"/>
                    </w:trPr>
                    <w:tc>
                      <w:tcPr>
                        <w:tcW w:w="4261" w:type="dxa"/>
                      </w:tcPr>
                      <w:p w14:paraId="5544EC0C" w14:textId="77777777" w:rsidR="00413BC8" w:rsidRPr="005E21BE" w:rsidRDefault="00413BC8" w:rsidP="00413BC8">
                        <w:pPr>
                          <w:jc w:val="center"/>
                          <w:rPr>
                            <w:rFonts w:ascii="Arial" w:hAnsi="Arial" w:cs="Arial"/>
                            <w:b/>
                          </w:rPr>
                        </w:pPr>
                        <w:r w:rsidRPr="005E21BE">
                          <w:rPr>
                            <w:rFonts w:ascii="Arial" w:hAnsi="Arial" w:cs="Arial"/>
                            <w:b/>
                          </w:rPr>
                          <w:t>Abnormal Result</w:t>
                        </w:r>
                      </w:p>
                    </w:tc>
                    <w:tc>
                      <w:tcPr>
                        <w:tcW w:w="5799" w:type="dxa"/>
                        <w:shd w:val="pct10" w:color="auto" w:fill="auto"/>
                      </w:tcPr>
                      <w:p w14:paraId="5020595B" w14:textId="77777777" w:rsidR="00413BC8" w:rsidRPr="005E21BE" w:rsidRDefault="00413BC8" w:rsidP="00413BC8">
                        <w:pPr>
                          <w:jc w:val="center"/>
                          <w:rPr>
                            <w:rFonts w:ascii="Arial" w:hAnsi="Arial" w:cs="Arial"/>
                            <w:b/>
                          </w:rPr>
                        </w:pPr>
                        <w:r w:rsidRPr="005E21BE">
                          <w:rPr>
                            <w:rFonts w:ascii="Arial" w:hAnsi="Arial" w:cs="Arial"/>
                            <w:b/>
                          </w:rPr>
                          <w:t>Action to be taken by GP</w:t>
                        </w:r>
                      </w:p>
                    </w:tc>
                  </w:tr>
                  <w:tr w:rsidR="006B319A" w:rsidRPr="00843717" w14:paraId="2C03B9CB" w14:textId="77777777" w:rsidTr="009235CE">
                    <w:trPr>
                      <w:trHeight w:val="724"/>
                    </w:trPr>
                    <w:tc>
                      <w:tcPr>
                        <w:tcW w:w="4261" w:type="dxa"/>
                      </w:tcPr>
                      <w:p w14:paraId="16597ED2" w14:textId="77777777" w:rsidR="006B319A" w:rsidRPr="00843717" w:rsidRDefault="006B319A" w:rsidP="006B319A">
                        <w:pPr>
                          <w:rPr>
                            <w:rFonts w:ascii="Arial" w:hAnsi="Arial" w:cs="Arial"/>
                          </w:rPr>
                        </w:pPr>
                        <w:r w:rsidRPr="00843717">
                          <w:rPr>
                            <w:rFonts w:ascii="Arial" w:hAnsi="Arial" w:cs="Arial"/>
                          </w:rPr>
                          <w:t>Neutrophils: if &lt; 2.0 x 10</w:t>
                        </w:r>
                        <w:r w:rsidRPr="00843717">
                          <w:rPr>
                            <w:rFonts w:ascii="Arial" w:hAnsi="Arial" w:cs="Arial"/>
                            <w:vertAlign w:val="superscript"/>
                          </w:rPr>
                          <w:t>9</w:t>
                        </w:r>
                        <w:r w:rsidRPr="00843717">
                          <w:rPr>
                            <w:rFonts w:ascii="Arial" w:hAnsi="Arial" w:cs="Arial"/>
                          </w:rPr>
                          <w:t>/L</w:t>
                        </w:r>
                      </w:p>
                    </w:tc>
                    <w:tc>
                      <w:tcPr>
                        <w:tcW w:w="5799" w:type="dxa"/>
                        <w:shd w:val="pct10" w:color="auto" w:fill="auto"/>
                      </w:tcPr>
                      <w:p w14:paraId="026306AD" w14:textId="3DF76E58" w:rsidR="006B319A" w:rsidRPr="007A579E" w:rsidRDefault="006B319A" w:rsidP="006B319A">
                        <w:pPr>
                          <w:rPr>
                            <w:rFonts w:ascii="Arial" w:hAnsi="Arial" w:cs="Arial"/>
                            <w:highlight w:val="yellow"/>
                          </w:rPr>
                        </w:pPr>
                        <w:r>
                          <w:rPr>
                            <w:rFonts w:ascii="Arial" w:hAnsi="Arial" w:cs="Arial"/>
                          </w:rPr>
                          <w:t>D</w:t>
                        </w:r>
                        <w:r w:rsidRPr="00843717">
                          <w:rPr>
                            <w:rFonts w:ascii="Arial" w:hAnsi="Arial" w:cs="Arial"/>
                          </w:rPr>
                          <w:t>iscuss with specialist to consider 50% dose reduction, if &lt; 1.6 x 10</w:t>
                        </w:r>
                        <w:r w:rsidRPr="00843717">
                          <w:rPr>
                            <w:rFonts w:ascii="Arial" w:hAnsi="Arial" w:cs="Arial"/>
                            <w:vertAlign w:val="superscript"/>
                          </w:rPr>
                          <w:t>9</w:t>
                        </w:r>
                        <w:r w:rsidRPr="00843717">
                          <w:rPr>
                            <w:rFonts w:ascii="Arial" w:hAnsi="Arial" w:cs="Arial"/>
                          </w:rPr>
                          <w:t>/L stop</w:t>
                        </w:r>
                        <w:r>
                          <w:rPr>
                            <w:rFonts w:ascii="Arial" w:hAnsi="Arial" w:cs="Arial"/>
                          </w:rPr>
                          <w:t>.</w:t>
                        </w:r>
                      </w:p>
                    </w:tc>
                  </w:tr>
                  <w:tr w:rsidR="006B319A" w:rsidRPr="00843717" w14:paraId="799D9EC9" w14:textId="77777777" w:rsidTr="009235CE">
                    <w:trPr>
                      <w:trHeight w:val="737"/>
                    </w:trPr>
                    <w:tc>
                      <w:tcPr>
                        <w:tcW w:w="4261" w:type="dxa"/>
                      </w:tcPr>
                      <w:p w14:paraId="25FB7B44" w14:textId="77777777" w:rsidR="006B319A" w:rsidRPr="00843717" w:rsidRDefault="006B319A" w:rsidP="006B319A">
                        <w:pPr>
                          <w:rPr>
                            <w:rFonts w:ascii="Arial" w:hAnsi="Arial" w:cs="Arial"/>
                          </w:rPr>
                        </w:pPr>
                        <w:r w:rsidRPr="00843717">
                          <w:rPr>
                            <w:rFonts w:ascii="Arial" w:hAnsi="Arial" w:cs="Arial"/>
                          </w:rPr>
                          <w:t>WCC &lt; 3.5 x 10</w:t>
                        </w:r>
                        <w:r w:rsidRPr="00843717">
                          <w:rPr>
                            <w:rFonts w:ascii="Arial" w:hAnsi="Arial" w:cs="Arial"/>
                            <w:vertAlign w:val="superscript"/>
                          </w:rPr>
                          <w:t>9</w:t>
                        </w:r>
                        <w:r w:rsidRPr="00843717">
                          <w:rPr>
                            <w:rFonts w:ascii="Arial" w:hAnsi="Arial" w:cs="Arial"/>
                          </w:rPr>
                          <w:t>/L</w:t>
                        </w:r>
                      </w:p>
                    </w:tc>
                    <w:tc>
                      <w:tcPr>
                        <w:tcW w:w="5799" w:type="dxa"/>
                        <w:shd w:val="pct10" w:color="auto" w:fill="auto"/>
                      </w:tcPr>
                      <w:p w14:paraId="58510367" w14:textId="77777777" w:rsidR="006B319A" w:rsidRPr="00843717" w:rsidRDefault="006B319A" w:rsidP="006B319A">
                        <w:pPr>
                          <w:rPr>
                            <w:rFonts w:ascii="Arial" w:hAnsi="Arial" w:cs="Arial"/>
                          </w:rPr>
                        </w:pPr>
                        <w:r>
                          <w:rPr>
                            <w:rFonts w:ascii="Arial" w:hAnsi="Arial" w:cs="Arial"/>
                          </w:rPr>
                          <w:t>R</w:t>
                        </w:r>
                        <w:r w:rsidRPr="00843717">
                          <w:rPr>
                            <w:rFonts w:ascii="Arial" w:hAnsi="Arial" w:cs="Arial"/>
                          </w:rPr>
                          <w:t>epeat, review dose with specialist if still &lt;3.5, if &lt;3.0 stop and contact specialist</w:t>
                        </w:r>
                        <w:r>
                          <w:rPr>
                            <w:rFonts w:ascii="Arial" w:hAnsi="Arial" w:cs="Arial"/>
                          </w:rPr>
                          <w:t>.</w:t>
                        </w:r>
                      </w:p>
                      <w:p w14:paraId="199EBBF6" w14:textId="36FC73AA" w:rsidR="006B319A" w:rsidRPr="00843717" w:rsidRDefault="006B319A" w:rsidP="006B319A">
                        <w:pPr>
                          <w:rPr>
                            <w:rFonts w:ascii="Arial" w:hAnsi="Arial" w:cs="Arial"/>
                          </w:rPr>
                        </w:pPr>
                        <w:r w:rsidRPr="00843717">
                          <w:rPr>
                            <w:rFonts w:ascii="Arial" w:hAnsi="Arial" w:cs="Arial"/>
                            <w:color w:val="000000"/>
                          </w:rPr>
                          <w:t>NB - It is normal to get a low lymphocyte count, discuss with specialist if any concerns.</w:t>
                        </w:r>
                      </w:p>
                    </w:tc>
                  </w:tr>
                  <w:tr w:rsidR="006B319A" w:rsidRPr="00843717" w14:paraId="0F1B7355" w14:textId="77777777" w:rsidTr="009235CE">
                    <w:tc>
                      <w:tcPr>
                        <w:tcW w:w="4261" w:type="dxa"/>
                      </w:tcPr>
                      <w:p w14:paraId="2EE17DBB" w14:textId="77777777" w:rsidR="006B319A" w:rsidRPr="00843717" w:rsidRDefault="006B319A" w:rsidP="006B319A">
                        <w:pPr>
                          <w:rPr>
                            <w:rFonts w:ascii="Arial" w:hAnsi="Arial" w:cs="Arial"/>
                          </w:rPr>
                        </w:pPr>
                        <w:r w:rsidRPr="00843717">
                          <w:rPr>
                            <w:rFonts w:ascii="Arial" w:hAnsi="Arial" w:cs="Arial"/>
                          </w:rPr>
                          <w:t>Unexplained eosinophilia &gt; 0.5 x 10</w:t>
                        </w:r>
                        <w:r w:rsidRPr="00843717">
                          <w:rPr>
                            <w:rFonts w:ascii="Arial" w:hAnsi="Arial" w:cs="Arial"/>
                            <w:vertAlign w:val="superscript"/>
                          </w:rPr>
                          <w:t>9</w:t>
                        </w:r>
                        <w:r w:rsidRPr="00843717">
                          <w:rPr>
                            <w:rFonts w:ascii="Arial" w:hAnsi="Arial" w:cs="Arial"/>
                          </w:rPr>
                          <w:t xml:space="preserve">/L </w:t>
                        </w:r>
                      </w:p>
                      <w:p w14:paraId="1BA13A64" w14:textId="77777777" w:rsidR="006B319A" w:rsidRPr="00843717" w:rsidRDefault="006B319A" w:rsidP="006B319A">
                        <w:pPr>
                          <w:rPr>
                            <w:rFonts w:ascii="Arial" w:hAnsi="Arial" w:cs="Arial"/>
                          </w:rPr>
                        </w:pPr>
                      </w:p>
                    </w:tc>
                    <w:tc>
                      <w:tcPr>
                        <w:tcW w:w="5799" w:type="dxa"/>
                        <w:shd w:val="pct10" w:color="auto" w:fill="auto"/>
                      </w:tcPr>
                      <w:p w14:paraId="1349BE6F" w14:textId="0DEE1428" w:rsidR="006B319A" w:rsidRPr="00843717" w:rsidRDefault="006B319A" w:rsidP="006B319A">
                        <w:pPr>
                          <w:rPr>
                            <w:rFonts w:ascii="Arial" w:hAnsi="Arial" w:cs="Arial"/>
                          </w:rPr>
                        </w:pPr>
                        <w:r>
                          <w:rPr>
                            <w:rFonts w:ascii="Arial" w:hAnsi="Arial" w:cs="Arial"/>
                          </w:rPr>
                          <w:t>Contact specialist for advice. Withhold azathioprine/</w:t>
                        </w:r>
                        <w:r w:rsidRPr="00843717">
                          <w:rPr>
                            <w:rFonts w:ascii="Arial" w:hAnsi="Arial" w:cs="Arial"/>
                          </w:rPr>
                          <w:t>MP if no response from specialist in 5-7 days</w:t>
                        </w:r>
                        <w:r>
                          <w:rPr>
                            <w:rFonts w:ascii="Arial" w:hAnsi="Arial" w:cs="Arial"/>
                          </w:rPr>
                          <w:t>.</w:t>
                        </w:r>
                      </w:p>
                    </w:tc>
                  </w:tr>
                  <w:tr w:rsidR="00413BC8" w:rsidRPr="00843717" w14:paraId="52FF8E46" w14:textId="77777777" w:rsidTr="009235CE">
                    <w:tc>
                      <w:tcPr>
                        <w:tcW w:w="4261" w:type="dxa"/>
                      </w:tcPr>
                      <w:p w14:paraId="2B24308A" w14:textId="77777777" w:rsidR="00413BC8" w:rsidRPr="00843717" w:rsidRDefault="00413BC8" w:rsidP="00413BC8">
                        <w:pPr>
                          <w:rPr>
                            <w:rFonts w:ascii="Arial" w:hAnsi="Arial" w:cs="Arial"/>
                          </w:rPr>
                        </w:pPr>
                        <w:r w:rsidRPr="00843717">
                          <w:rPr>
                            <w:rFonts w:ascii="Arial" w:hAnsi="Arial" w:cs="Arial"/>
                          </w:rPr>
                          <w:t>Anaemia</w:t>
                        </w:r>
                      </w:p>
                    </w:tc>
                    <w:tc>
                      <w:tcPr>
                        <w:tcW w:w="5799" w:type="dxa"/>
                        <w:shd w:val="pct10" w:color="auto" w:fill="auto"/>
                      </w:tcPr>
                      <w:p w14:paraId="2666DB80" w14:textId="77777777" w:rsidR="00413BC8" w:rsidRPr="00843717" w:rsidRDefault="00413BC8" w:rsidP="00413BC8">
                        <w:pPr>
                          <w:rPr>
                            <w:rFonts w:ascii="Arial" w:hAnsi="Arial" w:cs="Arial"/>
                          </w:rPr>
                        </w:pPr>
                        <w:r>
                          <w:rPr>
                            <w:rFonts w:ascii="Arial" w:hAnsi="Arial" w:cs="Arial"/>
                          </w:rPr>
                          <w:t>I</w:t>
                        </w:r>
                        <w:r w:rsidRPr="00843717">
                          <w:rPr>
                            <w:rFonts w:ascii="Arial" w:hAnsi="Arial" w:cs="Arial"/>
                          </w:rPr>
                          <w:t>f new – investigate in the usual way and monitor weekly, if long standing monitor as schedule</w:t>
                        </w:r>
                        <w:r>
                          <w:t>. I</w:t>
                        </w:r>
                        <w:r w:rsidRPr="00631DFD">
                          <w:rPr>
                            <w:rFonts w:ascii="Arial" w:hAnsi="Arial" w:cs="Arial"/>
                          </w:rPr>
                          <w:t>f cause for concern discuss with specialist</w:t>
                        </w:r>
                        <w:r>
                          <w:rPr>
                            <w:rFonts w:ascii="Arial" w:hAnsi="Arial" w:cs="Arial"/>
                          </w:rPr>
                          <w:t>.</w:t>
                        </w:r>
                        <w:r w:rsidRPr="00631DFD">
                          <w:rPr>
                            <w:rStyle w:val="CommentReference"/>
                            <w:rFonts w:ascii="Arial" w:hAnsi="Arial" w:cs="Arial"/>
                            <w:sz w:val="22"/>
                            <w:szCs w:val="22"/>
                          </w:rPr>
                          <w:t xml:space="preserve"> </w:t>
                        </w:r>
                      </w:p>
                    </w:tc>
                  </w:tr>
                  <w:tr w:rsidR="00413BC8" w:rsidRPr="00843717" w14:paraId="650A3FC3" w14:textId="77777777" w:rsidTr="009235CE">
                    <w:tc>
                      <w:tcPr>
                        <w:tcW w:w="4261" w:type="dxa"/>
                      </w:tcPr>
                      <w:p w14:paraId="3101E5ED" w14:textId="77777777" w:rsidR="00413BC8" w:rsidRPr="00843717" w:rsidRDefault="00413BC8" w:rsidP="00413BC8">
                        <w:pPr>
                          <w:rPr>
                            <w:rFonts w:ascii="Arial" w:hAnsi="Arial" w:cs="Arial"/>
                          </w:rPr>
                        </w:pPr>
                        <w:r w:rsidRPr="00843717">
                          <w:rPr>
                            <w:rFonts w:ascii="Arial" w:hAnsi="Arial" w:cs="Arial"/>
                          </w:rPr>
                          <w:lastRenderedPageBreak/>
                          <w:t>Platelets &lt; 140 x 10</w:t>
                        </w:r>
                        <w:r w:rsidRPr="00843717">
                          <w:rPr>
                            <w:rFonts w:ascii="Arial" w:hAnsi="Arial" w:cs="Arial"/>
                            <w:vertAlign w:val="superscript"/>
                          </w:rPr>
                          <w:t>9</w:t>
                        </w:r>
                        <w:r w:rsidRPr="00843717">
                          <w:rPr>
                            <w:rFonts w:ascii="Arial" w:hAnsi="Arial" w:cs="Arial"/>
                          </w:rPr>
                          <w:t xml:space="preserve">/L </w:t>
                        </w:r>
                      </w:p>
                    </w:tc>
                    <w:tc>
                      <w:tcPr>
                        <w:tcW w:w="5799" w:type="dxa"/>
                        <w:shd w:val="pct10" w:color="auto" w:fill="auto"/>
                      </w:tcPr>
                      <w:p w14:paraId="30DE8E6A" w14:textId="77777777" w:rsidR="00413BC8" w:rsidRPr="00843717" w:rsidRDefault="00413BC8" w:rsidP="00413BC8">
                        <w:pPr>
                          <w:rPr>
                            <w:rFonts w:ascii="Arial" w:hAnsi="Arial" w:cs="Arial"/>
                          </w:rPr>
                        </w:pPr>
                        <w:r>
                          <w:rPr>
                            <w:rFonts w:ascii="Arial" w:hAnsi="Arial" w:cs="Arial"/>
                          </w:rPr>
                          <w:t>Contact specialist for advice. Withhold azathioprine/</w:t>
                        </w:r>
                        <w:r w:rsidRPr="00843717">
                          <w:rPr>
                            <w:rFonts w:ascii="Arial" w:hAnsi="Arial" w:cs="Arial"/>
                          </w:rPr>
                          <w:t>MP if no response from specialist in 5-7 days</w:t>
                        </w:r>
                        <w:r>
                          <w:rPr>
                            <w:rFonts w:ascii="Arial" w:hAnsi="Arial" w:cs="Arial"/>
                          </w:rPr>
                          <w:t>.</w:t>
                        </w:r>
                      </w:p>
                    </w:tc>
                  </w:tr>
                  <w:tr w:rsidR="00413BC8" w:rsidRPr="00843717" w14:paraId="3923AD0E" w14:textId="77777777" w:rsidTr="009235CE">
                    <w:tc>
                      <w:tcPr>
                        <w:tcW w:w="4261" w:type="dxa"/>
                      </w:tcPr>
                      <w:p w14:paraId="553D1213" w14:textId="77777777" w:rsidR="00413BC8" w:rsidRPr="00843717" w:rsidRDefault="00413BC8" w:rsidP="00413BC8">
                        <w:pPr>
                          <w:rPr>
                            <w:rFonts w:ascii="Arial" w:hAnsi="Arial" w:cs="Arial"/>
                          </w:rPr>
                        </w:pPr>
                        <w:r w:rsidRPr="00843717">
                          <w:rPr>
                            <w:rFonts w:ascii="Arial" w:hAnsi="Arial" w:cs="Arial"/>
                          </w:rPr>
                          <w:t>MCV &gt; 105fL</w:t>
                        </w:r>
                      </w:p>
                    </w:tc>
                    <w:tc>
                      <w:tcPr>
                        <w:tcW w:w="5799" w:type="dxa"/>
                        <w:shd w:val="pct10" w:color="auto" w:fill="auto"/>
                      </w:tcPr>
                      <w:p w14:paraId="22EB54DF" w14:textId="724C4B8D" w:rsidR="00413BC8" w:rsidRPr="00843717" w:rsidRDefault="006B319A" w:rsidP="00EC5097">
                        <w:pPr>
                          <w:rPr>
                            <w:rFonts w:ascii="Arial" w:hAnsi="Arial" w:cs="Arial"/>
                          </w:rPr>
                        </w:pPr>
                        <w:r>
                          <w:rPr>
                            <w:rFonts w:ascii="Arial" w:hAnsi="Arial" w:cs="Arial"/>
                          </w:rPr>
                          <w:t>C</w:t>
                        </w:r>
                        <w:r w:rsidRPr="006B319A">
                          <w:rPr>
                            <w:rFonts w:ascii="Arial" w:hAnsi="Arial" w:cs="Arial"/>
                          </w:rPr>
                          <w:t>heck B12 &amp; folate, alcohol history &amp; TFT: if &lt;120fL and folate &amp; B12 are normal continue, if &gt;120fL stop azathioprine/MP and contact specialist.</w:t>
                        </w:r>
                        <w:r>
                          <w:rPr>
                            <w:rFonts w:ascii="Arial" w:hAnsi="Arial" w:cs="Arial"/>
                          </w:rPr>
                          <w:t xml:space="preserve"> </w:t>
                        </w:r>
                      </w:p>
                    </w:tc>
                  </w:tr>
                  <w:tr w:rsidR="00413BC8" w:rsidRPr="00843717" w14:paraId="7CF8E867" w14:textId="77777777" w:rsidTr="009235CE">
                    <w:tc>
                      <w:tcPr>
                        <w:tcW w:w="4261" w:type="dxa"/>
                      </w:tcPr>
                      <w:p w14:paraId="28B2B4D9" w14:textId="77777777" w:rsidR="00413BC8" w:rsidRPr="00843717" w:rsidRDefault="00413BC8" w:rsidP="00413BC8">
                        <w:pPr>
                          <w:rPr>
                            <w:rFonts w:ascii="Arial" w:hAnsi="Arial" w:cs="Arial"/>
                          </w:rPr>
                        </w:pPr>
                        <w:r w:rsidRPr="00843717">
                          <w:rPr>
                            <w:rFonts w:ascii="Arial" w:hAnsi="Arial" w:cs="Arial"/>
                          </w:rPr>
                          <w:t xml:space="preserve">AST/ALT &gt; </w:t>
                        </w:r>
                        <w:r>
                          <w:rPr>
                            <w:rFonts w:ascii="Arial" w:hAnsi="Arial" w:cs="Arial"/>
                          </w:rPr>
                          <w:t>2</w:t>
                        </w:r>
                        <w:r w:rsidRPr="00843717">
                          <w:rPr>
                            <w:rFonts w:ascii="Arial" w:hAnsi="Arial" w:cs="Arial"/>
                          </w:rPr>
                          <w:t xml:space="preserve"> times the upper limit of normal (ULN)</w:t>
                        </w:r>
                      </w:p>
                    </w:tc>
                    <w:tc>
                      <w:tcPr>
                        <w:tcW w:w="5799" w:type="dxa"/>
                        <w:shd w:val="pct10" w:color="auto" w:fill="auto"/>
                      </w:tcPr>
                      <w:p w14:paraId="6AD0BC99" w14:textId="77777777" w:rsidR="00413BC8" w:rsidRDefault="00413BC8" w:rsidP="00413BC8">
                        <w:pPr>
                          <w:rPr>
                            <w:rFonts w:ascii="Arial" w:hAnsi="Arial" w:cs="Arial"/>
                          </w:rPr>
                        </w:pPr>
                        <w:r>
                          <w:rPr>
                            <w:rFonts w:ascii="Arial" w:hAnsi="Arial" w:cs="Arial"/>
                          </w:rPr>
                          <w:t>If &gt;</w:t>
                        </w:r>
                        <w:r w:rsidRPr="00631DFD">
                          <w:rPr>
                            <w:rFonts w:ascii="Arial" w:hAnsi="Arial" w:cs="Arial"/>
                          </w:rPr>
                          <w:t>3</w:t>
                        </w:r>
                        <w:r>
                          <w:rPr>
                            <w:rFonts w:ascii="Arial" w:hAnsi="Arial" w:cs="Arial"/>
                          </w:rPr>
                          <w:t xml:space="preserve"> </w:t>
                        </w:r>
                        <w:r w:rsidRPr="00631DFD">
                          <w:rPr>
                            <w:rFonts w:ascii="Arial" w:hAnsi="Arial" w:cs="Arial"/>
                          </w:rPr>
                          <w:t>x ULN hold azathioprine and seek specialist advice.</w:t>
                        </w:r>
                      </w:p>
                      <w:p w14:paraId="64E03CA1" w14:textId="77777777" w:rsidR="00413BC8" w:rsidRDefault="00413BC8" w:rsidP="00413BC8">
                        <w:pPr>
                          <w:rPr>
                            <w:rFonts w:ascii="Arial" w:hAnsi="Arial" w:cs="Arial"/>
                          </w:rPr>
                        </w:pPr>
                        <w:r>
                          <w:rPr>
                            <w:rFonts w:ascii="Arial" w:hAnsi="Arial" w:cs="Arial"/>
                          </w:rPr>
                          <w:t>F</w:t>
                        </w:r>
                        <w:r w:rsidRPr="00843717">
                          <w:rPr>
                            <w:rFonts w:ascii="Arial" w:hAnsi="Arial" w:cs="Arial"/>
                          </w:rPr>
                          <w:t>or results between 2 - 3 x ULN, continue azathioprine</w:t>
                        </w:r>
                        <w:r>
                          <w:rPr>
                            <w:rFonts w:ascii="Arial" w:hAnsi="Arial" w:cs="Arial"/>
                          </w:rPr>
                          <w:t xml:space="preserve"> / MP</w:t>
                        </w:r>
                        <w:r w:rsidRPr="00843717">
                          <w:rPr>
                            <w:rFonts w:ascii="Arial" w:hAnsi="Arial" w:cs="Arial"/>
                          </w:rPr>
                          <w:t xml:space="preserve">, repeat bloods and seek specialist advice. </w:t>
                        </w:r>
                      </w:p>
                      <w:p w14:paraId="0982E0DB" w14:textId="77777777" w:rsidR="00413BC8" w:rsidRPr="00843717" w:rsidRDefault="00413BC8" w:rsidP="00413BC8">
                        <w:pPr>
                          <w:rPr>
                            <w:rFonts w:ascii="Arial" w:hAnsi="Arial" w:cs="Arial"/>
                          </w:rPr>
                        </w:pPr>
                        <w:r w:rsidRPr="00843717">
                          <w:rPr>
                            <w:rFonts w:ascii="Arial" w:hAnsi="Arial" w:cs="Arial"/>
                          </w:rPr>
                          <w:t>Minor elevations of AST/ALT are common</w:t>
                        </w:r>
                        <w:r>
                          <w:rPr>
                            <w:rFonts w:ascii="Arial" w:hAnsi="Arial" w:cs="Arial"/>
                          </w:rPr>
                          <w:t>.</w:t>
                        </w:r>
                        <w:r w:rsidRPr="00843717">
                          <w:rPr>
                            <w:rFonts w:ascii="Arial" w:hAnsi="Arial" w:cs="Arial"/>
                          </w:rPr>
                          <w:t xml:space="preserve"> </w:t>
                        </w:r>
                      </w:p>
                    </w:tc>
                  </w:tr>
                  <w:tr w:rsidR="00413BC8" w:rsidRPr="00843717" w14:paraId="00D0B5DA" w14:textId="77777777" w:rsidTr="009235CE">
                    <w:tc>
                      <w:tcPr>
                        <w:tcW w:w="4261" w:type="dxa"/>
                      </w:tcPr>
                      <w:p w14:paraId="73F8B61E" w14:textId="77777777" w:rsidR="00413BC8" w:rsidRPr="00843717" w:rsidRDefault="00413BC8" w:rsidP="00413BC8">
                        <w:pPr>
                          <w:rPr>
                            <w:rFonts w:ascii="Arial" w:hAnsi="Arial" w:cs="Arial"/>
                          </w:rPr>
                        </w:pPr>
                        <w:r w:rsidRPr="00843717">
                          <w:rPr>
                            <w:rFonts w:ascii="Arial" w:hAnsi="Arial" w:cs="Arial"/>
                          </w:rPr>
                          <w:t xml:space="preserve">If patient develops pancreatitis </w:t>
                        </w:r>
                      </w:p>
                    </w:tc>
                    <w:tc>
                      <w:tcPr>
                        <w:tcW w:w="5799" w:type="dxa"/>
                        <w:shd w:val="pct10" w:color="auto" w:fill="auto"/>
                      </w:tcPr>
                      <w:p w14:paraId="276FA319" w14:textId="77777777" w:rsidR="00413BC8" w:rsidRPr="00843717" w:rsidRDefault="00413BC8" w:rsidP="00413BC8">
                        <w:pPr>
                          <w:rPr>
                            <w:rFonts w:ascii="Arial" w:hAnsi="Arial" w:cs="Arial"/>
                          </w:rPr>
                        </w:pPr>
                        <w:r>
                          <w:rPr>
                            <w:rFonts w:ascii="Arial" w:hAnsi="Arial" w:cs="Arial"/>
                          </w:rPr>
                          <w:t>D</w:t>
                        </w:r>
                        <w:r w:rsidRPr="00843717">
                          <w:rPr>
                            <w:rFonts w:ascii="Arial" w:hAnsi="Arial" w:cs="Arial"/>
                          </w:rPr>
                          <w:t>iscontinue treatment</w:t>
                        </w:r>
                        <w:r>
                          <w:rPr>
                            <w:rFonts w:ascii="Arial" w:hAnsi="Arial" w:cs="Arial"/>
                          </w:rPr>
                          <w:t xml:space="preserve"> and contact specialist.</w:t>
                        </w:r>
                      </w:p>
                    </w:tc>
                  </w:tr>
                  <w:tr w:rsidR="00413BC8" w:rsidRPr="00843717" w14:paraId="7078B01C" w14:textId="77777777" w:rsidTr="009235CE">
                    <w:tc>
                      <w:tcPr>
                        <w:tcW w:w="4261" w:type="dxa"/>
                      </w:tcPr>
                      <w:p w14:paraId="61DD0F69" w14:textId="77777777" w:rsidR="00413BC8" w:rsidRPr="00843717" w:rsidRDefault="00413BC8" w:rsidP="00413BC8">
                        <w:pPr>
                          <w:rPr>
                            <w:rFonts w:ascii="Arial" w:hAnsi="Arial" w:cs="Arial"/>
                          </w:rPr>
                        </w:pPr>
                        <w:r>
                          <w:rPr>
                            <w:rFonts w:ascii="Arial" w:hAnsi="Arial" w:cs="Arial"/>
                          </w:rPr>
                          <w:t>Rising ESR / CRP</w:t>
                        </w:r>
                      </w:p>
                    </w:tc>
                    <w:tc>
                      <w:tcPr>
                        <w:tcW w:w="5799" w:type="dxa"/>
                        <w:shd w:val="pct10" w:color="auto" w:fill="auto"/>
                      </w:tcPr>
                      <w:p w14:paraId="78A51738" w14:textId="77777777" w:rsidR="00413BC8" w:rsidRPr="00843717" w:rsidRDefault="00413BC8" w:rsidP="00413BC8">
                        <w:pPr>
                          <w:rPr>
                            <w:rFonts w:ascii="Arial" w:hAnsi="Arial" w:cs="Arial"/>
                          </w:rPr>
                        </w:pPr>
                        <w:r>
                          <w:rPr>
                            <w:rFonts w:ascii="Arial" w:hAnsi="Arial" w:cs="Arial"/>
                          </w:rPr>
                          <w:t>Contact specialist for advice.</w:t>
                        </w:r>
                      </w:p>
                    </w:tc>
                  </w:tr>
                  <w:tr w:rsidR="00413BC8" w:rsidRPr="00843717" w14:paraId="7B9F7012" w14:textId="77777777" w:rsidTr="009235CE">
                    <w:tc>
                      <w:tcPr>
                        <w:tcW w:w="4261" w:type="dxa"/>
                      </w:tcPr>
                      <w:p w14:paraId="61090A3F" w14:textId="77777777" w:rsidR="00413BC8" w:rsidRPr="00843717" w:rsidRDefault="00413BC8" w:rsidP="00413BC8">
                        <w:pPr>
                          <w:pStyle w:val="ListParagraph"/>
                          <w:numPr>
                            <w:ilvl w:val="0"/>
                            <w:numId w:val="15"/>
                          </w:numPr>
                          <w:rPr>
                            <w:rFonts w:ascii="Arial" w:hAnsi="Arial" w:cs="Arial"/>
                          </w:rPr>
                        </w:pPr>
                        <w:r w:rsidRPr="00843717">
                          <w:rPr>
                            <w:rFonts w:ascii="Arial" w:hAnsi="Arial" w:cs="Arial"/>
                          </w:rPr>
                          <w:t xml:space="preserve">If renal impairment develops </w:t>
                        </w:r>
                      </w:p>
                      <w:p w14:paraId="32DAF844" w14:textId="77777777" w:rsidR="00413BC8" w:rsidRPr="00E06022" w:rsidRDefault="00413BC8" w:rsidP="00413BC8">
                        <w:pPr>
                          <w:pStyle w:val="ListParagraph"/>
                          <w:numPr>
                            <w:ilvl w:val="0"/>
                            <w:numId w:val="15"/>
                          </w:numPr>
                          <w:rPr>
                            <w:rFonts w:ascii="Arial" w:hAnsi="Arial" w:cs="Arial"/>
                          </w:rPr>
                        </w:pPr>
                        <w:r w:rsidRPr="00843717">
                          <w:rPr>
                            <w:rFonts w:ascii="Arial" w:hAnsi="Arial" w:cs="Arial"/>
                          </w:rPr>
                          <w:t xml:space="preserve">Unexplained fall in serum albumin </w:t>
                        </w:r>
                      </w:p>
                    </w:tc>
                    <w:tc>
                      <w:tcPr>
                        <w:tcW w:w="5799" w:type="dxa"/>
                        <w:shd w:val="pct10" w:color="auto" w:fill="auto"/>
                      </w:tcPr>
                      <w:p w14:paraId="15731954" w14:textId="77777777" w:rsidR="00413BC8" w:rsidRPr="00843717" w:rsidRDefault="00413BC8" w:rsidP="00413BC8">
                        <w:pPr>
                          <w:rPr>
                            <w:rFonts w:ascii="Arial" w:hAnsi="Arial" w:cs="Arial"/>
                          </w:rPr>
                        </w:pPr>
                        <w:r>
                          <w:rPr>
                            <w:rFonts w:ascii="Arial" w:hAnsi="Arial" w:cs="Arial"/>
                          </w:rPr>
                          <w:t>Contact specialist for advice. Withhold azathioprine/</w:t>
                        </w:r>
                        <w:r w:rsidRPr="00843717">
                          <w:rPr>
                            <w:rFonts w:ascii="Arial" w:hAnsi="Arial" w:cs="Arial"/>
                          </w:rPr>
                          <w:t>MP if no response from specialist in 5-7 days</w:t>
                        </w:r>
                        <w:r>
                          <w:rPr>
                            <w:rFonts w:ascii="Arial" w:hAnsi="Arial" w:cs="Arial"/>
                          </w:rPr>
                          <w:t>.</w:t>
                        </w:r>
                      </w:p>
                    </w:tc>
                  </w:tr>
                </w:tbl>
                <w:p w14:paraId="1F0CE4FA" w14:textId="77777777" w:rsidR="0015736E" w:rsidRPr="00F12528" w:rsidRDefault="0015736E" w:rsidP="0015736E">
                  <w:pPr>
                    <w:contextualSpacing/>
                    <w:jc w:val="both"/>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40E216F2" w:rsidR="00E85B9D" w:rsidRPr="00D7659F" w:rsidRDefault="005D1B7A" w:rsidP="00D7659F">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w:t>
      </w:r>
      <w:r w:rsidRPr="00D7659F">
        <w:rPr>
          <w:rFonts w:ascii="Arial" w:hAnsi="Arial" w:cs="Arial"/>
        </w:rPr>
        <w:t>ted and signed the shared care agreement form</w:t>
      </w:r>
      <w:r w:rsidR="000678AD" w:rsidRPr="00D7659F">
        <w:rPr>
          <w:rFonts w:ascii="Arial" w:hAnsi="Arial" w:cs="Arial"/>
        </w:rPr>
        <w:t xml:space="preserve"> (page </w:t>
      </w:r>
      <w:r w:rsidR="00114E55">
        <w:rPr>
          <w:rFonts w:ascii="Arial" w:hAnsi="Arial" w:cs="Arial"/>
        </w:rPr>
        <w:t>1</w:t>
      </w:r>
      <w:r w:rsidRPr="00D7659F">
        <w:rPr>
          <w:rFonts w:ascii="Arial" w:hAnsi="Arial" w:cs="Arial"/>
        </w:rPr>
        <w:t xml:space="preserve">). </w:t>
      </w:r>
    </w:p>
    <w:p w14:paraId="0DC690BA" w14:textId="5C9EEAA3" w:rsidR="00D7659F" w:rsidRDefault="00D7659F" w:rsidP="00BE545B">
      <w:pPr>
        <w:spacing w:after="120" w:line="240" w:lineRule="auto"/>
        <w:rPr>
          <w:rFonts w:ascii="Arial" w:eastAsia="Times New Roman" w:hAnsi="Arial" w:cs="Arial"/>
          <w:b/>
          <w:sz w:val="28"/>
          <w:szCs w:val="24"/>
          <w:u w:val="single"/>
          <w:lang w:val="en-US"/>
        </w:rPr>
      </w:pPr>
    </w:p>
    <w:p w14:paraId="579C62AE" w14:textId="25828388" w:rsidR="009E3C54" w:rsidRDefault="009E3C54" w:rsidP="00BE545B">
      <w:pPr>
        <w:spacing w:after="120" w:line="240" w:lineRule="auto"/>
        <w:rPr>
          <w:rFonts w:ascii="Arial" w:eastAsia="Times New Roman" w:hAnsi="Arial" w:cs="Arial"/>
          <w:b/>
          <w:sz w:val="28"/>
          <w:szCs w:val="24"/>
          <w:u w:val="single"/>
          <w:lang w:val="en-US"/>
        </w:rPr>
      </w:pPr>
    </w:p>
    <w:p w14:paraId="1AFCB57A" w14:textId="6BCABE38" w:rsidR="009E3C54" w:rsidRDefault="009E3C54" w:rsidP="00BE545B">
      <w:pPr>
        <w:spacing w:after="120" w:line="240" w:lineRule="auto"/>
        <w:rPr>
          <w:rFonts w:ascii="Arial" w:eastAsia="Times New Roman" w:hAnsi="Arial" w:cs="Arial"/>
          <w:b/>
          <w:sz w:val="28"/>
          <w:szCs w:val="24"/>
          <w:u w:val="single"/>
          <w:lang w:val="en-US"/>
        </w:rPr>
      </w:pPr>
    </w:p>
    <w:p w14:paraId="5BF04D53" w14:textId="2CD3410B" w:rsidR="009E3C54" w:rsidRDefault="009E3C54" w:rsidP="00BE545B">
      <w:pPr>
        <w:spacing w:after="120" w:line="240" w:lineRule="auto"/>
        <w:rPr>
          <w:rFonts w:ascii="Arial" w:eastAsia="Times New Roman" w:hAnsi="Arial" w:cs="Arial"/>
          <w:b/>
          <w:sz w:val="28"/>
          <w:szCs w:val="24"/>
          <w:u w:val="single"/>
          <w:lang w:val="en-US"/>
        </w:rPr>
      </w:pPr>
    </w:p>
    <w:p w14:paraId="3F731F4F" w14:textId="3E84EB26" w:rsidR="009E3C54" w:rsidRDefault="009E3C54" w:rsidP="00BE545B">
      <w:pPr>
        <w:spacing w:after="120" w:line="240" w:lineRule="auto"/>
        <w:rPr>
          <w:rFonts w:ascii="Arial" w:eastAsia="Times New Roman" w:hAnsi="Arial" w:cs="Arial"/>
          <w:b/>
          <w:sz w:val="28"/>
          <w:szCs w:val="24"/>
          <w:u w:val="single"/>
          <w:lang w:val="en-US"/>
        </w:rPr>
      </w:pPr>
    </w:p>
    <w:p w14:paraId="2245DBF7" w14:textId="77777777" w:rsidR="006B319A" w:rsidRDefault="006B319A" w:rsidP="00BE545B">
      <w:pPr>
        <w:spacing w:after="120" w:line="240" w:lineRule="auto"/>
        <w:rPr>
          <w:rFonts w:ascii="Arial" w:eastAsia="Times New Roman" w:hAnsi="Arial" w:cs="Arial"/>
          <w:b/>
          <w:sz w:val="28"/>
          <w:szCs w:val="24"/>
          <w:u w:val="single"/>
          <w:lang w:val="en-US"/>
        </w:rPr>
      </w:pPr>
    </w:p>
    <w:p w14:paraId="42AA3951" w14:textId="77777777" w:rsidR="006B319A" w:rsidRDefault="006B319A" w:rsidP="00BE545B">
      <w:pPr>
        <w:spacing w:after="120" w:line="240" w:lineRule="auto"/>
        <w:rPr>
          <w:rFonts w:ascii="Arial" w:eastAsia="Times New Roman" w:hAnsi="Arial" w:cs="Arial"/>
          <w:b/>
          <w:sz w:val="28"/>
          <w:szCs w:val="24"/>
          <w:u w:val="single"/>
          <w:lang w:val="en-US"/>
        </w:rPr>
      </w:pPr>
    </w:p>
    <w:p w14:paraId="3249B9D3" w14:textId="77777777" w:rsidR="006B319A" w:rsidRDefault="006B319A" w:rsidP="00BE545B">
      <w:pPr>
        <w:spacing w:after="120" w:line="240" w:lineRule="auto"/>
        <w:rPr>
          <w:rFonts w:ascii="Arial" w:eastAsia="Times New Roman" w:hAnsi="Arial" w:cs="Arial"/>
          <w:b/>
          <w:sz w:val="28"/>
          <w:szCs w:val="24"/>
          <w:u w:val="single"/>
          <w:lang w:val="en-US"/>
        </w:rPr>
      </w:pPr>
    </w:p>
    <w:p w14:paraId="057A41D8" w14:textId="77777777" w:rsidR="006B319A" w:rsidRDefault="006B319A" w:rsidP="00BE545B">
      <w:pPr>
        <w:spacing w:after="120" w:line="240" w:lineRule="auto"/>
        <w:rPr>
          <w:rFonts w:ascii="Arial" w:eastAsia="Times New Roman" w:hAnsi="Arial" w:cs="Arial"/>
          <w:b/>
          <w:sz w:val="28"/>
          <w:szCs w:val="24"/>
          <w:u w:val="single"/>
          <w:lang w:val="en-US"/>
        </w:rPr>
      </w:pPr>
    </w:p>
    <w:p w14:paraId="3A18BFB0" w14:textId="77777777" w:rsidR="006B319A" w:rsidRDefault="006B319A" w:rsidP="00BE545B">
      <w:pPr>
        <w:spacing w:after="120" w:line="240" w:lineRule="auto"/>
        <w:rPr>
          <w:rFonts w:ascii="Arial" w:eastAsia="Times New Roman" w:hAnsi="Arial" w:cs="Arial"/>
          <w:b/>
          <w:sz w:val="28"/>
          <w:szCs w:val="24"/>
          <w:u w:val="single"/>
          <w:lang w:val="en-US"/>
        </w:rPr>
      </w:pPr>
    </w:p>
    <w:p w14:paraId="2EEC88FC" w14:textId="77777777" w:rsidR="006B319A" w:rsidRDefault="006B319A" w:rsidP="00BE545B">
      <w:pPr>
        <w:spacing w:after="120" w:line="240" w:lineRule="auto"/>
        <w:rPr>
          <w:rFonts w:ascii="Arial" w:eastAsia="Times New Roman" w:hAnsi="Arial" w:cs="Arial"/>
          <w:b/>
          <w:sz w:val="28"/>
          <w:szCs w:val="24"/>
          <w:u w:val="single"/>
          <w:lang w:val="en-US"/>
        </w:rPr>
      </w:pPr>
    </w:p>
    <w:p w14:paraId="6B3FAE6F" w14:textId="77777777" w:rsidR="006B319A" w:rsidRDefault="006B319A" w:rsidP="00BE545B">
      <w:pPr>
        <w:spacing w:after="120" w:line="240" w:lineRule="auto"/>
        <w:rPr>
          <w:rFonts w:ascii="Arial" w:eastAsia="Times New Roman" w:hAnsi="Arial" w:cs="Arial"/>
          <w:b/>
          <w:sz w:val="28"/>
          <w:szCs w:val="24"/>
          <w:u w:val="single"/>
          <w:lang w:val="en-US"/>
        </w:rPr>
      </w:pPr>
    </w:p>
    <w:p w14:paraId="63895A42" w14:textId="77777777" w:rsidR="006B319A" w:rsidRDefault="006B319A" w:rsidP="00BE545B">
      <w:pPr>
        <w:spacing w:after="120" w:line="240" w:lineRule="auto"/>
        <w:rPr>
          <w:rFonts w:ascii="Arial" w:eastAsia="Times New Roman" w:hAnsi="Arial" w:cs="Arial"/>
          <w:b/>
          <w:sz w:val="28"/>
          <w:szCs w:val="24"/>
          <w:u w:val="single"/>
          <w:lang w:val="en-US"/>
        </w:rPr>
      </w:pPr>
    </w:p>
    <w:p w14:paraId="0B020BC7" w14:textId="77777777" w:rsidR="00532D8E" w:rsidRDefault="00532D8E" w:rsidP="00BE545B">
      <w:pPr>
        <w:spacing w:after="120" w:line="240" w:lineRule="auto"/>
        <w:rPr>
          <w:rFonts w:ascii="Arial" w:eastAsia="Times New Roman" w:hAnsi="Arial" w:cs="Arial"/>
          <w:b/>
          <w:sz w:val="28"/>
          <w:szCs w:val="24"/>
          <w:u w:val="single"/>
          <w:lang w:val="en-US"/>
        </w:rPr>
      </w:pPr>
    </w:p>
    <w:p w14:paraId="237EFD7A" w14:textId="77777777" w:rsidR="00532D8E" w:rsidRDefault="00532D8E" w:rsidP="00BE545B">
      <w:pPr>
        <w:spacing w:after="120" w:line="240" w:lineRule="auto"/>
        <w:rPr>
          <w:rFonts w:ascii="Arial" w:eastAsia="Times New Roman" w:hAnsi="Arial" w:cs="Arial"/>
          <w:b/>
          <w:sz w:val="28"/>
          <w:szCs w:val="24"/>
          <w:u w:val="single"/>
          <w:lang w:val="en-US"/>
        </w:rPr>
      </w:pPr>
    </w:p>
    <w:p w14:paraId="71F28EDB" w14:textId="77777777" w:rsidR="00532D8E" w:rsidRDefault="00532D8E" w:rsidP="00BE545B">
      <w:pPr>
        <w:spacing w:after="120" w:line="240" w:lineRule="auto"/>
        <w:rPr>
          <w:rFonts w:ascii="Arial" w:eastAsia="Times New Roman" w:hAnsi="Arial" w:cs="Arial"/>
          <w:b/>
          <w:sz w:val="28"/>
          <w:szCs w:val="24"/>
          <w:u w:val="single"/>
          <w:lang w:val="en-US"/>
        </w:rPr>
      </w:pPr>
    </w:p>
    <w:p w14:paraId="41ACB1BA" w14:textId="77777777" w:rsidR="00532D8E" w:rsidRDefault="00532D8E" w:rsidP="00BE545B">
      <w:pPr>
        <w:spacing w:after="120" w:line="240" w:lineRule="auto"/>
        <w:rPr>
          <w:rFonts w:ascii="Arial" w:eastAsia="Times New Roman" w:hAnsi="Arial" w:cs="Arial"/>
          <w:b/>
          <w:sz w:val="28"/>
          <w:szCs w:val="24"/>
          <w:u w:val="single"/>
          <w:lang w:val="en-US"/>
        </w:rPr>
      </w:pPr>
    </w:p>
    <w:p w14:paraId="06C95679" w14:textId="77777777" w:rsidR="006B319A" w:rsidRDefault="006B319A" w:rsidP="00BE545B">
      <w:pPr>
        <w:spacing w:after="120" w:line="240" w:lineRule="auto"/>
        <w:rPr>
          <w:rFonts w:ascii="Arial" w:eastAsia="Times New Roman" w:hAnsi="Arial" w:cs="Arial"/>
          <w:b/>
          <w:sz w:val="28"/>
          <w:szCs w:val="24"/>
          <w:u w:val="single"/>
          <w:lang w:val="en-US"/>
        </w:rPr>
      </w:pPr>
    </w:p>
    <w:p w14:paraId="2AD202E3" w14:textId="77777777" w:rsidR="006B319A" w:rsidRDefault="006B319A" w:rsidP="00BE545B">
      <w:pPr>
        <w:spacing w:after="120" w:line="240" w:lineRule="auto"/>
        <w:rPr>
          <w:rFonts w:ascii="Arial" w:eastAsia="Times New Roman" w:hAnsi="Arial" w:cs="Arial"/>
          <w:b/>
          <w:sz w:val="28"/>
          <w:szCs w:val="24"/>
          <w:u w:val="single"/>
          <w:lang w:val="en-US"/>
        </w:rPr>
      </w:pPr>
    </w:p>
    <w:p w14:paraId="15D01846" w14:textId="77777777" w:rsidR="006B319A" w:rsidRDefault="006B319A" w:rsidP="00BE545B">
      <w:pPr>
        <w:spacing w:after="120" w:line="240" w:lineRule="auto"/>
        <w:rPr>
          <w:rFonts w:ascii="Arial" w:eastAsia="Times New Roman" w:hAnsi="Arial" w:cs="Arial"/>
          <w:b/>
          <w:sz w:val="28"/>
          <w:szCs w:val="24"/>
          <w:u w:val="single"/>
          <w:lang w:val="en-US"/>
        </w:rPr>
      </w:pPr>
    </w:p>
    <w:p w14:paraId="0E8ED5AE" w14:textId="77777777" w:rsidR="006B319A" w:rsidRDefault="006B319A" w:rsidP="00BE545B">
      <w:pPr>
        <w:spacing w:after="120" w:line="240" w:lineRule="auto"/>
        <w:rPr>
          <w:rFonts w:ascii="Arial" w:eastAsia="Times New Roman" w:hAnsi="Arial" w:cs="Arial"/>
          <w:b/>
          <w:sz w:val="28"/>
          <w:szCs w:val="24"/>
          <w:u w:val="single"/>
          <w:lang w:val="en-US"/>
        </w:rPr>
      </w:pPr>
    </w:p>
    <w:p w14:paraId="48B534A9" w14:textId="4C9A6BB5"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lastRenderedPageBreak/>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192AF973" w14:textId="77777777" w:rsidR="00532D8E" w:rsidRDefault="00532D8E" w:rsidP="00532D8E">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Azathioprine / Mercaptopurine (MP) use in adults with multisystem autoimmune disease:</w:t>
      </w:r>
    </w:p>
    <w:p w14:paraId="20B07DA8" w14:textId="77777777" w:rsidR="00532D8E" w:rsidRPr="003C3EFF" w:rsidRDefault="00532D8E" w:rsidP="00532D8E">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Arial"/>
          <w:b/>
          <w:lang w:val="en-US"/>
        </w:rPr>
      </w:pPr>
      <w:r w:rsidRPr="00406BF2">
        <w:rPr>
          <w:rFonts w:ascii="Arial" w:hAnsi="Arial" w:cs="Arial"/>
          <w:b/>
        </w:rPr>
        <w:t xml:space="preserve">Dermatology / Gastroenterology / Haematology / </w:t>
      </w:r>
      <w:r w:rsidRPr="00445870">
        <w:rPr>
          <w:rFonts w:ascii="Arial" w:hAnsi="Arial" w:cs="Arial"/>
          <w:b/>
        </w:rPr>
        <w:t>Nephrology</w:t>
      </w:r>
      <w:r>
        <w:rPr>
          <w:rFonts w:ascii="Arial" w:hAnsi="Arial" w:cs="Arial"/>
          <w:b/>
        </w:rPr>
        <w:t xml:space="preserve"> /</w:t>
      </w:r>
      <w:r w:rsidRPr="00406BF2">
        <w:rPr>
          <w:rFonts w:ascii="Arial" w:hAnsi="Arial" w:cs="Arial"/>
          <w:b/>
        </w:rPr>
        <w:t xml:space="preserve"> </w:t>
      </w:r>
      <w:r>
        <w:rPr>
          <w:rFonts w:ascii="Arial" w:hAnsi="Arial" w:cs="Arial"/>
          <w:b/>
        </w:rPr>
        <w:t xml:space="preserve">Neurology </w:t>
      </w:r>
      <w:r w:rsidRPr="003C3EFF">
        <w:rPr>
          <w:rFonts w:ascii="Arial" w:hAnsi="Arial" w:cs="Arial"/>
          <w:b/>
        </w:rPr>
        <w:t>/ Ophthalmology / Respiratory / Rheumatology</w:t>
      </w:r>
    </w:p>
    <w:p w14:paraId="2DD15772" w14:textId="26000850" w:rsidR="00532D8E" w:rsidRPr="006F4129" w:rsidRDefault="00532D8E" w:rsidP="00532D8E">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3C3EFF">
        <w:rPr>
          <w:rFonts w:ascii="Arial" w:eastAsia="Times New Roman" w:hAnsi="Arial" w:cs="Times New Roman"/>
          <w:b/>
          <w:szCs w:val="24"/>
          <w:lang w:val="en-US"/>
        </w:rPr>
        <w:t>Shared Care Protocol: Guideline No 1; Version 2</w:t>
      </w:r>
      <w:r w:rsidR="003A3F45">
        <w:rPr>
          <w:rFonts w:ascii="Arial" w:eastAsia="Times New Roman" w:hAnsi="Arial" w:cs="Times New Roman"/>
          <w:b/>
          <w:szCs w:val="24"/>
          <w:lang w:val="en-US"/>
        </w:rPr>
        <w:t>.</w:t>
      </w:r>
      <w:r w:rsidR="00156070">
        <w:rPr>
          <w:rFonts w:ascii="Arial" w:eastAsia="Times New Roman" w:hAnsi="Arial" w:cs="Times New Roman"/>
          <w:b/>
          <w:szCs w:val="24"/>
          <w:lang w:val="en-US"/>
        </w:rPr>
        <w:t>2</w:t>
      </w:r>
    </w:p>
    <w:p w14:paraId="30A1C624" w14:textId="2B2516C4"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sidR="006F3285">
        <w:rPr>
          <w:rFonts w:ascii="Arial" w:eastAsia="Times New Roman" w:hAnsi="Arial" w:cs="Times New Roman"/>
          <w:b/>
          <w:lang w:val="en-US" w:eastAsia="en-GB"/>
        </w:rPr>
        <w:t>HWE</w:t>
      </w:r>
      <w:r>
        <w:rPr>
          <w:rFonts w:ascii="Arial" w:eastAsia="Times New Roman" w:hAnsi="Arial" w:cs="Times New Roman"/>
          <w:b/>
          <w:lang w:val="en-US" w:eastAsia="en-GB"/>
        </w:rPr>
        <w:t xml:space="preserve">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2"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3"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0A9A0ABA"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529A2E14" w14:textId="7FE68B0E" w:rsidR="00B11148" w:rsidRDefault="00B11148"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7EB47930" w14:textId="77777777" w:rsidR="00D1294B" w:rsidRDefault="00D1294B" w:rsidP="00D1294B">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sidRPr="000C7F57">
        <w:rPr>
          <w:rFonts w:ascii="Arial" w:hAnsi="Arial" w:cs="Arial"/>
        </w:rPr>
        <w:t>Azathioprine is an immunosuppressant</w:t>
      </w:r>
      <w:r>
        <w:rPr>
          <w:rFonts w:ascii="Arial" w:hAnsi="Arial" w:cs="Arial"/>
        </w:rPr>
        <w:t xml:space="preserve"> considered standard </w:t>
      </w:r>
      <w:r w:rsidRPr="000C7F57">
        <w:rPr>
          <w:rFonts w:ascii="Arial" w:hAnsi="Arial" w:cs="Arial"/>
        </w:rPr>
        <w:t>treat</w:t>
      </w:r>
      <w:r>
        <w:rPr>
          <w:rFonts w:ascii="Arial" w:hAnsi="Arial" w:cs="Arial"/>
        </w:rPr>
        <w:t xml:space="preserve">ment for multiple </w:t>
      </w:r>
      <w:r w:rsidRPr="000C7F57">
        <w:rPr>
          <w:rFonts w:ascii="Arial" w:hAnsi="Arial" w:cs="Arial"/>
        </w:rPr>
        <w:t>auto-immune conditions, usually when corticosteroid therapy alone provides inadequate control. It i</w:t>
      </w:r>
      <w:r w:rsidRPr="00C37C6F">
        <w:rPr>
          <w:rFonts w:ascii="Arial" w:hAnsi="Arial" w:cs="Arial"/>
        </w:rPr>
        <w:t>s metabolised to mercaptopurine</w:t>
      </w:r>
      <w:r>
        <w:rPr>
          <w:rFonts w:ascii="Arial" w:hAnsi="Arial" w:cs="Arial"/>
        </w:rPr>
        <w:t>.</w:t>
      </w:r>
      <w:r>
        <w:t xml:space="preserve"> </w:t>
      </w:r>
      <w:r w:rsidRPr="000C7F57">
        <w:rPr>
          <w:rFonts w:ascii="Arial" w:hAnsi="Arial" w:cs="Arial"/>
        </w:rPr>
        <w:t>P</w:t>
      </w:r>
      <w:r w:rsidRPr="008C60E5">
        <w:rPr>
          <w:rFonts w:ascii="Arial" w:hAnsi="Arial" w:cs="Arial"/>
        </w:rPr>
        <w:t>atients with side effects to azathioprine</w:t>
      </w:r>
      <w:r w:rsidRPr="00E5635C">
        <w:rPr>
          <w:rFonts w:ascii="Arial" w:hAnsi="Arial" w:cs="Arial"/>
        </w:rPr>
        <w:t xml:space="preserve"> sometimes have a trial </w:t>
      </w:r>
      <w:r>
        <w:rPr>
          <w:rFonts w:ascii="Arial" w:hAnsi="Arial" w:cs="Arial"/>
        </w:rPr>
        <w:t xml:space="preserve">switch to </w:t>
      </w:r>
      <w:r w:rsidRPr="00B51190">
        <w:rPr>
          <w:rFonts w:ascii="Arial" w:hAnsi="Arial" w:cs="Arial"/>
        </w:rPr>
        <w:t>mercaptopurine</w:t>
      </w:r>
      <w:r w:rsidRPr="00A14C22">
        <w:rPr>
          <w:rFonts w:ascii="Arial" w:hAnsi="Arial" w:cs="Arial"/>
        </w:rPr>
        <w:t xml:space="preserve"> on advice of specialist</w:t>
      </w:r>
      <w:r>
        <w:rPr>
          <w:rFonts w:ascii="Arial" w:hAnsi="Arial" w:cs="Arial"/>
        </w:rPr>
        <w:t>.</w:t>
      </w:r>
    </w:p>
    <w:p w14:paraId="6C9A2D62" w14:textId="77777777" w:rsidR="00D1294B" w:rsidRPr="000C7F57" w:rsidRDefault="00D1294B" w:rsidP="00D1294B">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Pr>
          <w:rFonts w:ascii="Arial" w:hAnsi="Arial" w:cs="Arial"/>
        </w:rPr>
        <w:t>Transplant and other indications not specified below are not covered by this Shared Care Protocol.</w:t>
      </w:r>
    </w:p>
    <w:p w14:paraId="71CBE7AF" w14:textId="77777777" w:rsidR="00D1294B" w:rsidRPr="003711DA"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3711DA">
        <w:rPr>
          <w:rFonts w:ascii="Arial" w:hAnsi="Arial" w:cs="Arial"/>
          <w:u w:val="single"/>
        </w:rPr>
        <w:t>Azathioprine</w:t>
      </w:r>
    </w:p>
    <w:p w14:paraId="368411BF"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843717">
        <w:rPr>
          <w:rFonts w:ascii="Arial" w:hAnsi="Arial" w:cs="Arial"/>
          <w:b/>
        </w:rPr>
        <w:t xml:space="preserve">Licensed indications:  </w:t>
      </w:r>
    </w:p>
    <w:p w14:paraId="03A998E4"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rPr>
        <w:t xml:space="preserve">Crohn’s disease, ulcerative colitis, </w:t>
      </w:r>
      <w:r w:rsidRPr="00C260E0">
        <w:rPr>
          <w:rFonts w:ascii="Arial" w:hAnsi="Arial" w:cs="Arial"/>
        </w:rPr>
        <w:t>systemic lupus erythematosus, dermatomyositis, polymyositis, autoimmune chronic active hepatitis, pemphigus vulgaris, polyarteritis nodosa, auto-immune haemolytic anaemia, chronic refractory idiopathic thrombocytopenic purpura (ITP), severe rheumatoid arthritis.</w:t>
      </w:r>
      <w:r w:rsidRPr="00843717">
        <w:rPr>
          <w:rFonts w:ascii="Arial" w:hAnsi="Arial" w:cs="Arial"/>
        </w:rPr>
        <w:t xml:space="preserve"> </w:t>
      </w:r>
    </w:p>
    <w:p w14:paraId="1C5B27C4"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843717">
        <w:rPr>
          <w:rFonts w:ascii="Arial" w:hAnsi="Arial" w:cs="Arial"/>
          <w:b/>
        </w:rPr>
        <w:t xml:space="preserve">Unlicensed indications:  </w:t>
      </w:r>
    </w:p>
    <w:p w14:paraId="701141DF"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Dermatological indications:</w:t>
      </w:r>
      <w:r w:rsidRPr="00843717">
        <w:rPr>
          <w:rFonts w:ascii="Arial" w:hAnsi="Arial" w:cs="Arial"/>
        </w:rPr>
        <w:t xml:space="preserve"> atopic dermatitis, bullous pemphigoid, chronic actinic dermatitis, pyoderma gangrenosum, </w:t>
      </w:r>
      <w:r>
        <w:rPr>
          <w:rFonts w:ascii="Arial" w:hAnsi="Arial" w:cs="Arial"/>
        </w:rPr>
        <w:t>cutaneous</w:t>
      </w:r>
      <w:r w:rsidRPr="00843717">
        <w:rPr>
          <w:rFonts w:ascii="Arial" w:hAnsi="Arial" w:cs="Arial"/>
        </w:rPr>
        <w:t xml:space="preserve"> vasculitis. </w:t>
      </w:r>
    </w:p>
    <w:p w14:paraId="611906A4"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Systemic vasculitis:</w:t>
      </w:r>
      <w:r w:rsidRPr="00843717">
        <w:rPr>
          <w:rFonts w:ascii="Arial" w:hAnsi="Arial" w:cs="Arial"/>
        </w:rPr>
        <w:t xml:space="preserve">  eg. granulomatosis with polyangiitis (GPA: formerly Wegener’s granulomatosis), microscopic polyangiitis (MPA), Takayasu’s arteritis, eosinophilic granulomatosis with polyangiitis (formerly Churg–Strauss syndrome).</w:t>
      </w:r>
    </w:p>
    <w:p w14:paraId="18209A85" w14:textId="77777777" w:rsidR="00D1294B" w:rsidRDefault="00D1294B" w:rsidP="00D1294B">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sidRPr="00843717">
        <w:rPr>
          <w:rFonts w:ascii="Arial" w:hAnsi="Arial" w:cs="Arial"/>
          <w:b/>
        </w:rPr>
        <w:t>Other:</w:t>
      </w:r>
      <w:r>
        <w:rPr>
          <w:rFonts w:ascii="Arial" w:hAnsi="Arial" w:cs="Arial"/>
        </w:rPr>
        <w:t xml:space="preserve"> pulmonary sarcoidosis</w:t>
      </w:r>
      <w:r w:rsidRPr="00843717">
        <w:rPr>
          <w:rFonts w:ascii="Arial" w:hAnsi="Arial" w:cs="Arial"/>
        </w:rPr>
        <w:t xml:space="preserve">, myasthenia gravis, </w:t>
      </w:r>
      <w:r>
        <w:rPr>
          <w:rFonts w:ascii="Arial" w:hAnsi="Arial" w:cs="Arial"/>
        </w:rPr>
        <w:t>uveitis</w:t>
      </w:r>
      <w:r w:rsidRPr="00843717">
        <w:rPr>
          <w:rFonts w:ascii="Arial" w:hAnsi="Arial" w:cs="Arial"/>
        </w:rPr>
        <w:t>.</w:t>
      </w:r>
    </w:p>
    <w:p w14:paraId="35D4AB19" w14:textId="77777777" w:rsidR="00D1294B" w:rsidRPr="003711DA"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3711DA">
        <w:rPr>
          <w:rFonts w:ascii="Arial" w:hAnsi="Arial" w:cs="Arial"/>
          <w:u w:val="single"/>
        </w:rPr>
        <w:t>Mercaptopurine</w:t>
      </w:r>
    </w:p>
    <w:p w14:paraId="3AB49C33" w14:textId="77777777" w:rsidR="00D1294B" w:rsidRPr="003711DA"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b/>
        </w:rPr>
        <w:t xml:space="preserve">Unlicensed indications: </w:t>
      </w:r>
      <w:r w:rsidRPr="00843717">
        <w:rPr>
          <w:rFonts w:ascii="Arial" w:hAnsi="Arial" w:cs="Arial"/>
        </w:rPr>
        <w:t>Crohn’s disease, ulcerative colitis</w:t>
      </w:r>
    </w:p>
    <w:p w14:paraId="5A776090" w14:textId="77777777" w:rsidR="002A009B" w:rsidRPr="005430C6" w:rsidRDefault="002A009B"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3B8340CD" w14:textId="010178B7" w:rsidR="00307B2B" w:rsidRDefault="00307B2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080BDCD" w14:textId="0BFB9E40" w:rsidR="00D1294B" w:rsidRDefault="00D1294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843717">
        <w:rPr>
          <w:rFonts w:ascii="Arial" w:hAnsi="Arial" w:cs="Arial"/>
          <w:b/>
        </w:rPr>
        <w:t>Adult dosage and administration</w:t>
      </w:r>
    </w:p>
    <w:p w14:paraId="38195CC7"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rPr>
        <w:t xml:space="preserve">Dosage regimens </w:t>
      </w:r>
      <w:r>
        <w:rPr>
          <w:rFonts w:ascii="Arial" w:hAnsi="Arial" w:cs="Arial"/>
        </w:rPr>
        <w:t xml:space="preserve">by mouth </w:t>
      </w:r>
      <w:r w:rsidRPr="00843717">
        <w:rPr>
          <w:rFonts w:ascii="Arial" w:hAnsi="Arial" w:cs="Arial"/>
        </w:rPr>
        <w:t xml:space="preserve">may vary between 0.5 - 3mg/kg daily of azathioprine or </w:t>
      </w:r>
      <w:r>
        <w:rPr>
          <w:rFonts w:ascii="Arial" w:hAnsi="Arial" w:cs="Arial"/>
        </w:rPr>
        <w:t xml:space="preserve">1-1.5 mg/kg daily of </w:t>
      </w:r>
      <w:r w:rsidRPr="00843717">
        <w:rPr>
          <w:rFonts w:ascii="Arial" w:hAnsi="Arial" w:cs="Arial"/>
        </w:rPr>
        <w:t xml:space="preserve">mercaptopurine specific to the patient and the condition. Dosage may need to be reduced in patients with renal and/or mild to moderate hepatic impairment. </w:t>
      </w:r>
      <w:r>
        <w:rPr>
          <w:rFonts w:ascii="Arial" w:hAnsi="Arial" w:cs="Arial"/>
        </w:rPr>
        <w:t>Dose r</w:t>
      </w:r>
      <w:r w:rsidRPr="005F4854">
        <w:rPr>
          <w:rFonts w:ascii="Arial" w:hAnsi="Arial" w:cs="Arial"/>
        </w:rPr>
        <w:t>educe</w:t>
      </w:r>
      <w:r>
        <w:rPr>
          <w:rFonts w:ascii="Arial" w:hAnsi="Arial" w:cs="Arial"/>
        </w:rPr>
        <w:t xml:space="preserve">d </w:t>
      </w:r>
      <w:r w:rsidRPr="005F4854">
        <w:rPr>
          <w:rFonts w:ascii="Arial" w:hAnsi="Arial" w:cs="Arial"/>
        </w:rPr>
        <w:t>if low levels of TPMT</w:t>
      </w:r>
      <w:r>
        <w:rPr>
          <w:rFonts w:ascii="Arial" w:hAnsi="Arial" w:cs="Arial"/>
        </w:rPr>
        <w:t xml:space="preserve"> on advice of specialist</w:t>
      </w:r>
      <w:r w:rsidRPr="005F4854">
        <w:rPr>
          <w:rFonts w:ascii="Arial" w:hAnsi="Arial" w:cs="Arial"/>
        </w:rPr>
        <w:t>.</w:t>
      </w:r>
    </w:p>
    <w:p w14:paraId="4009095F" w14:textId="71F4A8CC" w:rsidR="00D1294B" w:rsidRDefault="00D1294B" w:rsidP="00D1294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 xml:space="preserve">Therapeutic effect may be evident after a few weeks or within 3 months. </w:t>
      </w:r>
      <w:r w:rsidRPr="000C7F57">
        <w:rPr>
          <w:rFonts w:ascii="Arial" w:hAnsi="Arial" w:cs="Arial"/>
        </w:rPr>
        <w:t>Treatment is ongoing on the advice of the specialist</w:t>
      </w:r>
      <w:r>
        <w:rPr>
          <w:rFonts w:ascii="Arial" w:hAnsi="Arial" w:cs="Arial"/>
        </w:rPr>
        <w:t>.</w:t>
      </w:r>
    </w:p>
    <w:p w14:paraId="21717507" w14:textId="77777777" w:rsidR="003A3F45" w:rsidRDefault="003A3F45" w:rsidP="00D1294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52B08A7" w14:textId="77777777" w:rsidR="003A3F45" w:rsidRPr="003A3F45" w:rsidRDefault="003A3F45" w:rsidP="003A3F45">
      <w:pPr>
        <w:pBdr>
          <w:top w:val="single" w:sz="4" w:space="1" w:color="auto"/>
          <w:left w:val="single" w:sz="4" w:space="4" w:color="auto"/>
          <w:bottom w:val="single" w:sz="4" w:space="1" w:color="auto"/>
          <w:right w:val="single" w:sz="4" w:space="4" w:color="auto"/>
        </w:pBdr>
        <w:spacing w:after="0" w:line="240" w:lineRule="auto"/>
        <w:rPr>
          <w:rFonts w:ascii="Arial" w:hAnsi="Arial" w:cs="Arial"/>
          <w:u w:val="single"/>
        </w:rPr>
      </w:pPr>
      <w:r w:rsidRPr="003A3F45">
        <w:rPr>
          <w:rFonts w:ascii="Arial" w:hAnsi="Arial" w:cs="Arial"/>
          <w:u w:val="single"/>
        </w:rPr>
        <w:t>Swallowing difficulties</w:t>
      </w:r>
    </w:p>
    <w:p w14:paraId="51FC80C3" w14:textId="4EF7BB65" w:rsidR="00D1294B" w:rsidRDefault="003A3F45" w:rsidP="003A3F4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3A3F45">
        <w:rPr>
          <w:rFonts w:ascii="Arial" w:hAnsi="Arial" w:cs="Arial"/>
        </w:rPr>
        <w:t xml:space="preserve">Please refer to the </w:t>
      </w:r>
      <w:hyperlink r:id="rId14" w:history="1">
        <w:r w:rsidRPr="003A3F45">
          <w:rPr>
            <w:rStyle w:val="Hyperlink"/>
            <w:rFonts w:ascii="Arial" w:hAnsi="Arial" w:cs="Arial"/>
          </w:rPr>
          <w:t>‘specials’ alternative guidance</w:t>
        </w:r>
      </w:hyperlink>
      <w:r w:rsidRPr="003A3F45">
        <w:rPr>
          <w:rFonts w:ascii="Arial" w:hAnsi="Arial" w:cs="Arial"/>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3A3F45">
        <w:rPr>
          <w:rFonts w:ascii="Arial" w:hAnsi="Arial" w:cs="Arial"/>
        </w:rPr>
        <w:t>takes into account</w:t>
      </w:r>
      <w:proofErr w:type="gramEnd"/>
      <w:r w:rsidRPr="003A3F45">
        <w:rPr>
          <w:rFonts w:ascii="Arial" w:hAnsi="Arial" w:cs="Arial"/>
        </w:rPr>
        <w:t xml:space="preserve"> alternative medicines, formulations, cost and licensing. This list is not exhaustive. As not all medicines are listed, please contact the initiating specialist if required for individual patient advice if a patient has a swallowing difficulty</w:t>
      </w:r>
    </w:p>
    <w:p w14:paraId="510D98AB" w14:textId="77777777" w:rsidR="003A3F45" w:rsidRPr="000C7F57" w:rsidRDefault="003A3F45" w:rsidP="00D1294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5B95B80" w14:textId="77777777" w:rsidR="00D1294B"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Preparations available:</w:t>
      </w:r>
      <w:r w:rsidRPr="00843717">
        <w:rPr>
          <w:rFonts w:ascii="Arial" w:hAnsi="Arial" w:cs="Arial"/>
        </w:rPr>
        <w:t xml:space="preserve">  Azat</w:t>
      </w:r>
      <w:r>
        <w:rPr>
          <w:rFonts w:ascii="Arial" w:hAnsi="Arial" w:cs="Arial"/>
        </w:rPr>
        <w:t>hioprine 25mg, 50mg tablets / M</w:t>
      </w:r>
      <w:r w:rsidRPr="00843717">
        <w:rPr>
          <w:rFonts w:ascii="Arial" w:hAnsi="Arial" w:cs="Arial"/>
        </w:rPr>
        <w:t>ercaptopurine 50mg tablets</w:t>
      </w:r>
    </w:p>
    <w:p w14:paraId="2F21B618" w14:textId="355CED73" w:rsidR="00AE31E5" w:rsidRPr="002A009B" w:rsidRDefault="007B3212" w:rsidP="00AE31E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Also refer to page 2</w:t>
      </w: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2B0C41A5"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Assess if patient is suitable fo</w:t>
            </w:r>
            <w:r>
              <w:rPr>
                <w:rFonts w:ascii="Arial" w:eastAsia="Times New Roman" w:hAnsi="Arial" w:cs="Arial"/>
                <w:bCs/>
                <w:lang w:eastAsia="en-GB"/>
              </w:rPr>
              <w:t>r treatment with azathioprine/</w:t>
            </w:r>
            <w:r w:rsidRPr="0018705A">
              <w:rPr>
                <w:rFonts w:ascii="Arial" w:eastAsia="Times New Roman" w:hAnsi="Arial" w:cs="Arial"/>
                <w:bCs/>
                <w:lang w:eastAsia="en-GB"/>
              </w:rPr>
              <w:t xml:space="preserve">MP and initiate treatment. </w:t>
            </w:r>
          </w:p>
          <w:p w14:paraId="103F1955"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 xml:space="preserve">Where treatment is </w:t>
            </w:r>
            <w:proofErr w:type="gramStart"/>
            <w:r w:rsidRPr="0018705A">
              <w:rPr>
                <w:rFonts w:ascii="Arial" w:eastAsia="Times New Roman" w:hAnsi="Arial" w:cs="Arial"/>
                <w:bCs/>
                <w:lang w:eastAsia="en-GB"/>
              </w:rPr>
              <w:t>off-label</w:t>
            </w:r>
            <w:proofErr w:type="gramEnd"/>
            <w:r w:rsidRPr="0018705A">
              <w:rPr>
                <w:rFonts w:ascii="Arial" w:eastAsia="Times New Roman" w:hAnsi="Arial" w:cs="Arial"/>
                <w:bCs/>
                <w:lang w:eastAsia="en-GB"/>
              </w:rPr>
              <w:t xml:space="preserve"> </w:t>
            </w:r>
            <w:r>
              <w:rPr>
                <w:rFonts w:ascii="Arial" w:eastAsia="Times New Roman" w:hAnsi="Arial" w:cs="Arial"/>
                <w:bCs/>
                <w:lang w:eastAsia="en-GB"/>
              </w:rPr>
              <w:t>advise patient.</w:t>
            </w:r>
          </w:p>
          <w:p w14:paraId="5FBB82CE" w14:textId="77777777" w:rsidR="005D2B7C" w:rsidRPr="008D03D1" w:rsidRDefault="005D2B7C" w:rsidP="005D2B7C">
            <w:pPr>
              <w:pStyle w:val="ListParagraph"/>
              <w:numPr>
                <w:ilvl w:val="0"/>
                <w:numId w:val="6"/>
              </w:numPr>
              <w:spacing w:line="240" w:lineRule="auto"/>
              <w:ind w:left="357" w:hanging="357"/>
              <w:rPr>
                <w:rFonts w:ascii="Arial" w:eastAsia="Times New Roman" w:hAnsi="Arial" w:cs="Arial"/>
                <w:bCs/>
                <w:lang w:eastAsia="en-GB"/>
              </w:rPr>
            </w:pPr>
            <w:r w:rsidRPr="008D03D1">
              <w:rPr>
                <w:rFonts w:ascii="Arial" w:eastAsia="Times New Roman" w:hAnsi="Arial" w:cs="Arial"/>
                <w:bCs/>
                <w:lang w:eastAsia="en-GB"/>
              </w:rPr>
              <w:t>Undertake pre-treatment counselling and document discussion in patient’s records. Provide patient/carer with relevant (preferably written) infor</w:t>
            </w:r>
            <w:r>
              <w:rPr>
                <w:rFonts w:ascii="Arial" w:eastAsia="Times New Roman" w:hAnsi="Arial" w:cs="Arial"/>
                <w:bCs/>
                <w:lang w:eastAsia="en-GB"/>
              </w:rPr>
              <w:t xml:space="preserve">mation on use, side effects, </w:t>
            </w:r>
            <w:r w:rsidRPr="008D03D1">
              <w:rPr>
                <w:rFonts w:ascii="Arial" w:eastAsia="Times New Roman" w:hAnsi="Arial" w:cs="Arial"/>
                <w:bCs/>
                <w:lang w:eastAsia="en-GB"/>
              </w:rPr>
              <w:t>need for monitoring of medicatio</w:t>
            </w:r>
            <w:r>
              <w:rPr>
                <w:rFonts w:ascii="Arial" w:eastAsia="Times New Roman" w:hAnsi="Arial" w:cs="Arial"/>
                <w:bCs/>
                <w:lang w:eastAsia="en-GB"/>
              </w:rPr>
              <w:t xml:space="preserve">n and precautions </w:t>
            </w:r>
            <w:r w:rsidRPr="008D03D1">
              <w:rPr>
                <w:rFonts w:ascii="Arial" w:eastAsia="Times New Roman" w:hAnsi="Arial" w:cs="Arial"/>
                <w:bCs/>
                <w:lang w:eastAsia="en-GB"/>
              </w:rPr>
              <w:t>including that no new medicines are started (including over the counter preparations) unless this has been discussed with the GP, specialist o</w:t>
            </w:r>
            <w:r>
              <w:rPr>
                <w:rFonts w:ascii="Arial" w:eastAsia="Times New Roman" w:hAnsi="Arial" w:cs="Arial"/>
                <w:bCs/>
                <w:lang w:eastAsia="en-GB"/>
              </w:rPr>
              <w:t>r pharmacist.</w:t>
            </w:r>
          </w:p>
          <w:p w14:paraId="37960A21" w14:textId="77777777" w:rsidR="005D2B7C" w:rsidRPr="0018705A" w:rsidRDefault="005D2B7C" w:rsidP="005D2B7C">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lastRenderedPageBreak/>
              <w:t xml:space="preserve">Obtain agreement and consent to </w:t>
            </w:r>
            <w:r>
              <w:rPr>
                <w:rFonts w:ascii="Arial" w:eastAsia="Times New Roman" w:hAnsi="Arial" w:cs="Arial"/>
                <w:bCs/>
                <w:lang w:eastAsia="en-GB"/>
              </w:rPr>
              <w:t>share care. C</w:t>
            </w:r>
            <w:r w:rsidRPr="0018705A">
              <w:rPr>
                <w:rFonts w:ascii="Arial" w:eastAsia="Times New Roman" w:hAnsi="Arial" w:cs="Arial"/>
                <w:bCs/>
                <w:lang w:eastAsia="en-GB"/>
              </w:rPr>
              <w:t>omplete and sign Specialist and patient agreement section of Shared Care Agreement form.</w:t>
            </w:r>
            <w:r w:rsidRPr="0018705A">
              <w:rPr>
                <w:rFonts w:ascii="Arial" w:hAnsi="Arial" w:cs="Arial"/>
              </w:rPr>
              <w:t xml:space="preserve"> </w:t>
            </w:r>
            <w:r w:rsidRPr="0018705A">
              <w:rPr>
                <w:rFonts w:ascii="Arial" w:eastAsia="Times New Roman" w:hAnsi="Arial" w:cs="Arial"/>
                <w:bCs/>
                <w:lang w:eastAsia="en-GB"/>
              </w:rPr>
              <w:t>Document i</w:t>
            </w:r>
            <w:r>
              <w:rPr>
                <w:rFonts w:ascii="Arial" w:eastAsia="Times New Roman" w:hAnsi="Arial" w:cs="Arial"/>
                <w:bCs/>
                <w:lang w:eastAsia="en-GB"/>
              </w:rPr>
              <w:t>n patient’s notes and transfer once patient stabilised.</w:t>
            </w:r>
          </w:p>
          <w:p w14:paraId="120F600B"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72E4477B" w14:textId="77777777" w:rsidR="005D2B7C" w:rsidRPr="0018705A" w:rsidRDefault="005D2B7C" w:rsidP="005D2B7C">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Rece</w:t>
            </w:r>
            <w:r>
              <w:rPr>
                <w:rFonts w:ascii="Arial" w:eastAsia="Times New Roman" w:hAnsi="Arial" w:cs="Arial"/>
                <w:bCs/>
                <w:lang w:eastAsia="en-GB"/>
              </w:rPr>
              <w:t xml:space="preserve">ipt and recording in patient </w:t>
            </w:r>
            <w:r w:rsidRPr="0018705A">
              <w:rPr>
                <w:rFonts w:ascii="Arial" w:eastAsia="Times New Roman" w:hAnsi="Arial" w:cs="Arial"/>
                <w:bCs/>
                <w:lang w:eastAsia="en-GB"/>
              </w:rPr>
              <w:t>records/notes that GP has / has not accepted shared care and ensuring appropriate action if not (specialist to continue to prescribe/monitor)</w:t>
            </w:r>
            <w:r>
              <w:rPr>
                <w:rFonts w:ascii="Arial" w:eastAsia="Times New Roman" w:hAnsi="Arial" w:cs="Arial"/>
                <w:bCs/>
                <w:lang w:eastAsia="en-GB"/>
              </w:rPr>
              <w:t>.</w:t>
            </w:r>
          </w:p>
          <w:p w14:paraId="3A973072"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Prescribe and monitor for initial stabilisation period of 12 weeks</w:t>
            </w:r>
            <w:r>
              <w:rPr>
                <w:rFonts w:ascii="Arial" w:eastAsia="Times New Roman" w:hAnsi="Arial" w:cs="Arial"/>
                <w:bCs/>
                <w:lang w:eastAsia="en-GB"/>
              </w:rPr>
              <w:t>.</w:t>
            </w:r>
            <w:r w:rsidRPr="0018705A">
              <w:rPr>
                <w:rFonts w:ascii="Arial" w:eastAsia="Times New Roman" w:hAnsi="Arial" w:cs="Arial"/>
                <w:bCs/>
                <w:lang w:eastAsia="en-GB"/>
              </w:rPr>
              <w:t xml:space="preserve"> </w:t>
            </w:r>
          </w:p>
          <w:p w14:paraId="552A5B81" w14:textId="77777777" w:rsidR="005D2B7C" w:rsidRPr="00275F77" w:rsidRDefault="005D2B7C" w:rsidP="005D2B7C">
            <w:pPr>
              <w:numPr>
                <w:ilvl w:val="0"/>
                <w:numId w:val="6"/>
              </w:numPr>
              <w:spacing w:after="0" w:line="240" w:lineRule="auto"/>
              <w:ind w:left="357" w:hanging="357"/>
              <w:rPr>
                <w:rFonts w:ascii="Arial" w:eastAsia="Times New Roman" w:hAnsi="Arial" w:cs="Arial"/>
                <w:bCs/>
                <w:lang w:eastAsia="en-GB"/>
              </w:rPr>
            </w:pPr>
            <w:r w:rsidRPr="00275F77">
              <w:rPr>
                <w:rFonts w:ascii="Arial" w:eastAsia="Times New Roman" w:hAnsi="Arial" w:cs="Arial"/>
                <w:color w:val="000000"/>
                <w:lang w:eastAsia="en-GB"/>
              </w:rPr>
              <w:t xml:space="preserve">Undertake baseline </w:t>
            </w:r>
            <w:r w:rsidRPr="0018705A">
              <w:rPr>
                <w:rFonts w:ascii="Arial" w:eastAsia="Times New Roman" w:hAnsi="Arial" w:cs="Arial"/>
                <w:color w:val="000000"/>
                <w:lang w:eastAsia="en-GB"/>
              </w:rPr>
              <w:t xml:space="preserve">and ongoing </w:t>
            </w:r>
            <w:r w:rsidRPr="00275F77">
              <w:rPr>
                <w:rFonts w:ascii="Arial" w:eastAsia="Times New Roman" w:hAnsi="Arial" w:cs="Arial"/>
                <w:color w:val="000000"/>
                <w:lang w:eastAsia="en-GB"/>
              </w:rPr>
              <w:t>tests as indicated in the monitoring table.</w:t>
            </w:r>
            <w:r w:rsidRPr="0018705A">
              <w:rPr>
                <w:rFonts w:ascii="Arial" w:eastAsia="Times New Roman" w:hAnsi="Arial" w:cs="Arial"/>
                <w:color w:val="000000"/>
                <w:lang w:eastAsia="en-GB"/>
              </w:rPr>
              <w:t xml:space="preserve"> </w:t>
            </w:r>
            <w:r w:rsidRPr="00275F77">
              <w:rPr>
                <w:rFonts w:ascii="Arial" w:eastAsia="Times New Roman" w:hAnsi="Arial" w:cs="Arial"/>
                <w:color w:val="000000"/>
                <w:lang w:eastAsia="en-GB"/>
              </w:rPr>
              <w:t>Review results of safety monitoring and request additional tests as required. </w:t>
            </w:r>
          </w:p>
          <w:p w14:paraId="550558C0" w14:textId="77777777" w:rsidR="005D2B7C" w:rsidRPr="0018705A"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 xml:space="preserve">Continue to review the patient at agreed specified intervals, sending a written summary to the GP whenever the patient is reviewed. </w:t>
            </w:r>
          </w:p>
          <w:p w14:paraId="492AA560" w14:textId="77777777" w:rsidR="005D2B7C" w:rsidRPr="0018705A"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Monitor disease response</w:t>
            </w:r>
            <w:r w:rsidRPr="0018705A">
              <w:rPr>
                <w:rFonts w:ascii="Arial" w:eastAsia="Times New Roman" w:hAnsi="Arial" w:cs="Arial"/>
                <w:color w:val="000000"/>
                <w:lang w:eastAsia="en-GB"/>
              </w:rPr>
              <w:t xml:space="preserve"> and adverse effects</w:t>
            </w:r>
            <w:r w:rsidRPr="00275F77">
              <w:rPr>
                <w:rFonts w:ascii="Arial" w:eastAsia="Times New Roman" w:hAnsi="Arial" w:cs="Arial"/>
                <w:color w:val="000000"/>
                <w:lang w:eastAsia="en-GB"/>
              </w:rPr>
              <w:t xml:space="preserve"> to treatment and need to continue therapy. Noti</w:t>
            </w:r>
            <w:r w:rsidRPr="0018705A">
              <w:rPr>
                <w:rFonts w:ascii="Arial" w:eastAsia="Times New Roman" w:hAnsi="Arial" w:cs="Arial"/>
                <w:color w:val="000000"/>
                <w:lang w:eastAsia="en-GB"/>
              </w:rPr>
              <w:t xml:space="preserve">fy the GP of any changes to </w:t>
            </w:r>
            <w:r w:rsidRPr="00275F77">
              <w:rPr>
                <w:rFonts w:ascii="Arial" w:eastAsia="Times New Roman" w:hAnsi="Arial" w:cs="Arial"/>
                <w:color w:val="000000"/>
                <w:lang w:eastAsia="en-GB"/>
              </w:rPr>
              <w:t>dose or cessation of therapy.</w:t>
            </w:r>
          </w:p>
          <w:p w14:paraId="041735BC" w14:textId="77777777" w:rsidR="005D2B7C"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Notify GP if patient do</w:t>
            </w:r>
            <w:r w:rsidRPr="0018705A">
              <w:rPr>
                <w:rFonts w:ascii="Arial" w:eastAsia="Times New Roman" w:hAnsi="Arial" w:cs="Arial"/>
                <w:color w:val="000000"/>
                <w:lang w:eastAsia="en-GB"/>
              </w:rPr>
              <w:t>es not attend clinic repeatedly an</w:t>
            </w:r>
            <w:r>
              <w:rPr>
                <w:rFonts w:ascii="Arial" w:eastAsia="Times New Roman" w:hAnsi="Arial" w:cs="Arial"/>
                <w:color w:val="000000"/>
                <w:lang w:eastAsia="en-GB"/>
              </w:rPr>
              <w:t xml:space="preserve">d advise on action </w:t>
            </w:r>
            <w:r w:rsidRPr="0018705A">
              <w:rPr>
                <w:rFonts w:ascii="Arial" w:eastAsia="Times New Roman" w:hAnsi="Arial" w:cs="Arial"/>
                <w:color w:val="000000"/>
                <w:lang w:eastAsia="en-GB"/>
              </w:rPr>
              <w:t xml:space="preserve">to take. </w:t>
            </w:r>
          </w:p>
          <w:p w14:paraId="59278F30" w14:textId="77777777" w:rsidR="0057501A"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30269A">
              <w:rPr>
                <w:rFonts w:ascii="Arial" w:eastAsia="Times New Roman" w:hAnsi="Arial" w:cs="Arial"/>
                <w:color w:val="000000"/>
                <w:lang w:eastAsia="en-GB"/>
              </w:rPr>
              <w:t>Provide any other advice, information or support for the GP if required. Communicate any clinically important issues and action</w:t>
            </w:r>
            <w:r w:rsidRPr="00A25330">
              <w:rPr>
                <w:rFonts w:ascii="Arial" w:eastAsia="Times New Roman" w:hAnsi="Arial" w:cs="Arial"/>
                <w:color w:val="000000"/>
                <w:lang w:eastAsia="en-GB"/>
              </w:rPr>
              <w:t xml:space="preserve"> to be taken.</w:t>
            </w:r>
          </w:p>
          <w:p w14:paraId="4E4C31EA" w14:textId="77777777" w:rsidR="000E4E74" w:rsidRPr="003C3EFF" w:rsidRDefault="000E4E74" w:rsidP="000E4E74">
            <w:pPr>
              <w:pStyle w:val="ListParagraph"/>
              <w:numPr>
                <w:ilvl w:val="0"/>
                <w:numId w:val="6"/>
              </w:numPr>
              <w:rPr>
                <w:rFonts w:ascii="Arial" w:eastAsia="Times New Roman" w:hAnsi="Arial" w:cs="Arial"/>
                <w:color w:val="000000"/>
                <w:lang w:eastAsia="en-GB"/>
              </w:rPr>
            </w:pPr>
            <w:r w:rsidRPr="003C3EFF">
              <w:rPr>
                <w:rFonts w:ascii="Arial" w:eastAsia="Times New Roman" w:hAnsi="Arial" w:cs="Arial"/>
                <w:color w:val="000000"/>
                <w:lang w:eastAsia="en-GB"/>
              </w:rPr>
              <w:t xml:space="preserve">Encourage all women aged 25-64 years old to participate in national cervical cancer screening programmes. There is no need to attend more frequently than recommended. </w:t>
            </w:r>
          </w:p>
          <w:p w14:paraId="10DE34DD" w14:textId="287E7466" w:rsidR="00654A84" w:rsidRPr="003C3EFF" w:rsidRDefault="00654A84" w:rsidP="000E4E74">
            <w:pPr>
              <w:pStyle w:val="ListParagraph"/>
              <w:numPr>
                <w:ilvl w:val="0"/>
                <w:numId w:val="6"/>
              </w:numPr>
              <w:rPr>
                <w:rFonts w:ascii="Arial" w:eastAsia="Times New Roman" w:hAnsi="Arial" w:cs="Arial"/>
                <w:color w:val="000000"/>
                <w:lang w:eastAsia="en-GB"/>
              </w:rPr>
            </w:pPr>
            <w:r w:rsidRPr="003C3EFF">
              <w:rPr>
                <w:rFonts w:ascii="Arial" w:eastAsia="Times New Roman" w:hAnsi="Arial" w:cs="Arial"/>
                <w:color w:val="000000"/>
                <w:lang w:eastAsia="en-GB"/>
              </w:rPr>
              <w:t xml:space="preserve">Advise the patient their skin may be more sensitive to exposure to UV light while taking azathioprine or mercaptopurine. Use appropriate self-care: e.g. sun avoidance, protective clothing, avoiding tanning (including tanning beds) and to purchase and use a </w:t>
            </w:r>
            <w:proofErr w:type="gramStart"/>
            <w:r w:rsidRPr="003C3EFF">
              <w:rPr>
                <w:rFonts w:ascii="Arial" w:eastAsia="Times New Roman" w:hAnsi="Arial" w:cs="Arial"/>
                <w:color w:val="000000"/>
                <w:lang w:eastAsia="en-GB"/>
              </w:rPr>
              <w:t>broad spectrum</w:t>
            </w:r>
            <w:proofErr w:type="gramEnd"/>
            <w:r w:rsidRPr="003C3EFF">
              <w:rPr>
                <w:rFonts w:ascii="Arial" w:eastAsia="Times New Roman" w:hAnsi="Arial" w:cs="Arial"/>
                <w:color w:val="000000"/>
                <w:lang w:eastAsia="en-GB"/>
              </w:rPr>
              <w:t xml:space="preserve"> sunscreen (at least SPF30).</w:t>
            </w:r>
          </w:p>
          <w:p w14:paraId="075EFD9B" w14:textId="77777777" w:rsidR="002778A7" w:rsidRPr="003C3EFF" w:rsidRDefault="002778A7" w:rsidP="002778A7">
            <w:pPr>
              <w:spacing w:after="0" w:line="240" w:lineRule="auto"/>
              <w:rPr>
                <w:rFonts w:ascii="Arial" w:eastAsia="Times New Roman" w:hAnsi="Arial" w:cs="Arial"/>
                <w:b/>
                <w:bCs/>
                <w:sz w:val="24"/>
                <w:szCs w:val="24"/>
                <w:lang w:eastAsia="en-GB"/>
              </w:rPr>
            </w:pPr>
            <w:r w:rsidRPr="003C3EFF">
              <w:rPr>
                <w:rFonts w:ascii="Arial" w:eastAsia="Times New Roman" w:hAnsi="Arial" w:cs="Arial"/>
                <w:b/>
                <w:bCs/>
                <w:sz w:val="24"/>
                <w:szCs w:val="24"/>
                <w:lang w:eastAsia="en-GB"/>
              </w:rPr>
              <w:t>GP RESPONSIBILITIES with Specialist Interest in Rheumatology (for West Essex patients under the care of Princess Alexandra Hospital)</w:t>
            </w:r>
          </w:p>
          <w:p w14:paraId="6233E7DE" w14:textId="77777777" w:rsidR="002778A7" w:rsidRPr="003C3EFF" w:rsidRDefault="002778A7" w:rsidP="002778A7">
            <w:pPr>
              <w:pStyle w:val="ListParagraph"/>
              <w:numPr>
                <w:ilvl w:val="0"/>
                <w:numId w:val="32"/>
              </w:numPr>
              <w:spacing w:after="0" w:line="240" w:lineRule="auto"/>
              <w:rPr>
                <w:rFonts w:ascii="Arial" w:eastAsia="Times New Roman" w:hAnsi="Arial" w:cs="Arial"/>
                <w:bCs/>
                <w:lang w:eastAsia="en-GB"/>
              </w:rPr>
            </w:pPr>
            <w:r w:rsidRPr="003C3EFF">
              <w:rPr>
                <w:rFonts w:ascii="Arial" w:eastAsia="Times New Roman" w:hAnsi="Arial" w:cs="Arial"/>
                <w:bCs/>
                <w:lang w:eastAsia="en-GB"/>
              </w:rPr>
              <w:t>Accept patients with stable disease markers and DAS&lt;3.2 for ongoing case management after 6 months of consultant led care.</w:t>
            </w:r>
          </w:p>
          <w:p w14:paraId="7C531134" w14:textId="77777777" w:rsidR="002778A7" w:rsidRPr="003C3EFF" w:rsidRDefault="002778A7" w:rsidP="002778A7">
            <w:pPr>
              <w:pStyle w:val="ListParagraph"/>
              <w:numPr>
                <w:ilvl w:val="0"/>
                <w:numId w:val="32"/>
              </w:numPr>
              <w:spacing w:after="0" w:line="240" w:lineRule="auto"/>
              <w:rPr>
                <w:rFonts w:ascii="Arial" w:eastAsia="Times New Roman" w:hAnsi="Arial" w:cs="Arial"/>
                <w:bCs/>
                <w:lang w:eastAsia="en-GB"/>
              </w:rPr>
            </w:pPr>
            <w:r w:rsidRPr="003C3EFF">
              <w:rPr>
                <w:rFonts w:ascii="Arial" w:eastAsia="Times New Roman" w:hAnsi="Arial" w:cs="Arial"/>
                <w:bCs/>
                <w:lang w:eastAsia="en-GB"/>
              </w:rPr>
              <w:t>Provide ongoing patient education</w:t>
            </w:r>
          </w:p>
          <w:p w14:paraId="19C7E4C4" w14:textId="77777777" w:rsidR="002778A7" w:rsidRPr="003C3EFF" w:rsidRDefault="002778A7" w:rsidP="002778A7">
            <w:pPr>
              <w:pStyle w:val="ListParagraph"/>
              <w:numPr>
                <w:ilvl w:val="0"/>
                <w:numId w:val="32"/>
              </w:numPr>
              <w:spacing w:after="0" w:line="240" w:lineRule="auto"/>
              <w:rPr>
                <w:rFonts w:ascii="Arial" w:eastAsia="Times New Roman" w:hAnsi="Arial" w:cs="Arial"/>
                <w:bCs/>
                <w:lang w:eastAsia="en-GB"/>
              </w:rPr>
            </w:pPr>
            <w:r w:rsidRPr="003C3EFF">
              <w:rPr>
                <w:rFonts w:ascii="Arial" w:eastAsia="Times New Roman" w:hAnsi="Arial" w:cs="Arial"/>
                <w:bCs/>
                <w:lang w:eastAsia="en-GB"/>
              </w:rPr>
              <w:t>Annual review of all patients as per NICE guidance</w:t>
            </w:r>
          </w:p>
          <w:p w14:paraId="249FE3D5" w14:textId="77777777" w:rsidR="002778A7" w:rsidRPr="003C3EFF" w:rsidRDefault="002778A7" w:rsidP="002778A7">
            <w:pPr>
              <w:pStyle w:val="ListParagraph"/>
              <w:numPr>
                <w:ilvl w:val="0"/>
                <w:numId w:val="32"/>
              </w:numPr>
              <w:spacing w:after="0" w:line="240" w:lineRule="auto"/>
              <w:rPr>
                <w:rFonts w:ascii="Arial" w:eastAsia="Times New Roman" w:hAnsi="Arial" w:cs="Arial"/>
                <w:bCs/>
                <w:lang w:eastAsia="en-GB"/>
              </w:rPr>
            </w:pPr>
            <w:r w:rsidRPr="003C3EFF">
              <w:rPr>
                <w:rFonts w:ascii="Arial" w:eastAsia="Times New Roman" w:hAnsi="Arial" w:cs="Arial"/>
                <w:bCs/>
                <w:lang w:eastAsia="en-GB"/>
              </w:rPr>
              <w:t>Review the patient annually or as clinically appropriate and advise the GP promptly after these reviews on when to adjust the dose, stop treatment or consult with the Specialist.</w:t>
            </w:r>
          </w:p>
          <w:p w14:paraId="6C87A04B" w14:textId="77777777" w:rsidR="002778A7" w:rsidRPr="003C3EFF" w:rsidRDefault="002778A7" w:rsidP="002778A7">
            <w:pPr>
              <w:pStyle w:val="ListParagraph"/>
              <w:numPr>
                <w:ilvl w:val="0"/>
                <w:numId w:val="32"/>
              </w:numPr>
              <w:spacing w:after="0" w:line="240" w:lineRule="auto"/>
              <w:rPr>
                <w:rFonts w:ascii="Arial" w:eastAsia="Times New Roman" w:hAnsi="Arial" w:cs="Arial"/>
                <w:bCs/>
                <w:lang w:eastAsia="en-GB"/>
              </w:rPr>
            </w:pPr>
            <w:r w:rsidRPr="003C3EFF">
              <w:rPr>
                <w:rFonts w:ascii="Arial" w:eastAsia="Times New Roman" w:hAnsi="Arial" w:cs="Arial"/>
                <w:bCs/>
                <w:lang w:eastAsia="en-GB"/>
              </w:rPr>
              <w:t>Inform GP, by letter, of each clinic attendance and action taken for the management of the patient ensuring current dose, most recent blood results and frequency of monitoring are stated</w:t>
            </w:r>
          </w:p>
          <w:p w14:paraId="7CF94A46" w14:textId="64A885E2" w:rsidR="00017DEF" w:rsidRPr="002778A7" w:rsidRDefault="00017DEF" w:rsidP="002778A7">
            <w:pPr>
              <w:pStyle w:val="ListParagraph"/>
              <w:numPr>
                <w:ilvl w:val="0"/>
                <w:numId w:val="32"/>
              </w:numPr>
              <w:spacing w:after="0" w:line="240" w:lineRule="auto"/>
              <w:rPr>
                <w:rFonts w:ascii="Arial" w:eastAsia="Times New Roman" w:hAnsi="Arial" w:cs="Arial"/>
                <w:bCs/>
                <w:lang w:eastAsia="en-GB"/>
              </w:rPr>
            </w:pPr>
            <w:r w:rsidRPr="003C3EFF">
              <w:rPr>
                <w:rFonts w:ascii="Arial" w:eastAsia="Times New Roman" w:hAnsi="Arial" w:cs="Arial"/>
                <w:bCs/>
                <w:lang w:eastAsia="en-GB"/>
              </w:rPr>
              <w:t>Evaluate any reported adverse effects by GP or patient.</w:t>
            </w: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2017432B"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 xml:space="preserve">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 1</w:t>
      </w:r>
      <w:r w:rsidR="00114E55">
        <w:rPr>
          <w:rFonts w:ascii="Arial" w:eastAsia="Times New Roman" w:hAnsi="Arial" w:cs="Arial"/>
          <w:bCs/>
          <w:szCs w:val="24"/>
        </w:rPr>
        <w:t>1</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017DEF">
        <w:trPr>
          <w:trHeight w:val="898"/>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0EC0C076" w14:textId="77777777" w:rsidR="005D2B7C" w:rsidRDefault="005D2B7C" w:rsidP="005D2B7C">
            <w:pPr>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13A4396D" w14:textId="77777777" w:rsidR="005D2B7C" w:rsidRPr="000C7F57" w:rsidRDefault="005D2B7C" w:rsidP="005D2B7C">
            <w:pPr>
              <w:numPr>
                <w:ilvl w:val="0"/>
                <w:numId w:val="8"/>
              </w:numPr>
              <w:spacing w:after="0" w:line="240" w:lineRule="auto"/>
              <w:ind w:left="357" w:hanging="357"/>
              <w:rPr>
                <w:rFonts w:ascii="Arial" w:eastAsia="Times New Roman" w:hAnsi="Arial" w:cs="Arial"/>
                <w:bCs/>
                <w:lang w:eastAsia="en-GB"/>
              </w:rPr>
            </w:pPr>
            <w:r w:rsidRPr="000C7F57">
              <w:rPr>
                <w:rFonts w:ascii="Arial" w:eastAsia="Times New Roman" w:hAnsi="Arial" w:cs="Arial"/>
                <w:bCs/>
                <w:lang w:eastAsia="en-GB"/>
              </w:rPr>
              <w:t>Consent to share care and complete/sign Specialist and patient agreement section of Shared Care Agreement form.</w:t>
            </w:r>
          </w:p>
          <w:p w14:paraId="1E3BB3D0" w14:textId="77777777" w:rsidR="005D2B7C" w:rsidRPr="00061E36" w:rsidRDefault="005D2B7C" w:rsidP="005D2B7C">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736DE24A" w14:textId="77777777" w:rsidR="005D2B7C" w:rsidRPr="00CA1BB1" w:rsidRDefault="005D2B7C" w:rsidP="005D2B7C">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Attending for blood monitoring and follow up hospital or GP appointments. </w:t>
            </w:r>
          </w:p>
          <w:p w14:paraId="598F25C5" w14:textId="77777777" w:rsidR="005D2B7C" w:rsidRPr="00061E36" w:rsidRDefault="005D2B7C" w:rsidP="005D2B7C">
            <w:pPr>
              <w:pStyle w:val="ListParagraph"/>
              <w:numPr>
                <w:ilvl w:val="0"/>
                <w:numId w:val="8"/>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are brought to all GP surgery, outpatient and A&amp;E consultations. </w:t>
            </w:r>
          </w:p>
          <w:p w14:paraId="63A8DE31" w14:textId="77777777" w:rsidR="005D2B7C" w:rsidRPr="00CA1BB1" w:rsidRDefault="005D2B7C" w:rsidP="005D2B7C">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6060DFA8" w14:textId="77777777" w:rsidR="005D2B7C" w:rsidRPr="00061E36" w:rsidRDefault="005D2B7C" w:rsidP="005D2B7C">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that no new medicines are started (including over the counter preparations) unless this has been discussed with the GP, specialist or pharmacist.</w:t>
            </w:r>
          </w:p>
          <w:p w14:paraId="0C5EA5EA" w14:textId="77777777" w:rsidR="008B71E0" w:rsidRPr="003C3EFF" w:rsidRDefault="005D2B7C" w:rsidP="005D2B7C">
            <w:pPr>
              <w:pStyle w:val="ListParagraph"/>
              <w:numPr>
                <w:ilvl w:val="0"/>
                <w:numId w:val="8"/>
              </w:numPr>
              <w:rPr>
                <w:rFonts w:ascii="Arial" w:eastAsia="Times New Roman" w:hAnsi="Arial" w:cs="Arial"/>
                <w:bCs/>
                <w:lang w:eastAsia="en-GB"/>
              </w:rPr>
            </w:pPr>
            <w:r w:rsidRPr="00710AA9">
              <w:rPr>
                <w:rFonts w:ascii="Arial" w:eastAsia="Times New Roman" w:hAnsi="Arial" w:cs="Arial"/>
                <w:bCs/>
                <w:lang w:eastAsia="en-GB"/>
              </w:rPr>
              <w:t>Alert GP and/or specialist of any changes of circumstance which could affect management of disease e.</w:t>
            </w:r>
            <w:r w:rsidRPr="003C3EFF">
              <w:rPr>
                <w:rFonts w:ascii="Arial" w:eastAsia="Times New Roman" w:hAnsi="Arial" w:cs="Arial"/>
                <w:bCs/>
                <w:lang w:eastAsia="en-GB"/>
              </w:rPr>
              <w:t>g. plans for pregnancy; plans to move/change GP practice.</w:t>
            </w:r>
          </w:p>
          <w:p w14:paraId="74413BD4" w14:textId="77777777" w:rsidR="000E4E74" w:rsidRPr="003C3EFF" w:rsidRDefault="000E4E74" w:rsidP="005D2B7C">
            <w:pPr>
              <w:pStyle w:val="ListParagraph"/>
              <w:numPr>
                <w:ilvl w:val="0"/>
                <w:numId w:val="8"/>
              </w:numPr>
              <w:rPr>
                <w:rFonts w:ascii="Arial" w:eastAsia="Times New Roman" w:hAnsi="Arial" w:cs="Arial"/>
                <w:bCs/>
                <w:lang w:eastAsia="en-GB"/>
              </w:rPr>
            </w:pPr>
            <w:r w:rsidRPr="003C3EFF">
              <w:rPr>
                <w:rFonts w:ascii="Arial" w:eastAsia="Times New Roman" w:hAnsi="Arial" w:cs="Arial"/>
                <w:bCs/>
                <w:lang w:eastAsia="en-GB"/>
              </w:rPr>
              <w:t>Be aware all women aged 25-64 years old should participate in national cervical cancer screening programmes. There is no need to attend more frequently than recommended.</w:t>
            </w:r>
          </w:p>
          <w:p w14:paraId="19B6562E" w14:textId="416604F3" w:rsidR="00654A84" w:rsidRPr="008B71E0" w:rsidRDefault="00654A84" w:rsidP="005D2B7C">
            <w:pPr>
              <w:pStyle w:val="ListParagraph"/>
              <w:numPr>
                <w:ilvl w:val="0"/>
                <w:numId w:val="8"/>
              </w:numPr>
              <w:rPr>
                <w:rFonts w:ascii="Arial" w:eastAsia="Times New Roman" w:hAnsi="Arial" w:cs="Arial"/>
                <w:bCs/>
                <w:lang w:eastAsia="en-GB"/>
              </w:rPr>
            </w:pPr>
            <w:r w:rsidRPr="003C3EFF">
              <w:rPr>
                <w:rFonts w:ascii="Arial" w:eastAsia="Times New Roman" w:hAnsi="Arial" w:cs="Arial"/>
                <w:color w:val="000000"/>
                <w:lang w:eastAsia="en-GB"/>
              </w:rPr>
              <w:lastRenderedPageBreak/>
              <w:t xml:space="preserve">Be aware skin may be more sensitive to exposure to UV light while taking azathioprine or mercaptopurine. Use appropriate self-care: e.g. sun avoidance, protective clothing, avoiding tanning (including tanning beds) and to purchase and use a </w:t>
            </w:r>
            <w:proofErr w:type="gramStart"/>
            <w:r w:rsidRPr="003C3EFF">
              <w:rPr>
                <w:rFonts w:ascii="Arial" w:eastAsia="Times New Roman" w:hAnsi="Arial" w:cs="Arial"/>
                <w:color w:val="000000"/>
                <w:lang w:eastAsia="en-GB"/>
              </w:rPr>
              <w:t>broad spectrum</w:t>
            </w:r>
            <w:proofErr w:type="gramEnd"/>
            <w:r w:rsidRPr="003C3EFF">
              <w:rPr>
                <w:rFonts w:ascii="Arial" w:eastAsia="Times New Roman" w:hAnsi="Arial" w:cs="Arial"/>
                <w:color w:val="000000"/>
                <w:lang w:eastAsia="en-GB"/>
              </w:rPr>
              <w:t xml:space="preserve"> sunscreen (at least SPF30).</w:t>
            </w: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566D048"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Check the patient is being monitored regularly, e.g. using the patient held monitoring booklet where available, to ensure that it is safe before issuing or dispensing prescriptions.</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41713D8E" w:rsidR="00CA1BB1" w:rsidRPr="00CA1BB1" w:rsidRDefault="00DD1664">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Pr>
                <w:rFonts w:ascii="Arial" w:eastAsia="Times New Roman" w:hAnsi="Arial" w:cs="Arial"/>
                <w:bCs/>
                <w:lang w:eastAsia="en-GB"/>
              </w:rPr>
              <w:t>/3</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5"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6"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77777777" w:rsidR="00D73BA6" w:rsidRDefault="00D73BA6">
            <w:pPr>
              <w:pStyle w:val="ListParagraph"/>
              <w:numPr>
                <w:ilvl w:val="0"/>
                <w:numId w:val="9"/>
              </w:numPr>
              <w:spacing w:after="0" w:line="240" w:lineRule="auto"/>
              <w:ind w:left="357" w:hanging="357"/>
              <w:rPr>
                <w:rFonts w:ascii="Arial" w:hAnsi="Arial" w:cs="Arial"/>
                <w:bCs/>
              </w:rPr>
            </w:pPr>
            <w:r w:rsidRPr="000C7F57">
              <w:rPr>
                <w:rFonts w:ascii="Arial" w:hAnsi="Arial" w:cs="Arial"/>
                <w:bCs/>
              </w:rPr>
              <w:t>GP to liaise with specialist if any side effects are a cause for concern</w:t>
            </w:r>
          </w:p>
          <w:p w14:paraId="1E67A0F8" w14:textId="61D68878" w:rsidR="00D73BA6" w:rsidRDefault="00A543B5">
            <w:pPr>
              <w:pStyle w:val="ListParagraph"/>
              <w:numPr>
                <w:ilvl w:val="0"/>
                <w:numId w:val="9"/>
              </w:numPr>
              <w:spacing w:after="0" w:line="240" w:lineRule="auto"/>
              <w:ind w:left="357" w:hanging="357"/>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r w:rsidR="00D73BA6">
              <w:rPr>
                <w:rFonts w:ascii="Arial" w:hAnsi="Arial" w:cs="Arial"/>
                <w:bCs/>
              </w:rPr>
              <w:t xml:space="preserve"> </w:t>
            </w:r>
          </w:p>
          <w:p w14:paraId="7E3E5ABA" w14:textId="73CE8BD8" w:rsidR="00B061F6" w:rsidRDefault="00B061F6" w:rsidP="00B061F6">
            <w:pPr>
              <w:spacing w:after="0" w:line="240" w:lineRule="auto"/>
              <w:rPr>
                <w:rFonts w:ascii="Arial" w:hAnsi="Arial" w:cs="Arial"/>
                <w:bCs/>
              </w:rPr>
            </w:pPr>
          </w:p>
          <w:tbl>
            <w:tblPr>
              <w:tblStyle w:val="TableGrid"/>
              <w:tblW w:w="10314" w:type="dxa"/>
              <w:tblLook w:val="04A0" w:firstRow="1" w:lastRow="0" w:firstColumn="1" w:lastColumn="0" w:noHBand="0" w:noVBand="1"/>
            </w:tblPr>
            <w:tblGrid>
              <w:gridCol w:w="4644"/>
              <w:gridCol w:w="5670"/>
            </w:tblGrid>
            <w:tr w:rsidR="005D2B7C" w:rsidRPr="00190D36" w14:paraId="25CB0C7D" w14:textId="77777777" w:rsidTr="00992C71">
              <w:trPr>
                <w:trHeight w:val="223"/>
              </w:trPr>
              <w:tc>
                <w:tcPr>
                  <w:tcW w:w="4644" w:type="dxa"/>
                </w:tcPr>
                <w:p w14:paraId="63EEFB5F" w14:textId="77777777" w:rsidR="005D2B7C" w:rsidRPr="00843717" w:rsidRDefault="005D2B7C" w:rsidP="005D2B7C">
                  <w:pPr>
                    <w:pStyle w:val="Default"/>
                    <w:jc w:val="center"/>
                    <w:rPr>
                      <w:b/>
                      <w:color w:val="auto"/>
                      <w:sz w:val="22"/>
                      <w:szCs w:val="22"/>
                    </w:rPr>
                  </w:pPr>
                  <w:r w:rsidRPr="00843717">
                    <w:rPr>
                      <w:b/>
                      <w:color w:val="auto"/>
                      <w:sz w:val="22"/>
                      <w:szCs w:val="22"/>
                    </w:rPr>
                    <w:t>SIDE EFFECTS</w:t>
                  </w:r>
                </w:p>
              </w:tc>
              <w:tc>
                <w:tcPr>
                  <w:tcW w:w="5670" w:type="dxa"/>
                  <w:shd w:val="pct10" w:color="auto" w:fill="auto"/>
                </w:tcPr>
                <w:p w14:paraId="622E504A" w14:textId="77777777" w:rsidR="005D2B7C" w:rsidRPr="00843717" w:rsidRDefault="005D2B7C" w:rsidP="005D2B7C">
                  <w:pPr>
                    <w:pStyle w:val="Default"/>
                    <w:jc w:val="center"/>
                    <w:rPr>
                      <w:b/>
                      <w:color w:val="auto"/>
                      <w:sz w:val="22"/>
                      <w:szCs w:val="22"/>
                    </w:rPr>
                  </w:pPr>
                  <w:r w:rsidRPr="00843717">
                    <w:rPr>
                      <w:b/>
                      <w:color w:val="auto"/>
                      <w:sz w:val="22"/>
                      <w:szCs w:val="22"/>
                    </w:rPr>
                    <w:t>Action to be taken by GP</w:t>
                  </w:r>
                </w:p>
              </w:tc>
            </w:tr>
            <w:tr w:rsidR="005D2B7C" w14:paraId="75FCF732" w14:textId="77777777" w:rsidTr="00992C71">
              <w:trPr>
                <w:trHeight w:val="497"/>
              </w:trPr>
              <w:tc>
                <w:tcPr>
                  <w:tcW w:w="4644" w:type="dxa"/>
                </w:tcPr>
                <w:p w14:paraId="79AAD692" w14:textId="77777777" w:rsidR="005D2B7C" w:rsidRPr="00843717" w:rsidRDefault="005D2B7C" w:rsidP="005D2B7C">
                  <w:pPr>
                    <w:pStyle w:val="Default"/>
                    <w:rPr>
                      <w:sz w:val="22"/>
                      <w:szCs w:val="22"/>
                    </w:rPr>
                  </w:pPr>
                  <w:r w:rsidRPr="00843717">
                    <w:rPr>
                      <w:sz w:val="22"/>
                      <w:szCs w:val="22"/>
                    </w:rPr>
                    <w:t>Nausea</w:t>
                  </w:r>
                </w:p>
              </w:tc>
              <w:tc>
                <w:tcPr>
                  <w:tcW w:w="5670" w:type="dxa"/>
                  <w:shd w:val="pct10" w:color="auto" w:fill="auto"/>
                </w:tcPr>
                <w:p w14:paraId="29F6A3F7" w14:textId="77777777" w:rsidR="005D2B7C" w:rsidRPr="00843717" w:rsidRDefault="005D2B7C" w:rsidP="005D2B7C">
                  <w:pPr>
                    <w:pStyle w:val="Default"/>
                    <w:rPr>
                      <w:b/>
                      <w:color w:val="auto"/>
                      <w:sz w:val="22"/>
                      <w:szCs w:val="22"/>
                      <w:u w:val="single"/>
                    </w:rPr>
                  </w:pPr>
                  <w:r w:rsidRPr="00843717">
                    <w:rPr>
                      <w:sz w:val="22"/>
                      <w:szCs w:val="22"/>
                    </w:rPr>
                    <w:t>If symptoms mild, change time to with evening meal.</w:t>
                  </w:r>
                </w:p>
              </w:tc>
            </w:tr>
            <w:tr w:rsidR="005D2B7C" w14:paraId="1BB1A2B6" w14:textId="77777777" w:rsidTr="00992C71">
              <w:trPr>
                <w:trHeight w:val="495"/>
              </w:trPr>
              <w:tc>
                <w:tcPr>
                  <w:tcW w:w="4644" w:type="dxa"/>
                </w:tcPr>
                <w:p w14:paraId="04A42969" w14:textId="77777777" w:rsidR="005D2B7C" w:rsidRPr="00843717" w:rsidRDefault="005D2B7C" w:rsidP="005D2B7C">
                  <w:pPr>
                    <w:pStyle w:val="Default"/>
                    <w:rPr>
                      <w:sz w:val="22"/>
                      <w:szCs w:val="22"/>
                    </w:rPr>
                  </w:pPr>
                  <w:r w:rsidRPr="00843717">
                    <w:rPr>
                      <w:sz w:val="22"/>
                      <w:szCs w:val="22"/>
                    </w:rPr>
                    <w:t>Hypersensitivity reactions (fever, rigors, rash, myalgia, arthralgia, hypotension, dizziness</w:t>
                  </w:r>
                  <w:r w:rsidRPr="00843717">
                    <w:rPr>
                      <w:color w:val="auto"/>
                      <w:sz w:val="22"/>
                      <w:szCs w:val="22"/>
                    </w:rPr>
                    <w:t xml:space="preserve">) </w:t>
                  </w:r>
                </w:p>
              </w:tc>
              <w:tc>
                <w:tcPr>
                  <w:tcW w:w="5670" w:type="dxa"/>
                  <w:shd w:val="pct10" w:color="auto" w:fill="auto"/>
                </w:tcPr>
                <w:p w14:paraId="28D55885" w14:textId="77777777" w:rsidR="005D2B7C" w:rsidRPr="00843717" w:rsidRDefault="005D2B7C" w:rsidP="005D2B7C">
                  <w:pPr>
                    <w:pStyle w:val="Default"/>
                    <w:rPr>
                      <w:b/>
                      <w:color w:val="auto"/>
                      <w:sz w:val="22"/>
                      <w:szCs w:val="22"/>
                      <w:u w:val="single"/>
                    </w:rPr>
                  </w:pPr>
                  <w:r w:rsidRPr="00843717">
                    <w:rPr>
                      <w:color w:val="auto"/>
                      <w:sz w:val="22"/>
                      <w:szCs w:val="22"/>
                    </w:rPr>
                    <w:t>Advise immediate withdrawal (as per SPC)</w:t>
                  </w:r>
                  <w:r>
                    <w:rPr>
                      <w:color w:val="auto"/>
                      <w:sz w:val="22"/>
                      <w:szCs w:val="22"/>
                    </w:rPr>
                    <w:t>,</w:t>
                  </w:r>
                  <w:r w:rsidRPr="00843717">
                    <w:rPr>
                      <w:color w:val="auto"/>
                      <w:sz w:val="22"/>
                      <w:szCs w:val="22"/>
                    </w:rPr>
                    <w:t xml:space="preserve"> contact specialist</w:t>
                  </w:r>
                </w:p>
              </w:tc>
            </w:tr>
            <w:tr w:rsidR="005D2B7C" w14:paraId="6CD7A756" w14:textId="77777777" w:rsidTr="00992C71">
              <w:trPr>
                <w:trHeight w:val="754"/>
              </w:trPr>
              <w:tc>
                <w:tcPr>
                  <w:tcW w:w="4644" w:type="dxa"/>
                </w:tcPr>
                <w:p w14:paraId="08BBE308" w14:textId="77777777" w:rsidR="005D2B7C" w:rsidRPr="00843717" w:rsidRDefault="005D2B7C" w:rsidP="005D2B7C">
                  <w:pPr>
                    <w:pStyle w:val="Default"/>
                    <w:rPr>
                      <w:sz w:val="22"/>
                      <w:szCs w:val="22"/>
                    </w:rPr>
                  </w:pPr>
                  <w:r w:rsidRPr="00843717">
                    <w:rPr>
                      <w:sz w:val="22"/>
                      <w:szCs w:val="22"/>
                    </w:rPr>
                    <w:t xml:space="preserve">Alopecia </w:t>
                  </w:r>
                </w:p>
              </w:tc>
              <w:tc>
                <w:tcPr>
                  <w:tcW w:w="5670" w:type="dxa"/>
                  <w:shd w:val="pct10" w:color="auto" w:fill="auto"/>
                </w:tcPr>
                <w:p w14:paraId="2B016540" w14:textId="77777777" w:rsidR="005D2B7C" w:rsidRPr="00843717" w:rsidRDefault="005D2B7C" w:rsidP="005D2B7C">
                  <w:pPr>
                    <w:pStyle w:val="Default"/>
                    <w:rPr>
                      <w:sz w:val="22"/>
                      <w:szCs w:val="22"/>
                    </w:rPr>
                  </w:pPr>
                  <w:r w:rsidRPr="00843717">
                    <w:rPr>
                      <w:sz w:val="22"/>
                      <w:szCs w:val="22"/>
                    </w:rPr>
                    <w:t>If mild, reassure and continue.</w:t>
                  </w:r>
                </w:p>
                <w:p w14:paraId="6F961CB1" w14:textId="77777777" w:rsidR="005D2B7C" w:rsidRPr="00843717" w:rsidRDefault="005D2B7C" w:rsidP="005D2B7C">
                  <w:pPr>
                    <w:pStyle w:val="Default"/>
                    <w:rPr>
                      <w:b/>
                      <w:color w:val="auto"/>
                      <w:sz w:val="22"/>
                      <w:szCs w:val="22"/>
                      <w:u w:val="single"/>
                    </w:rPr>
                  </w:pPr>
                  <w:r w:rsidRPr="00843717">
                    <w:rPr>
                      <w:sz w:val="22"/>
                      <w:szCs w:val="22"/>
                    </w:rPr>
                    <w:t>If significant, contact specialist team to discuss</w:t>
                  </w:r>
                  <w:r>
                    <w:rPr>
                      <w:sz w:val="22"/>
                      <w:szCs w:val="22"/>
                    </w:rPr>
                    <w:t xml:space="preserve"> </w:t>
                  </w:r>
                  <w:r w:rsidRPr="00843717">
                    <w:rPr>
                      <w:sz w:val="22"/>
                      <w:szCs w:val="22"/>
                    </w:rPr>
                    <w:t>treatment alternatives.</w:t>
                  </w:r>
                </w:p>
              </w:tc>
            </w:tr>
            <w:tr w:rsidR="005D2B7C" w:rsidRPr="004A3F03" w14:paraId="09DA0051" w14:textId="77777777" w:rsidTr="00992C71">
              <w:trPr>
                <w:trHeight w:val="769"/>
              </w:trPr>
              <w:tc>
                <w:tcPr>
                  <w:tcW w:w="4644" w:type="dxa"/>
                </w:tcPr>
                <w:p w14:paraId="283B83F5" w14:textId="77777777" w:rsidR="005D2B7C" w:rsidRPr="00843717" w:rsidRDefault="005D2B7C" w:rsidP="005D2B7C">
                  <w:pPr>
                    <w:pStyle w:val="Default"/>
                    <w:rPr>
                      <w:sz w:val="22"/>
                      <w:szCs w:val="22"/>
                    </w:rPr>
                  </w:pPr>
                  <w:r w:rsidRPr="00843717">
                    <w:rPr>
                      <w:sz w:val="22"/>
                      <w:szCs w:val="22"/>
                    </w:rPr>
                    <w:t>Flu like symptoms/</w:t>
                  </w:r>
                </w:p>
                <w:p w14:paraId="0E420F45" w14:textId="77777777" w:rsidR="005D2B7C" w:rsidRPr="00843717" w:rsidRDefault="005D2B7C" w:rsidP="005D2B7C">
                  <w:pPr>
                    <w:pStyle w:val="Default"/>
                    <w:rPr>
                      <w:sz w:val="22"/>
                      <w:szCs w:val="22"/>
                    </w:rPr>
                  </w:pPr>
                  <w:r w:rsidRPr="00843717">
                    <w:rPr>
                      <w:sz w:val="22"/>
                      <w:szCs w:val="22"/>
                    </w:rPr>
                    <w:t>myalgia/headache</w:t>
                  </w:r>
                </w:p>
              </w:tc>
              <w:tc>
                <w:tcPr>
                  <w:tcW w:w="5670" w:type="dxa"/>
                  <w:shd w:val="pct10" w:color="auto" w:fill="auto"/>
                </w:tcPr>
                <w:p w14:paraId="17508590" w14:textId="77777777" w:rsidR="005D2B7C" w:rsidRPr="00843717" w:rsidRDefault="005D2B7C" w:rsidP="005D2B7C">
                  <w:pPr>
                    <w:pStyle w:val="Default"/>
                    <w:rPr>
                      <w:sz w:val="22"/>
                      <w:szCs w:val="22"/>
                    </w:rPr>
                  </w:pPr>
                  <w:r w:rsidRPr="00843717">
                    <w:rPr>
                      <w:sz w:val="22"/>
                      <w:szCs w:val="22"/>
                    </w:rPr>
                    <w:t>Mild – continue – recommend taking dose at night.</w:t>
                  </w:r>
                </w:p>
                <w:p w14:paraId="0720A155" w14:textId="77777777" w:rsidR="005D2B7C" w:rsidRPr="00843717" w:rsidRDefault="005D2B7C" w:rsidP="005D2B7C">
                  <w:pPr>
                    <w:pStyle w:val="Default"/>
                    <w:rPr>
                      <w:sz w:val="22"/>
                      <w:szCs w:val="22"/>
                    </w:rPr>
                  </w:pPr>
                  <w:r w:rsidRPr="00843717">
                    <w:rPr>
                      <w:sz w:val="22"/>
                      <w:szCs w:val="22"/>
                    </w:rPr>
                    <w:t xml:space="preserve">Moderate / Severe – </w:t>
                  </w:r>
                  <w:r w:rsidRPr="00843717">
                    <w:rPr>
                      <w:b/>
                      <w:sz w:val="22"/>
                      <w:szCs w:val="22"/>
                    </w:rPr>
                    <w:t>STOP DRUG</w:t>
                  </w:r>
                  <w:r w:rsidRPr="00843717">
                    <w:rPr>
                      <w:sz w:val="22"/>
                      <w:szCs w:val="22"/>
                    </w:rPr>
                    <w:t xml:space="preserve"> and discuss with specialist team.</w:t>
                  </w:r>
                </w:p>
              </w:tc>
            </w:tr>
            <w:tr w:rsidR="005D2B7C" w:rsidRPr="004A3F03" w14:paraId="714A39AD" w14:textId="77777777" w:rsidTr="00992C71">
              <w:trPr>
                <w:trHeight w:val="270"/>
              </w:trPr>
              <w:tc>
                <w:tcPr>
                  <w:tcW w:w="4644" w:type="dxa"/>
                </w:tcPr>
                <w:p w14:paraId="0B4ACD04" w14:textId="77777777" w:rsidR="005D2B7C" w:rsidRPr="00843717" w:rsidRDefault="005D2B7C" w:rsidP="005D2B7C">
                  <w:pPr>
                    <w:pStyle w:val="Default"/>
                    <w:rPr>
                      <w:sz w:val="22"/>
                      <w:szCs w:val="22"/>
                    </w:rPr>
                  </w:pPr>
                  <w:r w:rsidRPr="00843717">
                    <w:rPr>
                      <w:sz w:val="22"/>
                      <w:szCs w:val="22"/>
                    </w:rPr>
                    <w:t>Fever, sore throat, mouth ulceration</w:t>
                  </w:r>
                </w:p>
              </w:tc>
              <w:tc>
                <w:tcPr>
                  <w:tcW w:w="5670" w:type="dxa"/>
                  <w:shd w:val="pct10" w:color="auto" w:fill="auto"/>
                </w:tcPr>
                <w:p w14:paraId="4FA7BEA9" w14:textId="77777777" w:rsidR="005D2B7C" w:rsidRPr="00843717" w:rsidRDefault="005D2B7C" w:rsidP="005D2B7C">
                  <w:pPr>
                    <w:pStyle w:val="Default"/>
                    <w:rPr>
                      <w:sz w:val="22"/>
                      <w:szCs w:val="22"/>
                    </w:rPr>
                  </w:pPr>
                  <w:r w:rsidRPr="00843717">
                    <w:rPr>
                      <w:sz w:val="22"/>
                      <w:szCs w:val="22"/>
                    </w:rPr>
                    <w:t xml:space="preserve">Check FBC and </w:t>
                  </w:r>
                  <w:r w:rsidRPr="00843717">
                    <w:rPr>
                      <w:b/>
                      <w:sz w:val="22"/>
                      <w:szCs w:val="22"/>
                    </w:rPr>
                    <w:t>STOP DRUG</w:t>
                  </w:r>
                  <w:r w:rsidRPr="00843717">
                    <w:rPr>
                      <w:sz w:val="22"/>
                      <w:szCs w:val="22"/>
                    </w:rPr>
                    <w:t xml:space="preserve"> if WCC low</w:t>
                  </w:r>
                  <w:r>
                    <w:rPr>
                      <w:sz w:val="22"/>
                      <w:szCs w:val="22"/>
                    </w:rPr>
                    <w:t xml:space="preserve"> (</w:t>
                  </w:r>
                  <w:r w:rsidRPr="00843717">
                    <w:rPr>
                      <w:sz w:val="22"/>
                      <w:szCs w:val="22"/>
                    </w:rPr>
                    <w:t>see</w:t>
                  </w:r>
                  <w:r>
                    <w:rPr>
                      <w:sz w:val="22"/>
                      <w:szCs w:val="22"/>
                    </w:rPr>
                    <w:t xml:space="preserve"> monitoring section)</w:t>
                  </w:r>
                </w:p>
              </w:tc>
            </w:tr>
            <w:tr w:rsidR="005D2B7C" w14:paraId="2ABE0D36" w14:textId="77777777" w:rsidTr="00992C71">
              <w:trPr>
                <w:trHeight w:val="591"/>
              </w:trPr>
              <w:tc>
                <w:tcPr>
                  <w:tcW w:w="4644" w:type="dxa"/>
                </w:tcPr>
                <w:p w14:paraId="47938B59" w14:textId="77777777" w:rsidR="005D2B7C" w:rsidRPr="00843717" w:rsidRDefault="005D2B7C" w:rsidP="005D2B7C">
                  <w:pPr>
                    <w:pStyle w:val="Default"/>
                    <w:rPr>
                      <w:color w:val="auto"/>
                      <w:sz w:val="22"/>
                      <w:szCs w:val="22"/>
                    </w:rPr>
                  </w:pPr>
                  <w:r w:rsidRPr="00843717">
                    <w:rPr>
                      <w:sz w:val="22"/>
                      <w:szCs w:val="22"/>
                    </w:rPr>
                    <w:t>Abnormal bruising or bleeding</w:t>
                  </w:r>
                </w:p>
              </w:tc>
              <w:tc>
                <w:tcPr>
                  <w:tcW w:w="5670" w:type="dxa"/>
                  <w:shd w:val="pct10" w:color="auto" w:fill="auto"/>
                </w:tcPr>
                <w:p w14:paraId="0255A596" w14:textId="77777777" w:rsidR="005D2B7C" w:rsidRPr="00843717" w:rsidRDefault="005D2B7C" w:rsidP="005D2B7C">
                  <w:pPr>
                    <w:pStyle w:val="Default"/>
                    <w:rPr>
                      <w:b/>
                      <w:color w:val="auto"/>
                      <w:sz w:val="22"/>
                      <w:szCs w:val="22"/>
                      <w:u w:val="single"/>
                    </w:rPr>
                  </w:pPr>
                  <w:r w:rsidRPr="00843717">
                    <w:rPr>
                      <w:b/>
                      <w:sz w:val="22"/>
                      <w:szCs w:val="22"/>
                    </w:rPr>
                    <w:t>STOP DRUG</w:t>
                  </w:r>
                  <w:r w:rsidRPr="00843717">
                    <w:rPr>
                      <w:sz w:val="22"/>
                      <w:szCs w:val="22"/>
                    </w:rPr>
                    <w:t xml:space="preserve"> until recovery and check FBC</w:t>
                  </w:r>
                  <w:r>
                    <w:rPr>
                      <w:sz w:val="22"/>
                      <w:szCs w:val="22"/>
                    </w:rPr>
                    <w:t xml:space="preserve"> (see monitoring section)</w:t>
                  </w:r>
                  <w:r w:rsidRPr="00843717">
                    <w:rPr>
                      <w:sz w:val="22"/>
                      <w:szCs w:val="22"/>
                    </w:rPr>
                    <w:t>. Do not restart if blood test abnormal, contact specialist team.</w:t>
                  </w:r>
                </w:p>
              </w:tc>
            </w:tr>
            <w:tr w:rsidR="005D2B7C" w:rsidRPr="005B4B6F" w14:paraId="0084FE07" w14:textId="77777777" w:rsidTr="00992C71">
              <w:trPr>
                <w:trHeight w:val="1407"/>
              </w:trPr>
              <w:tc>
                <w:tcPr>
                  <w:tcW w:w="4644" w:type="dxa"/>
                </w:tcPr>
                <w:p w14:paraId="580DA06B" w14:textId="77777777" w:rsidR="005D2B7C" w:rsidRPr="00843717" w:rsidRDefault="005D2B7C" w:rsidP="005D2B7C">
                  <w:pPr>
                    <w:pStyle w:val="Default"/>
                    <w:rPr>
                      <w:sz w:val="22"/>
                      <w:szCs w:val="22"/>
                    </w:rPr>
                  </w:pPr>
                  <w:r w:rsidRPr="00843717">
                    <w:rPr>
                      <w:sz w:val="22"/>
                      <w:szCs w:val="22"/>
                    </w:rPr>
                    <w:t>Suspected</w:t>
                  </w:r>
                </w:p>
                <w:p w14:paraId="1DD00483" w14:textId="77777777" w:rsidR="005D2B7C" w:rsidRPr="00843717" w:rsidRDefault="005D2B7C" w:rsidP="005D2B7C">
                  <w:pPr>
                    <w:pStyle w:val="Default"/>
                    <w:rPr>
                      <w:sz w:val="22"/>
                      <w:szCs w:val="22"/>
                    </w:rPr>
                  </w:pPr>
                  <w:r w:rsidRPr="00843717">
                    <w:rPr>
                      <w:sz w:val="22"/>
                      <w:szCs w:val="22"/>
                    </w:rPr>
                    <w:t>Pancreatitis</w:t>
                  </w:r>
                </w:p>
              </w:tc>
              <w:tc>
                <w:tcPr>
                  <w:tcW w:w="5670" w:type="dxa"/>
                  <w:shd w:val="pct10" w:color="auto" w:fill="auto"/>
                </w:tcPr>
                <w:p w14:paraId="5049CEAF" w14:textId="77777777" w:rsidR="005D2B7C" w:rsidRPr="00843717" w:rsidRDefault="005D2B7C" w:rsidP="005D2B7C">
                  <w:pPr>
                    <w:pStyle w:val="Default"/>
                    <w:rPr>
                      <w:sz w:val="22"/>
                      <w:szCs w:val="22"/>
                    </w:rPr>
                  </w:pPr>
                  <w:r w:rsidRPr="00843717">
                    <w:rPr>
                      <w:b/>
                      <w:sz w:val="22"/>
                      <w:szCs w:val="22"/>
                    </w:rPr>
                    <w:t>Check amylase level and STOP DRUG</w:t>
                  </w:r>
                  <w:r w:rsidRPr="00843717">
                    <w:rPr>
                      <w:sz w:val="22"/>
                      <w:szCs w:val="22"/>
                    </w:rPr>
                    <w:t xml:space="preserve"> until result of amylase is available.  If amylase </w:t>
                  </w:r>
                  <w:r w:rsidRPr="00843717">
                    <w:rPr>
                      <w:color w:val="auto"/>
                      <w:sz w:val="22"/>
                      <w:szCs w:val="22"/>
                    </w:rPr>
                    <w:t>raised,</w:t>
                  </w:r>
                  <w:r w:rsidRPr="00843717">
                    <w:rPr>
                      <w:i/>
                      <w:color w:val="FF0000"/>
                      <w:sz w:val="22"/>
                      <w:szCs w:val="22"/>
                    </w:rPr>
                    <w:t xml:space="preserve"> </w:t>
                  </w:r>
                  <w:r w:rsidRPr="00843717">
                    <w:rPr>
                      <w:sz w:val="22"/>
                      <w:szCs w:val="22"/>
                    </w:rPr>
                    <w:t>withhold until discussed with specialist team.</w:t>
                  </w:r>
                </w:p>
                <w:p w14:paraId="3A8AF926" w14:textId="77777777" w:rsidR="005D2B7C" w:rsidRPr="00843717" w:rsidRDefault="005D2B7C" w:rsidP="005D2B7C">
                  <w:pPr>
                    <w:pStyle w:val="Default"/>
                    <w:rPr>
                      <w:sz w:val="22"/>
                      <w:szCs w:val="22"/>
                    </w:rPr>
                  </w:pPr>
                  <w:r w:rsidRPr="00843717">
                    <w:rPr>
                      <w:sz w:val="22"/>
                      <w:szCs w:val="22"/>
                    </w:rPr>
                    <w:t>Make clinical assessment and refer to hospital if appropriate.  Check Amylase, FBC, LFT, U&amp;E, CRP.</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B0657A2" w14:textId="77777777" w:rsidR="00D73BA6" w:rsidRPr="005430C6" w:rsidRDefault="00D73BA6" w:rsidP="00004CD4">
      <w:pPr>
        <w:keepNext/>
        <w:spacing w:after="0" w:line="240" w:lineRule="auto"/>
        <w:contextualSpacing/>
        <w:jc w:val="both"/>
        <w:outlineLvl w:val="0"/>
        <w:rPr>
          <w:rFonts w:ascii="Arial" w:eastAsia="Times New Roman" w:hAnsi="Arial" w:cs="Times New Roman"/>
          <w:b/>
          <w:bCs/>
          <w:sz w:val="18"/>
          <w:szCs w:val="24"/>
        </w:rPr>
      </w:pPr>
    </w:p>
    <w:p w14:paraId="2D5CA417" w14:textId="77777777" w:rsidR="00A23128" w:rsidRDefault="00004CD4" w:rsidP="00B10C94">
      <w:pPr>
        <w:pBdr>
          <w:top w:val="single" w:sz="4" w:space="1" w:color="auto"/>
          <w:left w:val="single" w:sz="4" w:space="4" w:color="auto"/>
          <w:bottom w:val="single" w:sz="4" w:space="0" w:color="auto"/>
          <w:right w:val="single" w:sz="4" w:space="5" w:color="auto"/>
        </w:pBdr>
        <w:spacing w:after="0"/>
      </w:pPr>
      <w:r w:rsidRPr="00004CD4">
        <w:rPr>
          <w:rFonts w:ascii="Arial" w:eastAsia="Times New Roman" w:hAnsi="Arial" w:cs="Times New Roman"/>
          <w:b/>
          <w:bCs/>
          <w:szCs w:val="24"/>
        </w:rPr>
        <w:t>CONTRAINDICATIONS AND PRECAUTIONS</w:t>
      </w:r>
      <w:r w:rsidR="00A23128" w:rsidRPr="00A23128">
        <w:t xml:space="preserve"> </w:t>
      </w:r>
      <w:r w:rsidR="00A543B5">
        <w:rPr>
          <w:rFonts w:ascii="Arial" w:hAnsi="Arial" w:cs="Arial"/>
          <w:b/>
          <w:bCs/>
        </w:rPr>
        <w:t xml:space="preserve"> </w:t>
      </w:r>
      <w:r w:rsidR="00A543B5" w:rsidRPr="00D73BA6">
        <w:rPr>
          <w:rFonts w:ascii="Arial" w:hAnsi="Arial" w:cs="Arial"/>
          <w:b/>
          <w:bCs/>
        </w:rPr>
        <w:t xml:space="preserve">(REFER TO </w:t>
      </w:r>
      <w:hyperlink r:id="rId17"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8"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034CEAC4"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Pr>
          <w:rFonts w:ascii="Arial" w:eastAsia="Times New Roman" w:hAnsi="Arial" w:cs="Arial"/>
          <w:b/>
          <w:bCs/>
          <w:szCs w:val="24"/>
        </w:rPr>
        <w:t xml:space="preserve">Renal </w:t>
      </w:r>
      <w:r w:rsidRPr="00843717">
        <w:rPr>
          <w:rFonts w:ascii="Arial" w:eastAsia="Times New Roman" w:hAnsi="Arial" w:cs="Arial"/>
          <w:b/>
          <w:bCs/>
          <w:szCs w:val="24"/>
        </w:rPr>
        <w:t>impairment</w:t>
      </w:r>
      <w:r>
        <w:rPr>
          <w:rFonts w:ascii="Arial" w:eastAsia="Times New Roman" w:hAnsi="Arial" w:cs="Arial"/>
          <w:bCs/>
          <w:szCs w:val="24"/>
        </w:rPr>
        <w:t>:</w:t>
      </w:r>
      <w:r w:rsidRPr="00843717">
        <w:rPr>
          <w:rFonts w:ascii="Arial" w:eastAsia="Times New Roman" w:hAnsi="Arial" w:cs="Arial"/>
          <w:bCs/>
          <w:szCs w:val="24"/>
        </w:rPr>
        <w:t xml:space="preserve"> Caution is advised regarding adequacy of renal function if azathioprine</w:t>
      </w:r>
      <w:r>
        <w:rPr>
          <w:rFonts w:ascii="Arial" w:eastAsia="Times New Roman" w:hAnsi="Arial" w:cs="Arial"/>
          <w:bCs/>
          <w:szCs w:val="24"/>
        </w:rPr>
        <w:t>/MP</w:t>
      </w:r>
      <w:r w:rsidRPr="00843717">
        <w:rPr>
          <w:rFonts w:ascii="Arial" w:eastAsia="Times New Roman" w:hAnsi="Arial" w:cs="Arial"/>
          <w:bCs/>
          <w:szCs w:val="24"/>
        </w:rPr>
        <w:t xml:space="preserve"> is to be used concomitantly with NSAIDs, ACE inhibitors or angiotensin II antagonists. </w:t>
      </w:r>
    </w:p>
    <w:p w14:paraId="38D712BB" w14:textId="77777777" w:rsidR="00E22C66" w:rsidRPr="00A14C22"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0C7F57">
        <w:rPr>
          <w:rFonts w:ascii="Arial" w:eastAsia="Times New Roman" w:hAnsi="Arial" w:cs="Arial"/>
          <w:b/>
          <w:bCs/>
          <w:szCs w:val="24"/>
        </w:rPr>
        <w:t>Elderly</w:t>
      </w:r>
      <w:r>
        <w:rPr>
          <w:rFonts w:ascii="Arial" w:eastAsia="Times New Roman" w:hAnsi="Arial" w:cs="Arial"/>
          <w:b/>
          <w:bCs/>
          <w:szCs w:val="24"/>
        </w:rPr>
        <w:t xml:space="preserve">: </w:t>
      </w:r>
      <w:r>
        <w:rPr>
          <w:rFonts w:ascii="Arial" w:eastAsia="Times New Roman" w:hAnsi="Arial" w:cs="Arial"/>
          <w:bCs/>
          <w:szCs w:val="24"/>
        </w:rPr>
        <w:t>dosages should be used at the lower end of the range.</w:t>
      </w:r>
    </w:p>
    <w:p w14:paraId="2DF66C40" w14:textId="43ED8815"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I</w:t>
      </w:r>
      <w:r w:rsidRPr="00843717">
        <w:rPr>
          <w:rFonts w:ascii="Arial" w:eastAsia="Times New Roman" w:hAnsi="Arial" w:cs="Arial"/>
          <w:b/>
          <w:bCs/>
          <w:szCs w:val="24"/>
        </w:rPr>
        <w:t>nfection</w:t>
      </w:r>
      <w:r>
        <w:rPr>
          <w:rFonts w:ascii="Arial" w:eastAsia="Times New Roman" w:hAnsi="Arial" w:cs="Arial"/>
          <w:bCs/>
          <w:szCs w:val="24"/>
        </w:rPr>
        <w:t>:</w:t>
      </w:r>
      <w:r w:rsidRPr="00843717">
        <w:rPr>
          <w:rFonts w:ascii="Arial" w:eastAsia="Times New Roman" w:hAnsi="Arial" w:cs="Arial"/>
          <w:bCs/>
          <w:szCs w:val="24"/>
        </w:rPr>
        <w:t xml:space="preserve"> Immunosuppressants can increase susceptibility to infection. It is advisable not to commence treatment with azathioprine when patients have a confirmed or established local or systemic infection.</w:t>
      </w:r>
      <w:r w:rsidR="008431CE" w:rsidRPr="008431CE">
        <w:t xml:space="preserve"> </w:t>
      </w:r>
      <w:r w:rsidR="008431CE" w:rsidRPr="008431CE">
        <w:rPr>
          <w:rFonts w:ascii="Arial" w:eastAsia="Times New Roman" w:hAnsi="Arial" w:cs="Arial"/>
          <w:bCs/>
          <w:szCs w:val="24"/>
        </w:rPr>
        <w:t>For minor infection requiring a short oral course of antibiotics eg dental, URTI or uncomplicated UTI, depending on the circumstance thiopurines may be continued in patients. Check FBC and STOP DRUG if WCC low (see monitoring section)</w:t>
      </w:r>
      <w:r w:rsidR="008431CE">
        <w:rPr>
          <w:rFonts w:ascii="Arial" w:eastAsia="Times New Roman" w:hAnsi="Arial" w:cs="Arial"/>
          <w:bCs/>
          <w:szCs w:val="24"/>
        </w:rPr>
        <w:t>.</w:t>
      </w:r>
    </w:p>
    <w:p w14:paraId="61A39556" w14:textId="4DB2EC7C"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Nausea</w:t>
      </w:r>
      <w:r>
        <w:rPr>
          <w:rFonts w:ascii="Arial" w:eastAsia="Times New Roman" w:hAnsi="Arial" w:cs="Arial"/>
          <w:b/>
          <w:bCs/>
          <w:szCs w:val="24"/>
        </w:rPr>
        <w:t>:</w:t>
      </w:r>
      <w:r w:rsidRPr="00843717">
        <w:rPr>
          <w:rFonts w:ascii="Arial" w:eastAsia="Times New Roman" w:hAnsi="Arial" w:cs="Arial"/>
          <w:b/>
          <w:bCs/>
          <w:szCs w:val="24"/>
        </w:rPr>
        <w:t xml:space="preserve"> </w:t>
      </w:r>
      <w:r w:rsidRPr="00843717">
        <w:rPr>
          <w:rFonts w:ascii="Arial" w:eastAsia="Times New Roman" w:hAnsi="Arial" w:cs="Arial"/>
          <w:bCs/>
          <w:szCs w:val="24"/>
        </w:rPr>
        <w:t>can occur initially but can be reduced by taking the tablets after food.</w:t>
      </w:r>
      <w:r w:rsidR="00AE36F1">
        <w:rPr>
          <w:rFonts w:ascii="Arial" w:eastAsia="Times New Roman" w:hAnsi="Arial" w:cs="Arial"/>
          <w:bCs/>
          <w:szCs w:val="24"/>
        </w:rPr>
        <w:t xml:space="preserve"> </w:t>
      </w:r>
    </w:p>
    <w:p w14:paraId="5BA4E606"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Blood disorders</w:t>
      </w:r>
      <w:r w:rsidRPr="00843717">
        <w:rPr>
          <w:rFonts w:ascii="Arial" w:eastAsia="Times New Roman" w:hAnsi="Arial" w:cs="Arial"/>
          <w:bCs/>
          <w:szCs w:val="24"/>
        </w:rPr>
        <w:t xml:space="preserve">: leucopenia, anaemia and thrombocytopenia. GPs should be alert to any oral ulceration, sore throat, unexplained rash or abnormal bruising/bleeding. </w:t>
      </w:r>
    </w:p>
    <w:p w14:paraId="60194F97"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Pregnancy / contraception</w:t>
      </w:r>
      <w:r>
        <w:rPr>
          <w:rFonts w:ascii="Arial" w:eastAsia="Times New Roman" w:hAnsi="Arial" w:cs="Arial"/>
          <w:bCs/>
          <w:szCs w:val="24"/>
        </w:rPr>
        <w:t>:</w:t>
      </w:r>
      <w:r w:rsidRPr="00843717">
        <w:rPr>
          <w:rFonts w:ascii="Arial" w:eastAsia="Times New Roman" w:hAnsi="Arial" w:cs="Arial"/>
          <w:bCs/>
          <w:szCs w:val="24"/>
        </w:rPr>
        <w:t xml:space="preserve"> </w:t>
      </w:r>
      <w:r>
        <w:rPr>
          <w:rFonts w:ascii="Arial" w:eastAsia="Times New Roman" w:hAnsi="Arial" w:cs="Arial"/>
          <w:bCs/>
          <w:szCs w:val="24"/>
        </w:rPr>
        <w:t>Relevant patients should receive information on risk benefit in pregnancy and contraception before initiation. If pregnancy occurs while on treatment, a</w:t>
      </w:r>
      <w:r w:rsidRPr="00843717">
        <w:rPr>
          <w:rFonts w:ascii="Arial" w:eastAsia="Times New Roman" w:hAnsi="Arial" w:cs="Arial"/>
          <w:bCs/>
          <w:szCs w:val="24"/>
        </w:rPr>
        <w:t>dvise patient to continue with azathioprine</w:t>
      </w:r>
      <w:r>
        <w:rPr>
          <w:rFonts w:ascii="Arial" w:eastAsia="Times New Roman" w:hAnsi="Arial" w:cs="Arial"/>
          <w:bCs/>
          <w:szCs w:val="24"/>
        </w:rPr>
        <w:t xml:space="preserve">/mercaptopurine </w:t>
      </w:r>
      <w:r w:rsidRPr="00843717">
        <w:rPr>
          <w:rFonts w:ascii="Arial" w:eastAsia="Times New Roman" w:hAnsi="Arial" w:cs="Arial"/>
          <w:bCs/>
          <w:szCs w:val="24"/>
        </w:rPr>
        <w:t>and to contact their specialist</w:t>
      </w:r>
      <w:r>
        <w:rPr>
          <w:rFonts w:ascii="Arial" w:eastAsia="Times New Roman" w:hAnsi="Arial" w:cs="Arial"/>
          <w:bCs/>
          <w:szCs w:val="24"/>
        </w:rPr>
        <w:t>.</w:t>
      </w:r>
      <w:r w:rsidRPr="00843717">
        <w:rPr>
          <w:rFonts w:ascii="Arial" w:eastAsia="Times New Roman" w:hAnsi="Arial" w:cs="Arial"/>
          <w:bCs/>
          <w:szCs w:val="24"/>
        </w:rPr>
        <w:t xml:space="preserve"> </w:t>
      </w:r>
    </w:p>
    <w:p w14:paraId="460F44C6"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Breastfeeding</w:t>
      </w:r>
      <w:r>
        <w:rPr>
          <w:rFonts w:ascii="Arial" w:eastAsia="Times New Roman" w:hAnsi="Arial" w:cs="Arial"/>
          <w:bCs/>
          <w:szCs w:val="24"/>
        </w:rPr>
        <w:t>:</w:t>
      </w:r>
      <w:r w:rsidRPr="00843717">
        <w:rPr>
          <w:rFonts w:ascii="Arial" w:eastAsia="Times New Roman" w:hAnsi="Arial" w:cs="Arial"/>
          <w:bCs/>
          <w:szCs w:val="24"/>
        </w:rPr>
        <w:t xml:space="preserve"> </w:t>
      </w:r>
      <w:r>
        <w:rPr>
          <w:rFonts w:ascii="Arial" w:eastAsia="Times New Roman" w:hAnsi="Arial" w:cs="Arial"/>
          <w:bCs/>
          <w:szCs w:val="24"/>
        </w:rPr>
        <w:t xml:space="preserve">Azathioprine considered compatible with breast feeding at a dose less than 2mg/kg/day. </w:t>
      </w:r>
    </w:p>
    <w:p w14:paraId="52CE2F81"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lastRenderedPageBreak/>
        <w:t>Cancer risk</w:t>
      </w:r>
      <w:r>
        <w:rPr>
          <w:rFonts w:ascii="Arial" w:eastAsia="Times New Roman" w:hAnsi="Arial" w:cs="Arial"/>
          <w:bCs/>
          <w:szCs w:val="24"/>
        </w:rPr>
        <w:t>:</w:t>
      </w:r>
      <w:r w:rsidRPr="00843717">
        <w:rPr>
          <w:rFonts w:ascii="Arial" w:eastAsia="Times New Roman" w:hAnsi="Arial" w:cs="Arial"/>
          <w:bCs/>
          <w:szCs w:val="24"/>
        </w:rPr>
        <w:t xml:space="preserve">  Patients receiving long-term immunosuppressive drugs are at increased risk of developing a malignancy. The most frequently occurring types are lymphoma and skin malignancy. The avoidance of excessive exposure to the sun, and the use of high factor sunscreen and protective clothing are advised. Adherence to population screening programmes is particularly important in this population e.g. cervical screening every 3 years.</w:t>
      </w:r>
    </w:p>
    <w:p w14:paraId="4B013DF5"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Pr>
          <w:rFonts w:ascii="Arial" w:eastAsia="Times New Roman" w:hAnsi="Arial" w:cs="Arial"/>
          <w:b/>
          <w:bCs/>
          <w:szCs w:val="24"/>
        </w:rPr>
        <w:t>Live vaccines:</w:t>
      </w:r>
      <w:r w:rsidRPr="00843717">
        <w:rPr>
          <w:rFonts w:ascii="Arial" w:eastAsia="Times New Roman" w:hAnsi="Arial" w:cs="Arial"/>
          <w:bCs/>
          <w:szCs w:val="24"/>
        </w:rPr>
        <w:t xml:space="preserve"> Consult the Green Book and take additional advice from initiating specialist if required.  </w:t>
      </w:r>
      <w:r w:rsidRPr="00843717">
        <w:rPr>
          <w:rFonts w:ascii="Arial" w:eastAsia="Times New Roman" w:hAnsi="Arial" w:cs="Arial"/>
          <w:b/>
          <w:bCs/>
          <w:szCs w:val="24"/>
        </w:rPr>
        <w:t>Contraindications</w:t>
      </w:r>
      <w:r w:rsidRPr="00843717">
        <w:rPr>
          <w:rFonts w:ascii="Arial" w:eastAsia="Times New Roman" w:hAnsi="Arial" w:cs="Arial"/>
          <w:bCs/>
          <w:szCs w:val="24"/>
        </w:rPr>
        <w:t xml:space="preserve"> include: </w:t>
      </w:r>
    </w:p>
    <w:p w14:paraId="09B2AE88"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w:t>
      </w:r>
      <w:r w:rsidRPr="00843717">
        <w:rPr>
          <w:rFonts w:ascii="Arial" w:eastAsia="Times New Roman" w:hAnsi="Arial" w:cs="Arial"/>
          <w:bCs/>
          <w:szCs w:val="24"/>
        </w:rPr>
        <w:tab/>
        <w:t xml:space="preserve">Hypersensitivity to </w:t>
      </w:r>
      <w:r>
        <w:rPr>
          <w:rFonts w:ascii="Arial" w:eastAsia="Times New Roman" w:hAnsi="Arial" w:cs="Arial"/>
          <w:bCs/>
          <w:szCs w:val="24"/>
        </w:rPr>
        <w:t>azathioprine/</w:t>
      </w:r>
      <w:r w:rsidRPr="00843717">
        <w:rPr>
          <w:rFonts w:ascii="Arial" w:eastAsia="Times New Roman" w:hAnsi="Arial" w:cs="Arial"/>
          <w:bCs/>
          <w:szCs w:val="24"/>
        </w:rPr>
        <w:t xml:space="preserve">mercaptopurine </w:t>
      </w:r>
    </w:p>
    <w:p w14:paraId="26DE58AC"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w:t>
      </w:r>
      <w:r w:rsidRPr="00843717">
        <w:rPr>
          <w:rFonts w:ascii="Arial" w:eastAsia="Times New Roman" w:hAnsi="Arial" w:cs="Arial"/>
          <w:bCs/>
          <w:szCs w:val="24"/>
        </w:rPr>
        <w:tab/>
        <w:t xml:space="preserve">Severe hepatic impairment </w:t>
      </w:r>
    </w:p>
    <w:p w14:paraId="3AFC79FA"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w:t>
      </w:r>
      <w:r w:rsidRPr="00843717">
        <w:rPr>
          <w:rFonts w:ascii="Arial" w:eastAsia="Times New Roman" w:hAnsi="Arial" w:cs="Arial"/>
          <w:bCs/>
          <w:szCs w:val="24"/>
        </w:rPr>
        <w:tab/>
        <w:t>TPMT deficiency - avoid if deficient or reduce dose if low levels of TPMT</w:t>
      </w:r>
      <w:r>
        <w:rPr>
          <w:rFonts w:ascii="Arial" w:eastAsia="Times New Roman" w:hAnsi="Arial" w:cs="Arial"/>
          <w:bCs/>
          <w:szCs w:val="24"/>
        </w:rPr>
        <w:t xml:space="preserve"> on advice of specialist</w:t>
      </w:r>
    </w:p>
    <w:p w14:paraId="242F57F5" w14:textId="52324F93" w:rsidR="00B061F6" w:rsidRPr="00B061F6" w:rsidRDefault="00E22C66" w:rsidP="00B061F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What to do if Chickenpo</w:t>
      </w:r>
      <w:r>
        <w:rPr>
          <w:rFonts w:ascii="Arial" w:eastAsia="Times New Roman" w:hAnsi="Arial" w:cs="Arial"/>
          <w:b/>
          <w:bCs/>
          <w:szCs w:val="24"/>
        </w:rPr>
        <w:t>x or shingles exposure:</w:t>
      </w:r>
      <w:r>
        <w:rPr>
          <w:rFonts w:ascii="Arial" w:eastAsia="Times New Roman" w:hAnsi="Arial" w:cs="Arial"/>
          <w:bCs/>
          <w:szCs w:val="24"/>
        </w:rPr>
        <w:t xml:space="preserve"> </w:t>
      </w:r>
      <w:r w:rsidRPr="001B4F65">
        <w:rPr>
          <w:rFonts w:ascii="Arial" w:eastAsia="Times New Roman" w:hAnsi="Arial" w:cs="Arial"/>
          <w:bCs/>
          <w:szCs w:val="24"/>
        </w:rPr>
        <w:t xml:space="preserve">For susceptible immunosuppressed individuals with significant exposure to chickenpox (varicella) or shingles (zoster), follow latest national guidance on post exposure prophylaxis and use of anti-virals and varicella zoster immunoglobulin (VZIG) </w:t>
      </w:r>
      <w:hyperlink r:id="rId19" w:history="1">
        <w:r w:rsidRPr="003C3EFF">
          <w:rPr>
            <w:rStyle w:val="Hyperlink"/>
            <w:rFonts w:ascii="Arial" w:eastAsia="Times New Roman" w:hAnsi="Arial" w:cs="Arial"/>
            <w:bCs/>
            <w:szCs w:val="24"/>
          </w:rPr>
          <w:t>https://assets.publishing.service.gov.uk/media/63e230638fa8f50e86ff1ae4/UKHSA-guidelines-on-VZ-post-exposure-prophylaxis-january-2023.pdf</w:t>
        </w:r>
      </w:hyperlink>
      <w:r w:rsidRPr="003C3EFF">
        <w:rPr>
          <w:rFonts w:ascii="Arial" w:eastAsia="Times New Roman" w:hAnsi="Arial" w:cs="Arial"/>
          <w:bCs/>
          <w:szCs w:val="24"/>
        </w:rPr>
        <w:t>. Stop</w:t>
      </w:r>
      <w:r w:rsidRPr="001B4F65">
        <w:rPr>
          <w:rFonts w:ascii="Arial" w:eastAsia="Times New Roman" w:hAnsi="Arial" w:cs="Arial"/>
          <w:bCs/>
          <w:szCs w:val="24"/>
        </w:rPr>
        <w:t xml:space="preserve"> azathioprine / MP and contact specialist team for advice if there </w:t>
      </w:r>
      <w:r>
        <w:rPr>
          <w:rFonts w:ascii="Arial" w:eastAsia="Times New Roman" w:hAnsi="Arial" w:cs="Arial"/>
          <w:bCs/>
          <w:szCs w:val="24"/>
        </w:rPr>
        <w:t xml:space="preserve">are </w:t>
      </w:r>
      <w:r w:rsidRPr="001B4F65">
        <w:rPr>
          <w:rFonts w:ascii="Arial" w:eastAsia="Times New Roman" w:hAnsi="Arial" w:cs="Arial"/>
          <w:bCs/>
          <w:szCs w:val="24"/>
        </w:rPr>
        <w:t>any concerns.</w:t>
      </w: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20"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1"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613043CC"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843717">
        <w:rPr>
          <w:rFonts w:ascii="Arial" w:eastAsia="Times New Roman" w:hAnsi="Arial" w:cs="Arial"/>
          <w:b/>
          <w:bCs/>
        </w:rPr>
        <w:t>Common drug interactions</w:t>
      </w:r>
    </w:p>
    <w:p w14:paraId="13A5DFA6" w14:textId="6F238E52" w:rsidR="005D2B7C" w:rsidRPr="000C7F5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Pr>
          <w:rFonts w:ascii="Arial" w:eastAsia="Times New Roman" w:hAnsi="Arial" w:cs="Arial"/>
          <w:b/>
          <w:bCs/>
        </w:rPr>
        <w:t xml:space="preserve">ACE inhibitors: </w:t>
      </w:r>
      <w:r>
        <w:rPr>
          <w:rFonts w:ascii="Arial" w:eastAsia="Times New Roman" w:hAnsi="Arial" w:cs="Arial"/>
          <w:bCs/>
        </w:rPr>
        <w:t>predicted to increase risk of anaemia/leucopenia when given with azathioprine</w:t>
      </w:r>
      <w:r w:rsidR="00E22C66">
        <w:rPr>
          <w:rFonts w:ascii="Arial" w:eastAsia="Times New Roman" w:hAnsi="Arial" w:cs="Arial"/>
          <w:bCs/>
        </w:rPr>
        <w:t>.</w:t>
      </w:r>
    </w:p>
    <w:p w14:paraId="5D81A46A"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843717">
        <w:rPr>
          <w:rFonts w:ascii="Arial" w:eastAsia="Times New Roman" w:hAnsi="Arial" w:cs="Arial"/>
          <w:b/>
          <w:bCs/>
        </w:rPr>
        <w:t>Allopurinol</w:t>
      </w:r>
      <w:r>
        <w:rPr>
          <w:rFonts w:ascii="Arial" w:eastAsia="Times New Roman" w:hAnsi="Arial" w:cs="Arial"/>
          <w:b/>
          <w:bCs/>
        </w:rPr>
        <w:t>:</w:t>
      </w:r>
      <w:r w:rsidRPr="00843717">
        <w:rPr>
          <w:rFonts w:ascii="Arial" w:eastAsia="Times New Roman" w:hAnsi="Arial" w:cs="Arial"/>
          <w:bCs/>
        </w:rPr>
        <w:t xml:space="preserve"> prolongs activity of azathioprine</w:t>
      </w:r>
      <w:r>
        <w:rPr>
          <w:rFonts w:ascii="Arial" w:eastAsia="Times New Roman" w:hAnsi="Arial" w:cs="Arial"/>
          <w:bCs/>
        </w:rPr>
        <w:t>/mercaptopurine</w:t>
      </w:r>
      <w:r w:rsidRPr="00843717">
        <w:rPr>
          <w:rFonts w:ascii="Arial" w:eastAsia="Times New Roman" w:hAnsi="Arial" w:cs="Arial"/>
          <w:bCs/>
        </w:rPr>
        <w:t xml:space="preserve"> increasing risk of severe myelosuppression. </w:t>
      </w:r>
      <w:r w:rsidRPr="00843717">
        <w:rPr>
          <w:rFonts w:ascii="Arial" w:eastAsia="Times New Roman" w:hAnsi="Arial" w:cs="Arial"/>
          <w:b/>
          <w:bCs/>
        </w:rPr>
        <w:t>If it must be given concomitantly</w:t>
      </w:r>
      <w:r>
        <w:rPr>
          <w:rFonts w:ascii="Arial" w:eastAsia="Times New Roman" w:hAnsi="Arial" w:cs="Arial"/>
          <w:b/>
          <w:bCs/>
        </w:rPr>
        <w:t xml:space="preserve"> contact specialist</w:t>
      </w:r>
      <w:r w:rsidRPr="00843717">
        <w:rPr>
          <w:rFonts w:ascii="Arial" w:eastAsia="Times New Roman" w:hAnsi="Arial" w:cs="Arial"/>
          <w:b/>
          <w:bCs/>
        </w:rPr>
        <w:t>, it is essential that only a quarter of the usual dose of azathioprine</w:t>
      </w:r>
      <w:r>
        <w:rPr>
          <w:rFonts w:ascii="Arial" w:eastAsia="Times New Roman" w:hAnsi="Arial" w:cs="Arial"/>
          <w:b/>
          <w:bCs/>
        </w:rPr>
        <w:t>/mercaptopurine</w:t>
      </w:r>
      <w:r w:rsidRPr="00843717">
        <w:rPr>
          <w:rFonts w:ascii="Arial" w:eastAsia="Times New Roman" w:hAnsi="Arial" w:cs="Arial"/>
          <w:b/>
          <w:bCs/>
        </w:rPr>
        <w:t xml:space="preserve"> is given. </w:t>
      </w:r>
    </w:p>
    <w:p w14:paraId="518D70CA"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Aminosalicylates</w:t>
      </w:r>
      <w:r>
        <w:rPr>
          <w:rFonts w:ascii="Arial" w:eastAsia="Times New Roman" w:hAnsi="Arial" w:cs="Arial"/>
          <w:b/>
          <w:bCs/>
        </w:rPr>
        <w:t>:</w:t>
      </w:r>
      <w:r w:rsidRPr="00843717">
        <w:rPr>
          <w:rFonts w:ascii="Arial" w:eastAsia="Times New Roman" w:hAnsi="Arial" w:cs="Arial"/>
          <w:b/>
          <w:bCs/>
        </w:rPr>
        <w:t xml:space="preserve"> </w:t>
      </w:r>
      <w:r w:rsidRPr="00843717">
        <w:rPr>
          <w:rFonts w:ascii="Arial" w:eastAsia="Times New Roman" w:hAnsi="Arial" w:cs="Arial"/>
          <w:bCs/>
        </w:rPr>
        <w:t xml:space="preserve">(eg. sulfasalazine) contribute to bone marrow toxicity and increased monitoring is recommended – some gastroenterology patients will be on both – specialist will confirm. </w:t>
      </w:r>
    </w:p>
    <w:p w14:paraId="3A2CE002"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Febuxostat:</w:t>
      </w:r>
      <w:r w:rsidRPr="00843717">
        <w:rPr>
          <w:rFonts w:ascii="Arial" w:eastAsia="Times New Roman" w:hAnsi="Arial" w:cs="Arial"/>
          <w:bCs/>
        </w:rPr>
        <w:t xml:space="preserve"> avoid concomitant use. </w:t>
      </w:r>
    </w:p>
    <w:p w14:paraId="669A7268"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Ribavarin</w:t>
      </w:r>
      <w:r w:rsidRPr="00843717">
        <w:rPr>
          <w:rFonts w:ascii="Arial" w:eastAsia="Times New Roman" w:hAnsi="Arial" w:cs="Arial"/>
          <w:bCs/>
        </w:rPr>
        <w:t>: increases risk of myelosuppression.</w:t>
      </w:r>
    </w:p>
    <w:p w14:paraId="4E23FD23" w14:textId="77777777" w:rsidR="005D2B7C" w:rsidRPr="000C7F5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Trimethoprim and co-trimoxazole:</w:t>
      </w:r>
      <w:r w:rsidRPr="000C7F57">
        <w:rPr>
          <w:rFonts w:ascii="Arial" w:eastAsia="Times New Roman" w:hAnsi="Arial" w:cs="Arial"/>
          <w:bCs/>
        </w:rPr>
        <w:t xml:space="preserve"> there </w:t>
      </w:r>
      <w:proofErr w:type="gramStart"/>
      <w:r w:rsidRPr="000C7F57">
        <w:rPr>
          <w:rFonts w:ascii="Arial" w:eastAsia="Times New Roman" w:hAnsi="Arial" w:cs="Arial"/>
          <w:bCs/>
        </w:rPr>
        <w:t>is</w:t>
      </w:r>
      <w:proofErr w:type="gramEnd"/>
      <w:r w:rsidRPr="000C7F57">
        <w:rPr>
          <w:rFonts w:ascii="Arial" w:eastAsia="Times New Roman" w:hAnsi="Arial" w:cs="Arial"/>
          <w:bCs/>
        </w:rPr>
        <w:t xml:space="preserve"> a risk of haematological abnormalities.</w:t>
      </w:r>
    </w:p>
    <w:p w14:paraId="55B2FD22" w14:textId="77777777" w:rsidR="005D2B7C"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Warfarin</w:t>
      </w:r>
      <w:r>
        <w:rPr>
          <w:rFonts w:ascii="Arial" w:eastAsia="Times New Roman" w:hAnsi="Arial" w:cs="Arial"/>
          <w:b/>
          <w:bCs/>
        </w:rPr>
        <w:t>:</w:t>
      </w:r>
      <w:r w:rsidRPr="00843717">
        <w:rPr>
          <w:rFonts w:ascii="Arial" w:eastAsia="Times New Roman" w:hAnsi="Arial" w:cs="Arial"/>
          <w:bCs/>
        </w:rPr>
        <w:t xml:space="preserve"> effect may be reduced requiring an increased dose of warfarin.</w:t>
      </w:r>
    </w:p>
    <w:p w14:paraId="4EA5DDE3" w14:textId="77777777" w:rsidR="005D2B7C"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0C7F57">
        <w:rPr>
          <w:rFonts w:ascii="Arial" w:eastAsia="Times New Roman" w:hAnsi="Arial" w:cs="Arial"/>
          <w:b/>
          <w:bCs/>
        </w:rPr>
        <w:t xml:space="preserve">Drugs that can cause myelosuppression: </w:t>
      </w:r>
      <w:r w:rsidRPr="000C7F57">
        <w:rPr>
          <w:rFonts w:ascii="Arial" w:eastAsia="Times New Roman" w:hAnsi="Arial" w:cs="Arial"/>
          <w:bCs/>
        </w:rPr>
        <w:t xml:space="preserve">concurrent use </w:t>
      </w:r>
      <w:r>
        <w:rPr>
          <w:rFonts w:ascii="Arial" w:eastAsia="Times New Roman" w:hAnsi="Arial" w:cs="Arial"/>
          <w:bCs/>
        </w:rPr>
        <w:t xml:space="preserve">may </w:t>
      </w:r>
      <w:r w:rsidRPr="000C7F57">
        <w:rPr>
          <w:rFonts w:ascii="Arial" w:eastAsia="Times New Roman" w:hAnsi="Arial" w:cs="Arial"/>
          <w:bCs/>
        </w:rPr>
        <w:t>increase risk</w:t>
      </w:r>
      <w:r>
        <w:rPr>
          <w:rFonts w:ascii="Arial" w:eastAsia="Times New Roman" w:hAnsi="Arial" w:cs="Arial"/>
          <w:bCs/>
        </w:rPr>
        <w:t>.</w:t>
      </w:r>
    </w:p>
    <w:p w14:paraId="564CF3C2" w14:textId="3E599D5B" w:rsidR="005D2B7C" w:rsidRPr="00843717" w:rsidRDefault="005D2B7C"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0C7F57">
        <w:rPr>
          <w:rFonts w:ascii="Arial" w:eastAsia="Times New Roman" w:hAnsi="Arial" w:cs="Arial"/>
          <w:b/>
          <w:bCs/>
        </w:rPr>
        <w:t>Drugs that can cause hepatotoxicity</w:t>
      </w:r>
      <w:r>
        <w:rPr>
          <w:rFonts w:ascii="Arial" w:eastAsia="Times New Roman" w:hAnsi="Arial" w:cs="Arial"/>
          <w:b/>
          <w:bCs/>
        </w:rPr>
        <w:t xml:space="preserve">: </w:t>
      </w:r>
      <w:r w:rsidRPr="00F3654C">
        <w:rPr>
          <w:rFonts w:ascii="Arial" w:eastAsia="Times New Roman" w:hAnsi="Arial" w:cs="Arial"/>
          <w:bCs/>
        </w:rPr>
        <w:t xml:space="preserve">concurrent use </w:t>
      </w:r>
      <w:r>
        <w:rPr>
          <w:rFonts w:ascii="Arial" w:eastAsia="Times New Roman" w:hAnsi="Arial" w:cs="Arial"/>
          <w:bCs/>
        </w:rPr>
        <w:t xml:space="preserve">may </w:t>
      </w:r>
      <w:r w:rsidRPr="00F3654C">
        <w:rPr>
          <w:rFonts w:ascii="Arial" w:eastAsia="Times New Roman" w:hAnsi="Arial" w:cs="Arial"/>
          <w:bCs/>
        </w:rPr>
        <w:t>increase risk</w:t>
      </w:r>
      <w:r>
        <w:rPr>
          <w:rFonts w:ascii="Arial" w:eastAsia="Times New Roman" w:hAnsi="Arial" w:cs="Arial"/>
          <w:bCs/>
        </w:rPr>
        <w:t>.</w:t>
      </w:r>
    </w:p>
    <w:p w14:paraId="0E7769E3" w14:textId="63099776" w:rsidR="00BE545B" w:rsidRDefault="00BE545B" w:rsidP="00BE545B">
      <w:pPr>
        <w:spacing w:after="0"/>
        <w:rPr>
          <w:rFonts w:ascii="Arial" w:eastAsia="Times New Roman" w:hAnsi="Arial" w:cs="Arial"/>
        </w:rPr>
      </w:pPr>
    </w:p>
    <w:tbl>
      <w:tblPr>
        <w:tblW w:w="107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8"/>
      </w:tblGrid>
      <w:tr w:rsidR="005D2B7C" w:rsidRPr="00CA1BB1" w14:paraId="2CF869CA" w14:textId="77777777" w:rsidTr="00AF05DA">
        <w:trPr>
          <w:trHeight w:val="632"/>
        </w:trPr>
        <w:tc>
          <w:tcPr>
            <w:tcW w:w="10778" w:type="dxa"/>
            <w:shd w:val="clear" w:color="auto" w:fill="auto"/>
          </w:tcPr>
          <w:p w14:paraId="5108ED42" w14:textId="77777777" w:rsidR="005D2B7C" w:rsidRPr="008C60E5" w:rsidRDefault="005D2B7C" w:rsidP="00992C71">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5E82E01B" w14:textId="77777777" w:rsidR="005D2B7C" w:rsidRDefault="005D2B7C" w:rsidP="00992C71">
            <w:pPr>
              <w:spacing w:after="0" w:line="240" w:lineRule="auto"/>
              <w:rPr>
                <w:rFonts w:ascii="Arial" w:eastAsia="Times New Roman" w:hAnsi="Arial" w:cs="Arial"/>
                <w:b/>
                <w:bCs/>
                <w:lang w:eastAsia="en-GB"/>
              </w:rPr>
            </w:pPr>
          </w:p>
          <w:p w14:paraId="5DDC518F" w14:textId="1A7072F4" w:rsidR="005D2B7C" w:rsidRPr="00D43187" w:rsidRDefault="002778A7" w:rsidP="00992C71">
            <w:pPr>
              <w:spacing w:after="120" w:line="240" w:lineRule="auto"/>
              <w:rPr>
                <w:rFonts w:ascii="Arial" w:eastAsia="Times New Roman" w:hAnsi="Arial" w:cs="Arial"/>
                <w:b/>
                <w:bCs/>
                <w:u w:val="single"/>
                <w:lang w:eastAsia="en-GB"/>
              </w:rPr>
            </w:pPr>
            <w:r>
              <w:rPr>
                <w:rFonts w:ascii="Arial" w:eastAsia="Times New Roman" w:hAnsi="Arial" w:cs="Arial"/>
                <w:b/>
                <w:bCs/>
                <w:u w:val="single"/>
                <w:lang w:eastAsia="en-GB"/>
              </w:rPr>
              <w:t>Princess Alexandra Hospital</w:t>
            </w:r>
            <w:r w:rsidR="005D2B7C" w:rsidRPr="00D43187">
              <w:rPr>
                <w:rFonts w:ascii="Arial" w:eastAsia="Times New Roman" w:hAnsi="Arial" w:cs="Arial"/>
                <w:b/>
                <w:bCs/>
                <w:u w:val="single"/>
                <w:lang w:eastAsia="en-GB"/>
              </w:rPr>
              <w:t xml:space="preserve"> NHS Trust</w:t>
            </w:r>
          </w:p>
          <w:tbl>
            <w:tblPr>
              <w:tblStyle w:val="TableGrid"/>
              <w:tblW w:w="10552" w:type="dxa"/>
              <w:tblLook w:val="04A0" w:firstRow="1" w:lastRow="0" w:firstColumn="1" w:lastColumn="0" w:noHBand="0" w:noVBand="1"/>
            </w:tblPr>
            <w:tblGrid>
              <w:gridCol w:w="1883"/>
              <w:gridCol w:w="1510"/>
              <w:gridCol w:w="5599"/>
              <w:gridCol w:w="1560"/>
            </w:tblGrid>
            <w:tr w:rsidR="002778A7" w:rsidRPr="00D43187" w14:paraId="205EC80B" w14:textId="77777777" w:rsidTr="009D3945">
              <w:tc>
                <w:tcPr>
                  <w:tcW w:w="1883" w:type="dxa"/>
                  <w:shd w:val="clear" w:color="auto" w:fill="D9D9D9" w:themeFill="background1" w:themeFillShade="D9"/>
                </w:tcPr>
                <w:p w14:paraId="78514C08" w14:textId="77777777" w:rsidR="002778A7" w:rsidRPr="00D43187" w:rsidRDefault="002778A7" w:rsidP="002778A7">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1510" w:type="dxa"/>
                  <w:shd w:val="clear" w:color="auto" w:fill="D9D9D9" w:themeFill="background1" w:themeFillShade="D9"/>
                </w:tcPr>
                <w:p w14:paraId="61DEB422" w14:textId="77777777" w:rsidR="002778A7" w:rsidRPr="00D43187" w:rsidRDefault="002778A7" w:rsidP="002778A7">
                  <w:pPr>
                    <w:spacing w:after="4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5599" w:type="dxa"/>
                  <w:shd w:val="clear" w:color="auto" w:fill="D9D9D9" w:themeFill="background1" w:themeFillShade="D9"/>
                </w:tcPr>
                <w:p w14:paraId="37B1657A" w14:textId="77777777" w:rsidR="002778A7" w:rsidRPr="00D43187" w:rsidRDefault="002778A7" w:rsidP="002778A7">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560" w:type="dxa"/>
                  <w:shd w:val="clear" w:color="auto" w:fill="D9D9D9" w:themeFill="background1" w:themeFillShade="D9"/>
                </w:tcPr>
                <w:p w14:paraId="2B8ECD17" w14:textId="77777777" w:rsidR="002778A7" w:rsidRPr="00D43187" w:rsidRDefault="002778A7" w:rsidP="002778A7">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9D3945" w:rsidRPr="00D43187" w14:paraId="42995818" w14:textId="77777777" w:rsidTr="002778A7">
              <w:tc>
                <w:tcPr>
                  <w:tcW w:w="1883" w:type="dxa"/>
                </w:tcPr>
                <w:p w14:paraId="6F2D1BEB" w14:textId="77777777" w:rsidR="009D3945" w:rsidRPr="00D43187" w:rsidRDefault="009D3945" w:rsidP="002778A7">
                  <w:pPr>
                    <w:spacing w:after="40"/>
                    <w:rPr>
                      <w:rFonts w:ascii="Arial" w:eastAsia="Times New Roman" w:hAnsi="Arial" w:cs="Arial"/>
                      <w:b/>
                      <w:bCs/>
                      <w:sz w:val="20"/>
                      <w:szCs w:val="20"/>
                      <w:lang w:val="en-US" w:eastAsia="en-GB"/>
                    </w:rPr>
                  </w:pPr>
                  <w:r w:rsidRPr="00D43187">
                    <w:rPr>
                      <w:rFonts w:ascii="Arial" w:eastAsia="Times New Roman" w:hAnsi="Arial" w:cs="Arial"/>
                      <w:b/>
                      <w:bCs/>
                      <w:sz w:val="20"/>
                      <w:szCs w:val="20"/>
                      <w:lang w:val="en-US" w:eastAsia="en-GB"/>
                    </w:rPr>
                    <w:t>Gastroenterology</w:t>
                  </w:r>
                </w:p>
              </w:tc>
              <w:tc>
                <w:tcPr>
                  <w:tcW w:w="1510" w:type="dxa"/>
                </w:tcPr>
                <w:p w14:paraId="23B7B8F0" w14:textId="77777777" w:rsidR="00DC56AF" w:rsidRPr="00DC56AF" w:rsidRDefault="00DC56AF" w:rsidP="00DC56AF">
                  <w:pPr>
                    <w:spacing w:after="40"/>
                    <w:rPr>
                      <w:rFonts w:ascii="Arial" w:hAnsi="Arial" w:cs="Arial"/>
                      <w:sz w:val="20"/>
                      <w:szCs w:val="20"/>
                      <w:lang w:eastAsia="en-GB"/>
                    </w:rPr>
                  </w:pPr>
                  <w:r w:rsidRPr="00DC56AF">
                    <w:rPr>
                      <w:rFonts w:ascii="Arial" w:hAnsi="Arial" w:cs="Arial"/>
                      <w:sz w:val="20"/>
                      <w:szCs w:val="20"/>
                      <w:lang w:eastAsia="en-GB"/>
                    </w:rPr>
                    <w:t>01279 278223</w:t>
                  </w:r>
                </w:p>
                <w:p w14:paraId="5A3E9AB7" w14:textId="77777777" w:rsidR="00DC56AF" w:rsidRPr="00DC56AF" w:rsidRDefault="00DC56AF" w:rsidP="00DC56AF">
                  <w:pPr>
                    <w:spacing w:after="40"/>
                    <w:rPr>
                      <w:rFonts w:ascii="Arial" w:hAnsi="Arial" w:cs="Arial"/>
                      <w:sz w:val="20"/>
                      <w:szCs w:val="20"/>
                      <w:lang w:eastAsia="en-GB"/>
                    </w:rPr>
                  </w:pPr>
                  <w:r w:rsidRPr="00DC56AF">
                    <w:rPr>
                      <w:rFonts w:ascii="Arial" w:hAnsi="Arial" w:cs="Arial"/>
                      <w:sz w:val="20"/>
                      <w:szCs w:val="20"/>
                      <w:lang w:eastAsia="en-GB"/>
                    </w:rPr>
                    <w:t>(IBD advice line – answer machine)</w:t>
                  </w:r>
                </w:p>
                <w:p w14:paraId="2EC23BEB" w14:textId="77777777" w:rsidR="00DC56AF" w:rsidRPr="00DC56AF" w:rsidRDefault="00DC56AF" w:rsidP="00DC56AF">
                  <w:pPr>
                    <w:spacing w:after="40"/>
                    <w:rPr>
                      <w:rFonts w:ascii="Arial" w:hAnsi="Arial" w:cs="Arial"/>
                      <w:sz w:val="20"/>
                      <w:szCs w:val="20"/>
                      <w:lang w:eastAsia="en-GB"/>
                    </w:rPr>
                  </w:pPr>
                  <w:r w:rsidRPr="00DC56AF">
                    <w:rPr>
                      <w:rFonts w:ascii="Arial" w:hAnsi="Arial" w:cs="Arial"/>
                      <w:sz w:val="20"/>
                      <w:szCs w:val="20"/>
                      <w:lang w:eastAsia="en-GB"/>
                    </w:rPr>
                    <w:t>01279 278224</w:t>
                  </w:r>
                </w:p>
                <w:p w14:paraId="309502FA" w14:textId="6C816D40" w:rsidR="009D3945" w:rsidRPr="009D3945" w:rsidRDefault="00DC56AF" w:rsidP="00DC56AF">
                  <w:pPr>
                    <w:spacing w:after="40"/>
                    <w:rPr>
                      <w:rFonts w:ascii="Arial" w:hAnsi="Arial" w:cs="Arial"/>
                      <w:sz w:val="20"/>
                      <w:szCs w:val="20"/>
                      <w:lang w:eastAsia="en-GB"/>
                    </w:rPr>
                  </w:pPr>
                  <w:r w:rsidRPr="00DC56AF">
                    <w:rPr>
                      <w:rFonts w:ascii="Arial" w:hAnsi="Arial" w:cs="Arial"/>
                      <w:sz w:val="20"/>
                      <w:szCs w:val="20"/>
                      <w:lang w:eastAsia="en-GB"/>
                    </w:rPr>
                    <w:t>(Gastro Pharmacist)</w:t>
                  </w:r>
                </w:p>
              </w:tc>
              <w:tc>
                <w:tcPr>
                  <w:tcW w:w="5599" w:type="dxa"/>
                </w:tcPr>
                <w:p w14:paraId="5FA00D5B" w14:textId="77777777" w:rsidR="009D3945" w:rsidRPr="009D3945" w:rsidRDefault="00156070" w:rsidP="002778A7">
                  <w:pPr>
                    <w:spacing w:after="40"/>
                    <w:rPr>
                      <w:rFonts w:ascii="Arial" w:hAnsi="Arial" w:cs="Arial"/>
                      <w:sz w:val="20"/>
                      <w:szCs w:val="20"/>
                    </w:rPr>
                  </w:pPr>
                  <w:hyperlink r:id="rId22" w:history="1">
                    <w:r w:rsidR="009D3945" w:rsidRPr="009D3945">
                      <w:rPr>
                        <w:rStyle w:val="Hyperlink"/>
                        <w:rFonts w:ascii="Arial" w:hAnsi="Arial" w:cs="Arial"/>
                        <w:sz w:val="20"/>
                        <w:szCs w:val="20"/>
                      </w:rPr>
                      <w:t>Tpa-tr.gastroadminclinicalcorrespondence@nhs.net</w:t>
                    </w:r>
                  </w:hyperlink>
                </w:p>
                <w:p w14:paraId="1A2D426A" w14:textId="77777777" w:rsidR="009D3945" w:rsidRPr="009D3945" w:rsidRDefault="00156070" w:rsidP="002778A7">
                  <w:pPr>
                    <w:spacing w:after="40"/>
                    <w:rPr>
                      <w:rFonts w:ascii="Arial" w:hAnsi="Arial" w:cs="Arial"/>
                      <w:sz w:val="20"/>
                      <w:szCs w:val="20"/>
                    </w:rPr>
                  </w:pPr>
                  <w:hyperlink r:id="rId23" w:history="1">
                    <w:r w:rsidR="009D3945" w:rsidRPr="009D3945">
                      <w:rPr>
                        <w:rStyle w:val="Hyperlink"/>
                        <w:rFonts w:ascii="Arial" w:hAnsi="Arial" w:cs="Arial"/>
                        <w:sz w:val="20"/>
                        <w:szCs w:val="20"/>
                      </w:rPr>
                      <w:t>Paht.ibd@nhs.net</w:t>
                    </w:r>
                  </w:hyperlink>
                  <w:r w:rsidR="009D3945" w:rsidRPr="009D3945">
                    <w:rPr>
                      <w:rFonts w:ascii="Arial" w:hAnsi="Arial" w:cs="Arial"/>
                      <w:sz w:val="20"/>
                      <w:szCs w:val="20"/>
                    </w:rPr>
                    <w:t xml:space="preserve"> - IBD Specialist Nurse</w:t>
                  </w:r>
                </w:p>
              </w:tc>
              <w:tc>
                <w:tcPr>
                  <w:tcW w:w="1560" w:type="dxa"/>
                  <w:vMerge w:val="restart"/>
                </w:tcPr>
                <w:p w14:paraId="555994A1" w14:textId="77777777" w:rsidR="009D3945" w:rsidRPr="009D3945" w:rsidRDefault="009D3945" w:rsidP="002778A7">
                  <w:pPr>
                    <w:rPr>
                      <w:rFonts w:ascii="Arial" w:eastAsia="Times New Roman" w:hAnsi="Arial" w:cs="Arial"/>
                      <w:bCs/>
                      <w:sz w:val="20"/>
                      <w:szCs w:val="20"/>
                      <w:lang w:eastAsia="en-GB"/>
                    </w:rPr>
                  </w:pPr>
                </w:p>
                <w:p w14:paraId="68A7C033" w14:textId="77777777" w:rsidR="009D3945" w:rsidRPr="009D3945" w:rsidRDefault="009D3945" w:rsidP="002778A7">
                  <w:pPr>
                    <w:rPr>
                      <w:rFonts w:ascii="Arial" w:eastAsia="Times New Roman" w:hAnsi="Arial" w:cs="Arial"/>
                      <w:bCs/>
                      <w:sz w:val="20"/>
                      <w:szCs w:val="20"/>
                      <w:lang w:eastAsia="en-GB"/>
                    </w:rPr>
                  </w:pPr>
                </w:p>
                <w:p w14:paraId="06854AF5" w14:textId="1E25752F" w:rsidR="009D3945" w:rsidRPr="009D3945" w:rsidRDefault="009D3945" w:rsidP="002778A7">
                  <w:pPr>
                    <w:rPr>
                      <w:rFonts w:ascii="Arial" w:eastAsia="Times New Roman" w:hAnsi="Arial" w:cs="Arial"/>
                      <w:bCs/>
                      <w:sz w:val="20"/>
                      <w:szCs w:val="20"/>
                      <w:lang w:eastAsia="en-GB"/>
                    </w:rPr>
                  </w:pPr>
                  <w:r w:rsidRPr="009D3945">
                    <w:rPr>
                      <w:rFonts w:ascii="Arial" w:eastAsia="Times New Roman" w:hAnsi="Arial" w:cs="Arial"/>
                      <w:bCs/>
                      <w:sz w:val="20"/>
                      <w:szCs w:val="20"/>
                      <w:lang w:eastAsia="en-GB"/>
                    </w:rPr>
                    <w:t>01279 444455</w:t>
                  </w:r>
                </w:p>
              </w:tc>
            </w:tr>
            <w:tr w:rsidR="009D3945" w:rsidRPr="00D43187" w14:paraId="25F69960" w14:textId="77777777" w:rsidTr="002778A7">
              <w:tc>
                <w:tcPr>
                  <w:tcW w:w="1883" w:type="dxa"/>
                </w:tcPr>
                <w:p w14:paraId="0FD56850" w14:textId="77777777" w:rsidR="009D3945" w:rsidRPr="00D43187" w:rsidRDefault="009D3945" w:rsidP="002778A7">
                  <w:pPr>
                    <w:spacing w:after="40"/>
                    <w:rPr>
                      <w:rFonts w:ascii="Arial" w:eastAsia="Times New Roman" w:hAnsi="Arial" w:cs="Arial"/>
                      <w:b/>
                      <w:bCs/>
                      <w:sz w:val="20"/>
                      <w:szCs w:val="20"/>
                      <w:lang w:eastAsia="en-GB"/>
                    </w:rPr>
                  </w:pPr>
                  <w:r>
                    <w:rPr>
                      <w:rFonts w:ascii="Arial" w:eastAsia="Times New Roman" w:hAnsi="Arial" w:cs="Arial"/>
                      <w:b/>
                      <w:bCs/>
                      <w:color w:val="000000" w:themeColor="text1"/>
                      <w:sz w:val="20"/>
                      <w:szCs w:val="20"/>
                      <w:lang w:eastAsia="en-GB"/>
                    </w:rPr>
                    <w:t xml:space="preserve">Haematology </w:t>
                  </w:r>
                </w:p>
              </w:tc>
              <w:tc>
                <w:tcPr>
                  <w:tcW w:w="1510" w:type="dxa"/>
                </w:tcPr>
                <w:p w14:paraId="090F8581" w14:textId="77777777" w:rsidR="009D3945" w:rsidRPr="009D3945" w:rsidRDefault="009D3945" w:rsidP="002778A7">
                  <w:pPr>
                    <w:spacing w:after="40"/>
                    <w:rPr>
                      <w:rFonts w:ascii="Arial" w:eastAsia="Times New Roman" w:hAnsi="Arial" w:cs="Arial"/>
                      <w:b/>
                      <w:bCs/>
                      <w:sz w:val="20"/>
                      <w:szCs w:val="20"/>
                      <w:lang w:eastAsia="en-GB"/>
                    </w:rPr>
                  </w:pPr>
                  <w:r w:rsidRPr="009D3945">
                    <w:rPr>
                      <w:rFonts w:ascii="Arial" w:hAnsi="Arial" w:cs="Arial"/>
                      <w:sz w:val="20"/>
                      <w:szCs w:val="20"/>
                    </w:rPr>
                    <w:t>01279 444455 Ext 7035</w:t>
                  </w:r>
                </w:p>
              </w:tc>
              <w:tc>
                <w:tcPr>
                  <w:tcW w:w="5599" w:type="dxa"/>
                </w:tcPr>
                <w:p w14:paraId="3381616F" w14:textId="69B60241" w:rsidR="009D3945" w:rsidRPr="009D3945" w:rsidRDefault="00156070" w:rsidP="002778A7">
                  <w:pPr>
                    <w:spacing w:after="40"/>
                    <w:rPr>
                      <w:rFonts w:ascii="Arial" w:eastAsia="Times New Roman" w:hAnsi="Arial" w:cs="Arial"/>
                      <w:bCs/>
                      <w:sz w:val="20"/>
                      <w:szCs w:val="20"/>
                      <w:lang w:eastAsia="en-GB"/>
                    </w:rPr>
                  </w:pPr>
                  <w:hyperlink r:id="rId24" w:history="1">
                    <w:r w:rsidR="00DC56AF" w:rsidRPr="00692BAE">
                      <w:rPr>
                        <w:rStyle w:val="Hyperlink"/>
                        <w:rFonts w:ascii="Arial" w:eastAsia="Times New Roman" w:hAnsi="Arial" w:cs="Arial"/>
                        <w:bCs/>
                        <w:sz w:val="20"/>
                        <w:szCs w:val="20"/>
                        <w:lang w:eastAsia="en-GB"/>
                      </w:rPr>
                      <w:t>tpa-tr.haematologyadminclinicalcorrespondence@nhs.net</w:t>
                    </w:r>
                  </w:hyperlink>
                  <w:r w:rsidR="00DC56AF">
                    <w:rPr>
                      <w:rFonts w:ascii="Arial" w:eastAsia="Times New Roman" w:hAnsi="Arial" w:cs="Arial"/>
                      <w:bCs/>
                      <w:sz w:val="20"/>
                      <w:szCs w:val="20"/>
                      <w:lang w:eastAsia="en-GB"/>
                    </w:rPr>
                    <w:t xml:space="preserve"> </w:t>
                  </w:r>
                </w:p>
              </w:tc>
              <w:tc>
                <w:tcPr>
                  <w:tcW w:w="1560" w:type="dxa"/>
                  <w:vMerge/>
                </w:tcPr>
                <w:p w14:paraId="0583A250" w14:textId="77777777" w:rsidR="009D3945" w:rsidRPr="009D3945" w:rsidRDefault="009D3945" w:rsidP="002778A7">
                  <w:pPr>
                    <w:rPr>
                      <w:rFonts w:ascii="Arial" w:eastAsia="Times New Roman" w:hAnsi="Arial" w:cs="Arial"/>
                      <w:bCs/>
                      <w:sz w:val="20"/>
                      <w:szCs w:val="20"/>
                      <w:lang w:eastAsia="en-GB"/>
                    </w:rPr>
                  </w:pPr>
                </w:p>
              </w:tc>
            </w:tr>
            <w:tr w:rsidR="009D3945" w:rsidRPr="00D43187" w14:paraId="4562C264" w14:textId="77777777" w:rsidTr="002778A7">
              <w:tc>
                <w:tcPr>
                  <w:tcW w:w="1883" w:type="dxa"/>
                </w:tcPr>
                <w:p w14:paraId="0066C834" w14:textId="239A385B" w:rsidR="009D3945" w:rsidRPr="00D43187" w:rsidRDefault="004E6D37" w:rsidP="002778A7">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 xml:space="preserve">Neurology </w:t>
                  </w:r>
                </w:p>
              </w:tc>
              <w:tc>
                <w:tcPr>
                  <w:tcW w:w="1510" w:type="dxa"/>
                </w:tcPr>
                <w:p w14:paraId="021B1B95" w14:textId="77777777" w:rsidR="009D3945" w:rsidRPr="009D3945" w:rsidRDefault="009D3945" w:rsidP="002778A7">
                  <w:pPr>
                    <w:spacing w:after="40"/>
                    <w:rPr>
                      <w:rFonts w:ascii="Arial" w:hAnsi="Arial" w:cs="Arial"/>
                      <w:sz w:val="20"/>
                      <w:szCs w:val="20"/>
                      <w:lang w:eastAsia="en-GB"/>
                    </w:rPr>
                  </w:pPr>
                  <w:r w:rsidRPr="009D3945">
                    <w:rPr>
                      <w:rFonts w:ascii="Arial" w:eastAsia="Times New Roman" w:hAnsi="Arial" w:cs="Arial"/>
                      <w:bCs/>
                      <w:sz w:val="20"/>
                      <w:szCs w:val="20"/>
                      <w:lang w:eastAsia="en-GB"/>
                    </w:rPr>
                    <w:t>via switchboard</w:t>
                  </w:r>
                </w:p>
              </w:tc>
              <w:tc>
                <w:tcPr>
                  <w:tcW w:w="5599" w:type="dxa"/>
                </w:tcPr>
                <w:p w14:paraId="64FDC871" w14:textId="48261D52" w:rsidR="009D3945" w:rsidRPr="009D3945" w:rsidRDefault="00156070" w:rsidP="002778A7">
                  <w:pPr>
                    <w:spacing w:after="40"/>
                    <w:rPr>
                      <w:rFonts w:ascii="Arial" w:hAnsi="Arial" w:cs="Arial"/>
                      <w:sz w:val="20"/>
                      <w:szCs w:val="20"/>
                    </w:rPr>
                  </w:pPr>
                  <w:hyperlink r:id="rId25" w:history="1">
                    <w:r w:rsidR="00DC56AF" w:rsidRPr="00692BAE">
                      <w:rPr>
                        <w:rStyle w:val="Hyperlink"/>
                        <w:rFonts w:ascii="Arial" w:hAnsi="Arial" w:cs="Arial"/>
                        <w:sz w:val="20"/>
                        <w:szCs w:val="20"/>
                      </w:rPr>
                      <w:t>tpa-tr.neurologyadminclinicalcorrespondence@nhs.net</w:t>
                    </w:r>
                  </w:hyperlink>
                  <w:r w:rsidR="00DC56AF">
                    <w:rPr>
                      <w:rFonts w:ascii="Arial" w:hAnsi="Arial" w:cs="Arial"/>
                      <w:sz w:val="20"/>
                      <w:szCs w:val="20"/>
                    </w:rPr>
                    <w:t xml:space="preserve"> </w:t>
                  </w:r>
                </w:p>
              </w:tc>
              <w:tc>
                <w:tcPr>
                  <w:tcW w:w="1560" w:type="dxa"/>
                  <w:vMerge/>
                </w:tcPr>
                <w:p w14:paraId="76FF90CB" w14:textId="77777777" w:rsidR="009D3945" w:rsidRPr="009D3945" w:rsidRDefault="009D3945" w:rsidP="002778A7">
                  <w:pPr>
                    <w:rPr>
                      <w:rFonts w:ascii="Arial" w:eastAsia="Times New Roman" w:hAnsi="Arial" w:cs="Arial"/>
                      <w:bCs/>
                      <w:sz w:val="20"/>
                      <w:szCs w:val="20"/>
                      <w:lang w:eastAsia="en-GB"/>
                    </w:rPr>
                  </w:pPr>
                </w:p>
              </w:tc>
            </w:tr>
            <w:tr w:rsidR="009D3945" w:rsidRPr="00D43187" w14:paraId="66EFBA4A" w14:textId="77777777" w:rsidTr="002778A7">
              <w:tc>
                <w:tcPr>
                  <w:tcW w:w="1883" w:type="dxa"/>
                </w:tcPr>
                <w:p w14:paraId="78C85FE6" w14:textId="77777777" w:rsidR="009D3945" w:rsidRPr="00D43187" w:rsidRDefault="009D3945" w:rsidP="002778A7">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Dermatology </w:t>
                  </w:r>
                </w:p>
              </w:tc>
              <w:tc>
                <w:tcPr>
                  <w:tcW w:w="1510" w:type="dxa"/>
                </w:tcPr>
                <w:p w14:paraId="7A06DEA0" w14:textId="77777777" w:rsidR="00DC56AF" w:rsidRPr="00DC56AF" w:rsidRDefault="00DC56AF" w:rsidP="00DC56AF">
                  <w:pPr>
                    <w:spacing w:after="40"/>
                    <w:rPr>
                      <w:rFonts w:ascii="Arial" w:eastAsia="Times New Roman" w:hAnsi="Arial" w:cs="Arial"/>
                      <w:bCs/>
                      <w:sz w:val="20"/>
                      <w:szCs w:val="20"/>
                      <w:lang w:eastAsia="en-GB"/>
                    </w:rPr>
                  </w:pPr>
                  <w:r w:rsidRPr="00DC56AF">
                    <w:rPr>
                      <w:rFonts w:ascii="Arial" w:eastAsia="Times New Roman" w:hAnsi="Arial" w:cs="Arial"/>
                      <w:bCs/>
                      <w:sz w:val="20"/>
                      <w:szCs w:val="20"/>
                      <w:lang w:eastAsia="en-GB"/>
                    </w:rPr>
                    <w:t>01279 827227</w:t>
                  </w:r>
                </w:p>
                <w:p w14:paraId="3A13F823" w14:textId="74979C0E" w:rsidR="009D3945" w:rsidRPr="009D3945" w:rsidRDefault="00DC56AF" w:rsidP="00DC56AF">
                  <w:pPr>
                    <w:spacing w:after="40"/>
                    <w:rPr>
                      <w:rFonts w:ascii="Arial" w:eastAsia="Times New Roman" w:hAnsi="Arial" w:cs="Arial"/>
                      <w:bCs/>
                      <w:sz w:val="20"/>
                      <w:szCs w:val="20"/>
                      <w:lang w:eastAsia="en-GB"/>
                    </w:rPr>
                  </w:pPr>
                  <w:r w:rsidRPr="00DC56AF">
                    <w:rPr>
                      <w:rFonts w:ascii="Arial" w:eastAsia="Times New Roman" w:hAnsi="Arial" w:cs="Arial"/>
                      <w:bCs/>
                      <w:sz w:val="20"/>
                      <w:szCs w:val="20"/>
                      <w:lang w:eastAsia="en-GB"/>
                    </w:rPr>
                    <w:t>Derm Secretaries</w:t>
                  </w:r>
                </w:p>
              </w:tc>
              <w:tc>
                <w:tcPr>
                  <w:tcW w:w="5599" w:type="dxa"/>
                </w:tcPr>
                <w:p w14:paraId="2B231AAD" w14:textId="00A575BB" w:rsidR="009D3945" w:rsidRPr="009D3945" w:rsidRDefault="00156070" w:rsidP="002778A7">
                  <w:pPr>
                    <w:spacing w:after="40"/>
                    <w:rPr>
                      <w:rFonts w:ascii="Arial" w:hAnsi="Arial" w:cs="Arial"/>
                      <w:sz w:val="20"/>
                      <w:szCs w:val="20"/>
                    </w:rPr>
                  </w:pPr>
                  <w:hyperlink r:id="rId26" w:history="1">
                    <w:r w:rsidR="009D3945" w:rsidRPr="009D3945">
                      <w:rPr>
                        <w:rStyle w:val="Hyperlink"/>
                        <w:rFonts w:ascii="Arial" w:hAnsi="Arial" w:cs="Arial"/>
                        <w:sz w:val="20"/>
                        <w:szCs w:val="20"/>
                      </w:rPr>
                      <w:t>tpa-tr.dermatologyclinicalcorrespondence@nhs.net</w:t>
                    </w:r>
                  </w:hyperlink>
                  <w:r w:rsidR="009D3945" w:rsidRPr="009D3945">
                    <w:rPr>
                      <w:rFonts w:ascii="Arial" w:hAnsi="Arial" w:cs="Arial"/>
                      <w:sz w:val="20"/>
                      <w:szCs w:val="20"/>
                    </w:rPr>
                    <w:t xml:space="preserve"> </w:t>
                  </w:r>
                </w:p>
              </w:tc>
              <w:tc>
                <w:tcPr>
                  <w:tcW w:w="1560" w:type="dxa"/>
                  <w:vMerge/>
                </w:tcPr>
                <w:p w14:paraId="7CC32F04" w14:textId="77777777" w:rsidR="009D3945" w:rsidRPr="009D3945" w:rsidRDefault="009D3945" w:rsidP="002778A7">
                  <w:pPr>
                    <w:shd w:val="clear" w:color="auto" w:fill="FFFFFF"/>
                    <w:outlineLvl w:val="2"/>
                    <w:rPr>
                      <w:rFonts w:ascii="Arial" w:eastAsia="Times New Roman" w:hAnsi="Arial" w:cs="Arial"/>
                      <w:sz w:val="20"/>
                      <w:szCs w:val="20"/>
                      <w:lang w:eastAsia="en-GB"/>
                    </w:rPr>
                  </w:pPr>
                </w:p>
              </w:tc>
            </w:tr>
            <w:tr w:rsidR="009D3945" w:rsidRPr="00D43187" w14:paraId="561DBF37" w14:textId="77777777" w:rsidTr="002778A7">
              <w:trPr>
                <w:trHeight w:val="190"/>
              </w:trPr>
              <w:tc>
                <w:tcPr>
                  <w:tcW w:w="1883" w:type="dxa"/>
                </w:tcPr>
                <w:p w14:paraId="15CAA33E" w14:textId="77777777" w:rsidR="009D3945" w:rsidRPr="00D43187" w:rsidRDefault="009D3945" w:rsidP="002778A7">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val="en-US" w:eastAsia="en-GB"/>
                    </w:rPr>
                    <w:t>Rheumatology</w:t>
                  </w:r>
                </w:p>
              </w:tc>
              <w:tc>
                <w:tcPr>
                  <w:tcW w:w="1510" w:type="dxa"/>
                </w:tcPr>
                <w:p w14:paraId="19E54CC1" w14:textId="07439EE1" w:rsidR="009D3945" w:rsidRPr="009D3945" w:rsidRDefault="009D3945" w:rsidP="002778A7">
                  <w:pPr>
                    <w:spacing w:after="40"/>
                    <w:rPr>
                      <w:rFonts w:ascii="Arial" w:hAnsi="Arial" w:cs="Arial"/>
                      <w:sz w:val="20"/>
                      <w:szCs w:val="20"/>
                    </w:rPr>
                  </w:pPr>
                  <w:r w:rsidRPr="009D3945">
                    <w:rPr>
                      <w:rFonts w:ascii="Arial" w:hAnsi="Arial" w:cs="Arial"/>
                      <w:sz w:val="20"/>
                      <w:szCs w:val="20"/>
                    </w:rPr>
                    <w:t>01279</w:t>
                  </w:r>
                  <w:r w:rsidR="00DC56AF">
                    <w:rPr>
                      <w:rFonts w:ascii="Arial" w:hAnsi="Arial" w:cs="Arial"/>
                      <w:sz w:val="20"/>
                      <w:szCs w:val="20"/>
                    </w:rPr>
                    <w:t xml:space="preserve"> </w:t>
                  </w:r>
                  <w:r w:rsidRPr="009D3945">
                    <w:rPr>
                      <w:rFonts w:ascii="Arial" w:hAnsi="Arial" w:cs="Arial"/>
                      <w:sz w:val="20"/>
                      <w:szCs w:val="20"/>
                    </w:rPr>
                    <w:t>827434 – DMARD helpline</w:t>
                  </w:r>
                </w:p>
                <w:p w14:paraId="0CBE49AE" w14:textId="77777777" w:rsidR="009D3945" w:rsidRPr="009D3945" w:rsidRDefault="009D3945" w:rsidP="002778A7">
                  <w:pPr>
                    <w:spacing w:after="40"/>
                    <w:rPr>
                      <w:rFonts w:ascii="Arial" w:eastAsia="Times New Roman" w:hAnsi="Arial" w:cs="Arial"/>
                      <w:bCs/>
                      <w:sz w:val="20"/>
                      <w:szCs w:val="20"/>
                      <w:lang w:eastAsia="en-GB"/>
                    </w:rPr>
                  </w:pPr>
                </w:p>
                <w:p w14:paraId="7B1D4936" w14:textId="2FA4D508" w:rsidR="009D3945" w:rsidRPr="009D3945" w:rsidRDefault="009D3945" w:rsidP="002778A7">
                  <w:pPr>
                    <w:spacing w:after="40"/>
                    <w:rPr>
                      <w:rFonts w:ascii="Arial" w:eastAsia="Times New Roman" w:hAnsi="Arial" w:cs="Arial"/>
                      <w:bCs/>
                      <w:sz w:val="20"/>
                      <w:szCs w:val="20"/>
                      <w:lang w:eastAsia="en-GB"/>
                    </w:rPr>
                  </w:pPr>
                  <w:r w:rsidRPr="009D3945">
                    <w:rPr>
                      <w:rFonts w:ascii="Arial" w:hAnsi="Arial" w:cs="Arial"/>
                      <w:sz w:val="20"/>
                      <w:szCs w:val="20"/>
                    </w:rPr>
                    <w:t>01279</w:t>
                  </w:r>
                  <w:r w:rsidR="00DC56AF">
                    <w:rPr>
                      <w:rFonts w:ascii="Arial" w:hAnsi="Arial" w:cs="Arial"/>
                      <w:sz w:val="20"/>
                      <w:szCs w:val="20"/>
                    </w:rPr>
                    <w:t xml:space="preserve"> </w:t>
                  </w:r>
                  <w:r w:rsidRPr="009D3945">
                    <w:rPr>
                      <w:rFonts w:ascii="Arial" w:hAnsi="Arial" w:cs="Arial"/>
                      <w:sz w:val="20"/>
                      <w:szCs w:val="20"/>
                    </w:rPr>
                    <w:t>827819</w:t>
                  </w:r>
                  <w:r w:rsidR="00DC56AF">
                    <w:rPr>
                      <w:rFonts w:ascii="Arial" w:hAnsi="Arial" w:cs="Arial"/>
                      <w:sz w:val="20"/>
                      <w:szCs w:val="20"/>
                    </w:rPr>
                    <w:t xml:space="preserve"> </w:t>
                  </w:r>
                  <w:r w:rsidRPr="009D3945">
                    <w:rPr>
                      <w:rFonts w:ascii="Arial" w:hAnsi="Arial" w:cs="Arial"/>
                      <w:sz w:val="20"/>
                      <w:szCs w:val="20"/>
                    </w:rPr>
                    <w:t>Nurse helpline</w:t>
                  </w:r>
                </w:p>
              </w:tc>
              <w:tc>
                <w:tcPr>
                  <w:tcW w:w="5599" w:type="dxa"/>
                </w:tcPr>
                <w:p w14:paraId="2D8E94E1" w14:textId="268F9A40" w:rsidR="009D3945" w:rsidRPr="009D3945" w:rsidRDefault="00156070" w:rsidP="002778A7">
                  <w:pPr>
                    <w:spacing w:after="40"/>
                    <w:rPr>
                      <w:rFonts w:ascii="Arial" w:hAnsi="Arial" w:cs="Arial"/>
                      <w:sz w:val="20"/>
                      <w:szCs w:val="20"/>
                    </w:rPr>
                  </w:pPr>
                  <w:hyperlink r:id="rId27" w:history="1">
                    <w:r w:rsidR="009D3945" w:rsidRPr="009D3945">
                      <w:rPr>
                        <w:rStyle w:val="Hyperlink"/>
                        <w:rFonts w:ascii="Arial" w:hAnsi="Arial" w:cs="Arial"/>
                        <w:sz w:val="20"/>
                        <w:szCs w:val="20"/>
                      </w:rPr>
                      <w:t>tpa-tr.rheumatologyadminclinicalcorrespondence@nhs.net</w:t>
                    </w:r>
                  </w:hyperlink>
                  <w:r w:rsidR="009D3945" w:rsidRPr="009D3945">
                    <w:rPr>
                      <w:rFonts w:ascii="Arial" w:hAnsi="Arial" w:cs="Arial"/>
                      <w:sz w:val="20"/>
                      <w:szCs w:val="20"/>
                    </w:rPr>
                    <w:t xml:space="preserve"> </w:t>
                  </w:r>
                </w:p>
              </w:tc>
              <w:tc>
                <w:tcPr>
                  <w:tcW w:w="1560" w:type="dxa"/>
                  <w:vMerge/>
                </w:tcPr>
                <w:p w14:paraId="51F243BE" w14:textId="77777777" w:rsidR="009D3945" w:rsidRPr="009D3945" w:rsidRDefault="009D3945" w:rsidP="002778A7">
                  <w:pPr>
                    <w:shd w:val="clear" w:color="auto" w:fill="FFFFFF"/>
                    <w:outlineLvl w:val="2"/>
                    <w:rPr>
                      <w:rFonts w:ascii="Arial" w:eastAsia="Times New Roman" w:hAnsi="Arial" w:cs="Arial"/>
                      <w:sz w:val="20"/>
                      <w:szCs w:val="20"/>
                      <w:lang w:eastAsia="en-GB"/>
                    </w:rPr>
                  </w:pPr>
                </w:p>
              </w:tc>
            </w:tr>
            <w:tr w:rsidR="009D3945" w:rsidRPr="00D43187" w14:paraId="56AAE520" w14:textId="77777777" w:rsidTr="002778A7">
              <w:trPr>
                <w:trHeight w:val="190"/>
              </w:trPr>
              <w:tc>
                <w:tcPr>
                  <w:tcW w:w="1883" w:type="dxa"/>
                </w:tcPr>
                <w:p w14:paraId="4AF1E9D3" w14:textId="30091698" w:rsidR="009D3945" w:rsidRPr="00D43187" w:rsidRDefault="009D3945" w:rsidP="002778A7">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lastRenderedPageBreak/>
                    <w:t>Respiratory</w:t>
                  </w:r>
                </w:p>
              </w:tc>
              <w:tc>
                <w:tcPr>
                  <w:tcW w:w="1510" w:type="dxa"/>
                </w:tcPr>
                <w:p w14:paraId="3DA419D2" w14:textId="08DA65DC" w:rsidR="009D3945" w:rsidRPr="009D3945" w:rsidRDefault="00AE36F1" w:rsidP="002778A7">
                  <w:pPr>
                    <w:spacing w:after="40"/>
                    <w:rPr>
                      <w:rFonts w:ascii="Arial" w:hAnsi="Arial" w:cs="Arial"/>
                      <w:sz w:val="20"/>
                      <w:szCs w:val="20"/>
                    </w:rPr>
                  </w:pPr>
                  <w:r w:rsidRPr="009D3945">
                    <w:rPr>
                      <w:rFonts w:ascii="Arial" w:eastAsia="Times New Roman" w:hAnsi="Arial" w:cs="Arial"/>
                      <w:bCs/>
                      <w:sz w:val="20"/>
                      <w:szCs w:val="20"/>
                      <w:lang w:eastAsia="en-GB"/>
                    </w:rPr>
                    <w:t>via switchboard</w:t>
                  </w:r>
                </w:p>
              </w:tc>
              <w:tc>
                <w:tcPr>
                  <w:tcW w:w="5599" w:type="dxa"/>
                </w:tcPr>
                <w:p w14:paraId="5B7F62C8" w14:textId="53F4B72A" w:rsidR="009D3945" w:rsidRPr="009D3945" w:rsidRDefault="00156070" w:rsidP="00DC56AF">
                  <w:pPr>
                    <w:spacing w:after="200" w:line="276" w:lineRule="auto"/>
                    <w:rPr>
                      <w:rFonts w:ascii="Arial" w:hAnsi="Arial" w:cs="Arial"/>
                      <w:sz w:val="20"/>
                      <w:szCs w:val="20"/>
                    </w:rPr>
                  </w:pPr>
                  <w:hyperlink r:id="rId28" w:history="1">
                    <w:r w:rsidR="00DC56AF" w:rsidRPr="00692BAE">
                      <w:rPr>
                        <w:rStyle w:val="Hyperlink"/>
                        <w:rFonts w:ascii="Arial" w:hAnsi="Arial" w:cs="Arial"/>
                        <w:sz w:val="20"/>
                        <w:szCs w:val="20"/>
                      </w:rPr>
                      <w:t>tpa-tr.respiratoryadminclinicalcorrespondence@nhs.net</w:t>
                    </w:r>
                  </w:hyperlink>
                  <w:r w:rsidR="00DC56AF">
                    <w:rPr>
                      <w:rFonts w:ascii="Arial" w:hAnsi="Arial" w:cs="Arial"/>
                      <w:sz w:val="20"/>
                      <w:szCs w:val="20"/>
                    </w:rPr>
                    <w:t xml:space="preserve"> </w:t>
                  </w:r>
                </w:p>
              </w:tc>
              <w:tc>
                <w:tcPr>
                  <w:tcW w:w="1560" w:type="dxa"/>
                  <w:vMerge/>
                </w:tcPr>
                <w:p w14:paraId="40FD7629" w14:textId="77777777" w:rsidR="009D3945" w:rsidRPr="009D3945" w:rsidRDefault="009D3945" w:rsidP="002778A7">
                  <w:pPr>
                    <w:shd w:val="clear" w:color="auto" w:fill="FFFFFF"/>
                    <w:outlineLvl w:val="2"/>
                    <w:rPr>
                      <w:rFonts w:ascii="Arial" w:eastAsia="Times New Roman" w:hAnsi="Arial" w:cs="Arial"/>
                      <w:sz w:val="20"/>
                      <w:szCs w:val="20"/>
                      <w:lang w:eastAsia="en-GB"/>
                    </w:rPr>
                  </w:pPr>
                </w:p>
              </w:tc>
            </w:tr>
            <w:tr w:rsidR="009D3945" w:rsidRPr="00D43187" w14:paraId="0DAB4837" w14:textId="77777777" w:rsidTr="002778A7">
              <w:trPr>
                <w:trHeight w:val="190"/>
              </w:trPr>
              <w:tc>
                <w:tcPr>
                  <w:tcW w:w="1883" w:type="dxa"/>
                </w:tcPr>
                <w:p w14:paraId="59DCA388" w14:textId="622CD9D9" w:rsidR="009D3945" w:rsidRDefault="009D3945" w:rsidP="009D3945">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Ophthalmology</w:t>
                  </w:r>
                </w:p>
              </w:tc>
              <w:tc>
                <w:tcPr>
                  <w:tcW w:w="1510" w:type="dxa"/>
                </w:tcPr>
                <w:p w14:paraId="007A891A" w14:textId="6DF942E4" w:rsidR="009D3945" w:rsidRPr="009D3945" w:rsidRDefault="00AE36F1" w:rsidP="009D3945">
                  <w:pPr>
                    <w:spacing w:after="40"/>
                    <w:rPr>
                      <w:rFonts w:ascii="Arial" w:hAnsi="Arial" w:cs="Arial"/>
                      <w:sz w:val="20"/>
                      <w:szCs w:val="20"/>
                    </w:rPr>
                  </w:pPr>
                  <w:r w:rsidRPr="009D3945">
                    <w:rPr>
                      <w:rFonts w:ascii="Arial" w:eastAsia="Times New Roman" w:hAnsi="Arial" w:cs="Arial"/>
                      <w:bCs/>
                      <w:sz w:val="20"/>
                      <w:szCs w:val="20"/>
                      <w:lang w:eastAsia="en-GB"/>
                    </w:rPr>
                    <w:t>via switchboard</w:t>
                  </w:r>
                </w:p>
              </w:tc>
              <w:tc>
                <w:tcPr>
                  <w:tcW w:w="5599" w:type="dxa"/>
                </w:tcPr>
                <w:p w14:paraId="77EA651C" w14:textId="0CC9CEBE" w:rsidR="009D3945" w:rsidRPr="009D3945" w:rsidRDefault="00156070" w:rsidP="009D3945">
                  <w:pPr>
                    <w:spacing w:after="40"/>
                    <w:rPr>
                      <w:rFonts w:ascii="Arial" w:hAnsi="Arial" w:cs="Arial"/>
                      <w:sz w:val="20"/>
                      <w:szCs w:val="20"/>
                    </w:rPr>
                  </w:pPr>
                  <w:hyperlink r:id="rId29" w:history="1">
                    <w:r w:rsidR="00DC56AF" w:rsidRPr="00692BAE">
                      <w:rPr>
                        <w:rStyle w:val="Hyperlink"/>
                        <w:rFonts w:ascii="Arial" w:hAnsi="Arial" w:cs="Arial"/>
                        <w:sz w:val="20"/>
                        <w:szCs w:val="20"/>
                      </w:rPr>
                      <w:t>pa-tr.ophthalmologyadminclinicalcorrespondence@nhs.net</w:t>
                    </w:r>
                  </w:hyperlink>
                  <w:r w:rsidR="00DC56AF">
                    <w:rPr>
                      <w:rFonts w:ascii="Arial" w:hAnsi="Arial" w:cs="Arial"/>
                      <w:sz w:val="20"/>
                      <w:szCs w:val="20"/>
                    </w:rPr>
                    <w:t xml:space="preserve"> </w:t>
                  </w:r>
                </w:p>
              </w:tc>
              <w:tc>
                <w:tcPr>
                  <w:tcW w:w="1560" w:type="dxa"/>
                  <w:vMerge/>
                </w:tcPr>
                <w:p w14:paraId="7635EBFD" w14:textId="77777777" w:rsidR="009D3945" w:rsidRPr="009D3945" w:rsidRDefault="009D3945" w:rsidP="009D3945">
                  <w:pPr>
                    <w:shd w:val="clear" w:color="auto" w:fill="FFFFFF"/>
                    <w:outlineLvl w:val="2"/>
                    <w:rPr>
                      <w:rFonts w:ascii="Arial" w:eastAsia="Times New Roman" w:hAnsi="Arial" w:cs="Arial"/>
                      <w:sz w:val="20"/>
                      <w:szCs w:val="20"/>
                      <w:lang w:eastAsia="en-GB"/>
                    </w:rPr>
                  </w:pPr>
                </w:p>
              </w:tc>
            </w:tr>
            <w:tr w:rsidR="009D3945" w:rsidRPr="00D43187" w14:paraId="334740D6" w14:textId="77777777" w:rsidTr="002778A7">
              <w:trPr>
                <w:trHeight w:val="190"/>
              </w:trPr>
              <w:tc>
                <w:tcPr>
                  <w:tcW w:w="1883" w:type="dxa"/>
                </w:tcPr>
                <w:p w14:paraId="4D77A81B" w14:textId="0E66E72F" w:rsidR="009D3945" w:rsidRDefault="004E6D37" w:rsidP="009D3945">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Renal</w:t>
                  </w:r>
                </w:p>
              </w:tc>
              <w:tc>
                <w:tcPr>
                  <w:tcW w:w="1510" w:type="dxa"/>
                </w:tcPr>
                <w:p w14:paraId="02790315" w14:textId="4726659A" w:rsidR="009D3945" w:rsidRPr="009D3945" w:rsidRDefault="009D3945" w:rsidP="009D3945">
                  <w:pPr>
                    <w:spacing w:after="40"/>
                    <w:rPr>
                      <w:rFonts w:ascii="Arial" w:hAnsi="Arial" w:cs="Arial"/>
                      <w:sz w:val="20"/>
                      <w:szCs w:val="20"/>
                    </w:rPr>
                  </w:pPr>
                  <w:r w:rsidRPr="009D3945">
                    <w:rPr>
                      <w:rFonts w:ascii="Arial" w:eastAsia="Times New Roman" w:hAnsi="Arial" w:cs="Arial"/>
                      <w:bCs/>
                      <w:sz w:val="20"/>
                      <w:szCs w:val="20"/>
                      <w:lang w:eastAsia="en-GB"/>
                    </w:rPr>
                    <w:t>via switchboard</w:t>
                  </w:r>
                </w:p>
              </w:tc>
              <w:tc>
                <w:tcPr>
                  <w:tcW w:w="5599" w:type="dxa"/>
                </w:tcPr>
                <w:p w14:paraId="0BEE3FC0" w14:textId="77777777" w:rsidR="009D3945" w:rsidRDefault="00156070" w:rsidP="009D3945">
                  <w:pPr>
                    <w:spacing w:after="40"/>
                    <w:rPr>
                      <w:rFonts w:ascii="Arial" w:hAnsi="Arial" w:cs="Arial"/>
                      <w:sz w:val="20"/>
                      <w:szCs w:val="20"/>
                    </w:rPr>
                  </w:pPr>
                  <w:hyperlink r:id="rId30" w:history="1">
                    <w:r w:rsidR="009D3945" w:rsidRPr="009D3945">
                      <w:rPr>
                        <w:rStyle w:val="Hyperlink"/>
                        <w:rFonts w:ascii="Arial" w:hAnsi="Arial" w:cs="Arial"/>
                        <w:sz w:val="20"/>
                        <w:szCs w:val="20"/>
                      </w:rPr>
                      <w:t>nephadmin.enh-tr@nhs.net</w:t>
                    </w:r>
                  </w:hyperlink>
                  <w:r w:rsidR="009D3945" w:rsidRPr="009D3945">
                    <w:rPr>
                      <w:rFonts w:ascii="Arial" w:hAnsi="Arial" w:cs="Arial"/>
                      <w:sz w:val="20"/>
                      <w:szCs w:val="20"/>
                    </w:rPr>
                    <w:t xml:space="preserve"> </w:t>
                  </w:r>
                </w:p>
                <w:p w14:paraId="7777E5FC" w14:textId="244CD9ED" w:rsidR="009D3945" w:rsidRPr="009D3945" w:rsidRDefault="009D3945" w:rsidP="009D3945">
                  <w:pPr>
                    <w:spacing w:after="40"/>
                    <w:rPr>
                      <w:rFonts w:ascii="Arial" w:hAnsi="Arial" w:cs="Arial"/>
                      <w:sz w:val="20"/>
                      <w:szCs w:val="20"/>
                    </w:rPr>
                  </w:pPr>
                  <w:r w:rsidRPr="009D3945">
                    <w:rPr>
                      <w:rFonts w:ascii="Arial" w:hAnsi="Arial" w:cs="Arial"/>
                      <w:sz w:val="20"/>
                      <w:szCs w:val="20"/>
                    </w:rPr>
                    <w:t>Pharmacy Team shared care admin contact</w:t>
                  </w:r>
                  <w:r>
                    <w:rPr>
                      <w:rFonts w:ascii="Arial" w:hAnsi="Arial" w:cs="Arial"/>
                      <w:sz w:val="20"/>
                      <w:szCs w:val="20"/>
                    </w:rPr>
                    <w:t xml:space="preserve"> </w:t>
                  </w:r>
                  <w:hyperlink r:id="rId31" w:history="1">
                    <w:r w:rsidRPr="00EB606D">
                      <w:rPr>
                        <w:rStyle w:val="Hyperlink"/>
                        <w:rFonts w:ascii="Arial" w:hAnsi="Arial" w:cs="Arial"/>
                        <w:sz w:val="20"/>
                        <w:szCs w:val="20"/>
                      </w:rPr>
                      <w:t>sharedcare.enh-tr@nhs.net</w:t>
                    </w:r>
                  </w:hyperlink>
                  <w:r>
                    <w:rPr>
                      <w:rFonts w:ascii="Arial" w:hAnsi="Arial" w:cs="Arial"/>
                      <w:sz w:val="20"/>
                      <w:szCs w:val="20"/>
                    </w:rPr>
                    <w:t xml:space="preserve">  </w:t>
                  </w:r>
                  <w:r w:rsidRPr="009D3945">
                    <w:rPr>
                      <w:rFonts w:ascii="Arial" w:hAnsi="Arial" w:cs="Arial"/>
                      <w:sz w:val="20"/>
                      <w:szCs w:val="20"/>
                    </w:rPr>
                    <w:t>01438 284032</w:t>
                  </w:r>
                </w:p>
              </w:tc>
              <w:tc>
                <w:tcPr>
                  <w:tcW w:w="1560" w:type="dxa"/>
                </w:tcPr>
                <w:p w14:paraId="4DBEFEF1" w14:textId="35E92A16" w:rsidR="009D3945" w:rsidRPr="009D3945" w:rsidRDefault="009D3945" w:rsidP="009D3945">
                  <w:pPr>
                    <w:shd w:val="clear" w:color="auto" w:fill="FFFFFF"/>
                    <w:outlineLvl w:val="2"/>
                    <w:rPr>
                      <w:rFonts w:ascii="Arial" w:eastAsia="Times New Roman" w:hAnsi="Arial" w:cs="Arial"/>
                      <w:sz w:val="20"/>
                      <w:szCs w:val="20"/>
                      <w:lang w:eastAsia="en-GB"/>
                    </w:rPr>
                  </w:pPr>
                  <w:r w:rsidRPr="009D3945">
                    <w:rPr>
                      <w:rFonts w:ascii="Arial" w:eastAsia="Times New Roman" w:hAnsi="Arial" w:cs="Arial"/>
                      <w:sz w:val="20"/>
                      <w:szCs w:val="20"/>
                      <w:lang w:eastAsia="en-GB"/>
                    </w:rPr>
                    <w:t xml:space="preserve">01438 314333  </w:t>
                  </w:r>
                </w:p>
              </w:tc>
            </w:tr>
          </w:tbl>
          <w:p w14:paraId="69CADCEC" w14:textId="77777777" w:rsidR="005D2B7C" w:rsidRPr="008C60E5" w:rsidRDefault="005D2B7C" w:rsidP="00992C71">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Communication</w:t>
            </w:r>
          </w:p>
          <w:p w14:paraId="268A387B" w14:textId="11DDEA9D" w:rsidR="005D2B7C" w:rsidRPr="008C60E5" w:rsidRDefault="005D2B7C" w:rsidP="00992C71">
            <w:pPr>
              <w:spacing w:after="0" w:line="240" w:lineRule="auto"/>
              <w:rPr>
                <w:rFonts w:ascii="Arial" w:eastAsia="Times New Roman" w:hAnsi="Arial" w:cs="Arial"/>
                <w:bCs/>
                <w:lang w:eastAsia="en-GB"/>
              </w:rPr>
            </w:pPr>
            <w:r>
              <w:rPr>
                <w:rFonts w:ascii="Arial" w:eastAsia="Times New Roman" w:hAnsi="Arial" w:cs="Arial"/>
                <w:bCs/>
                <w:lang w:eastAsia="en-GB"/>
              </w:rPr>
              <w:t>For any queries relating to a</w:t>
            </w:r>
            <w:r w:rsidRPr="008C60E5">
              <w:rPr>
                <w:rFonts w:ascii="Arial" w:eastAsia="Times New Roman" w:hAnsi="Arial" w:cs="Arial"/>
                <w:bCs/>
                <w:lang w:eastAsia="en-GB"/>
              </w:rPr>
              <w:t xml:space="preserve"> patient’s </w:t>
            </w:r>
            <w:r>
              <w:rPr>
                <w:rFonts w:ascii="Arial" w:eastAsia="Times New Roman" w:hAnsi="Arial" w:cs="Arial"/>
                <w:bCs/>
                <w:lang w:eastAsia="en-GB"/>
              </w:rPr>
              <w:t xml:space="preserve">treatment with azathioprine or </w:t>
            </w:r>
            <w:r w:rsidRPr="008C60E5">
              <w:rPr>
                <w:rFonts w:ascii="Arial" w:eastAsia="Times New Roman" w:hAnsi="Arial" w:cs="Arial"/>
                <w:bCs/>
                <w:lang w:eastAsia="en-GB"/>
              </w:rPr>
              <w:t xml:space="preserve">MP, please contact the specialist as documented at the top of this document. Read in conjunction with </w:t>
            </w:r>
            <w:r w:rsidR="009E271A">
              <w:rPr>
                <w:rFonts w:ascii="Arial" w:eastAsia="Times New Roman" w:hAnsi="Arial" w:cs="Arial"/>
                <w:bCs/>
                <w:lang w:eastAsia="en-GB"/>
              </w:rPr>
              <w:t>HWE</w:t>
            </w:r>
            <w:r w:rsidRPr="008C60E5">
              <w:rPr>
                <w:rFonts w:ascii="Arial" w:eastAsia="Times New Roman" w:hAnsi="Arial" w:cs="Arial"/>
                <w:bCs/>
                <w:lang w:eastAsia="en-GB"/>
              </w:rPr>
              <w:t xml:space="preserve"> shared care principles document.</w:t>
            </w:r>
          </w:p>
          <w:p w14:paraId="1FA58BFF" w14:textId="77777777" w:rsidR="005D2B7C" w:rsidRPr="008C60E5" w:rsidRDefault="005D2B7C" w:rsidP="00992C71">
            <w:pPr>
              <w:spacing w:after="0" w:line="240" w:lineRule="auto"/>
              <w:rPr>
                <w:rFonts w:ascii="Arial" w:eastAsia="Times New Roman" w:hAnsi="Arial" w:cs="Arial"/>
                <w:bCs/>
                <w:lang w:eastAsia="en-GB"/>
              </w:rPr>
            </w:pPr>
            <w:r w:rsidRPr="008C60E5">
              <w:rPr>
                <w:rFonts w:ascii="Arial" w:eastAsia="Times New Roman" w:hAnsi="Arial" w:cs="Arial"/>
                <w:bCs/>
                <w:lang w:eastAsia="en-GB"/>
              </w:rPr>
              <w:t>For advice if you have any concerns contact the specialist team.  If unable to contact specialist team or out of hours, contact medical registrar on call.</w:t>
            </w:r>
          </w:p>
        </w:tc>
      </w:tr>
    </w:tbl>
    <w:p w14:paraId="0BA750EB" w14:textId="77777777" w:rsidR="00735B06" w:rsidRDefault="00735B06" w:rsidP="00C20327">
      <w:pPr>
        <w:spacing w:after="0" w:line="240" w:lineRule="auto"/>
        <w:rPr>
          <w:rFonts w:ascii="Arial" w:eastAsia="Times New Roman" w:hAnsi="Arial" w:cs="Times New Roman"/>
          <w:b/>
          <w:bCs/>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72705F" w:rsidRPr="00BE545B" w14:paraId="4EFFC8BE" w14:textId="77777777" w:rsidTr="00992C71">
        <w:tc>
          <w:tcPr>
            <w:tcW w:w="10740" w:type="dxa"/>
            <w:shd w:val="clear" w:color="auto" w:fill="auto"/>
          </w:tcPr>
          <w:p w14:paraId="34BB625F" w14:textId="77777777" w:rsidR="0072705F" w:rsidRDefault="0072705F" w:rsidP="00992C71">
            <w:pPr>
              <w:spacing w:after="0" w:line="240" w:lineRule="auto"/>
              <w:contextualSpacing/>
              <w:jc w:val="both"/>
              <w:rPr>
                <w:rFonts w:ascii="Arial" w:eastAsia="Times New Roman" w:hAnsi="Arial" w:cs="Arial"/>
                <w:b/>
                <w:bCs/>
                <w:szCs w:val="24"/>
              </w:rPr>
            </w:pPr>
            <w:r w:rsidRPr="00BE545B">
              <w:rPr>
                <w:rFonts w:ascii="Arial" w:eastAsia="Times New Roman" w:hAnsi="Arial" w:cs="Arial"/>
                <w:b/>
                <w:bCs/>
                <w:szCs w:val="24"/>
              </w:rPr>
              <w:t>SUPPORTING INFORMATION</w:t>
            </w:r>
          </w:p>
          <w:p w14:paraId="13B9A736"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Crohn’s disease, ulcerative colitis</w:t>
            </w:r>
          </w:p>
          <w:p w14:paraId="4A63C49F" w14:textId="77777777" w:rsidR="0072705F" w:rsidRPr="00C5458F" w:rsidRDefault="0072705F" w:rsidP="0072705F">
            <w:pPr>
              <w:numPr>
                <w:ilvl w:val="0"/>
                <w:numId w:val="18"/>
              </w:numPr>
              <w:spacing w:after="0" w:line="240" w:lineRule="auto"/>
              <w:contextualSpacing/>
              <w:rPr>
                <w:rFonts w:ascii="Arial" w:hAnsi="Arial" w:cs="Arial"/>
                <w:sz w:val="18"/>
                <w:szCs w:val="18"/>
              </w:rPr>
            </w:pPr>
            <w:r w:rsidRPr="00C5458F">
              <w:rPr>
                <w:rFonts w:ascii="Arial" w:hAnsi="Arial" w:cs="Arial"/>
                <w:sz w:val="18"/>
                <w:szCs w:val="18"/>
              </w:rPr>
              <w:t xml:space="preserve">NICE NG 129. May 2019. Crohn’s disease: management </w:t>
            </w:r>
            <w:hyperlink r:id="rId32" w:history="1">
              <w:r w:rsidRPr="00C5458F">
                <w:rPr>
                  <w:rFonts w:ascii="Arial" w:hAnsi="Arial" w:cs="Arial"/>
                  <w:color w:val="0000FF" w:themeColor="hyperlink"/>
                  <w:sz w:val="18"/>
                  <w:szCs w:val="18"/>
                  <w:u w:val="single"/>
                </w:rPr>
                <w:t>https://www.nice.org.uk/guidance/ng129</w:t>
              </w:r>
            </w:hyperlink>
            <w:r w:rsidRPr="00C5458F">
              <w:rPr>
                <w:rFonts w:ascii="Arial" w:hAnsi="Arial" w:cs="Arial"/>
                <w:sz w:val="18"/>
                <w:szCs w:val="18"/>
              </w:rPr>
              <w:t xml:space="preserve">  </w:t>
            </w:r>
          </w:p>
          <w:p w14:paraId="707ADB27" w14:textId="77777777" w:rsidR="0072705F" w:rsidRPr="00C5458F" w:rsidRDefault="0072705F" w:rsidP="0072705F">
            <w:pPr>
              <w:numPr>
                <w:ilvl w:val="0"/>
                <w:numId w:val="18"/>
              </w:numPr>
              <w:spacing w:after="0" w:line="240" w:lineRule="auto"/>
              <w:contextualSpacing/>
              <w:rPr>
                <w:rFonts w:ascii="Arial" w:hAnsi="Arial" w:cs="Arial"/>
                <w:sz w:val="18"/>
                <w:szCs w:val="18"/>
              </w:rPr>
            </w:pPr>
            <w:r w:rsidRPr="00C5458F">
              <w:rPr>
                <w:rFonts w:ascii="Arial" w:hAnsi="Arial" w:cs="Arial"/>
                <w:sz w:val="18"/>
                <w:szCs w:val="18"/>
              </w:rPr>
              <w:t xml:space="preserve">NICE NG 130. May 2019. Ulcerative Colitis: management </w:t>
            </w:r>
            <w:hyperlink r:id="rId33" w:history="1">
              <w:r w:rsidRPr="00C5458F">
                <w:rPr>
                  <w:rFonts w:ascii="Arial" w:hAnsi="Arial" w:cs="Arial"/>
                  <w:color w:val="0000FF" w:themeColor="hyperlink"/>
                  <w:sz w:val="18"/>
                  <w:szCs w:val="18"/>
                  <w:u w:val="single"/>
                </w:rPr>
                <w:t>https://www.nice.org.uk/guidance/ng130</w:t>
              </w:r>
            </w:hyperlink>
          </w:p>
          <w:p w14:paraId="34366DBD" w14:textId="77777777" w:rsidR="0072705F" w:rsidRPr="00C5458F" w:rsidRDefault="0072705F" w:rsidP="0072705F">
            <w:pPr>
              <w:numPr>
                <w:ilvl w:val="0"/>
                <w:numId w:val="18"/>
              </w:numPr>
              <w:spacing w:after="0" w:line="240" w:lineRule="auto"/>
              <w:contextualSpacing/>
              <w:rPr>
                <w:rFonts w:ascii="Arial" w:hAnsi="Arial" w:cs="Arial"/>
                <w:sz w:val="18"/>
                <w:szCs w:val="18"/>
              </w:rPr>
            </w:pPr>
            <w:r w:rsidRPr="00C5458F">
              <w:rPr>
                <w:rFonts w:ascii="Arial" w:hAnsi="Arial" w:cs="Arial"/>
                <w:sz w:val="18"/>
                <w:szCs w:val="18"/>
              </w:rPr>
              <w:t xml:space="preserve">Lamb CA, et al. British Society of Gastroenterology consensus guidelines on the management of inflammatory bowel disease in adults, Gut 2019;0:1–106 </w:t>
            </w:r>
            <w:hyperlink r:id="rId34" w:history="1">
              <w:r w:rsidRPr="00C5458F">
                <w:rPr>
                  <w:rFonts w:ascii="Arial" w:hAnsi="Arial" w:cs="Arial"/>
                  <w:color w:val="0000FF" w:themeColor="hyperlink"/>
                  <w:sz w:val="18"/>
                  <w:szCs w:val="18"/>
                  <w:u w:val="single"/>
                </w:rPr>
                <w:t>https://www.bsg.org.uk/resource/bsg-consensus-guidelines-ibd-in-adults.html</w:t>
              </w:r>
            </w:hyperlink>
          </w:p>
          <w:p w14:paraId="271CCE31"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Autoimmune chronic acute hepatitis</w:t>
            </w:r>
          </w:p>
          <w:p w14:paraId="171F022C" w14:textId="77777777" w:rsidR="0072705F" w:rsidRPr="00C5458F" w:rsidRDefault="0072705F" w:rsidP="0072705F">
            <w:pPr>
              <w:numPr>
                <w:ilvl w:val="0"/>
                <w:numId w:val="19"/>
              </w:numPr>
              <w:spacing w:after="0" w:line="240" w:lineRule="auto"/>
              <w:contextualSpacing/>
              <w:rPr>
                <w:rFonts w:ascii="Arial" w:hAnsi="Arial" w:cs="Arial"/>
                <w:sz w:val="18"/>
                <w:szCs w:val="18"/>
              </w:rPr>
            </w:pPr>
            <w:r w:rsidRPr="00C5458F">
              <w:rPr>
                <w:rFonts w:ascii="Arial" w:hAnsi="Arial" w:cs="Arial"/>
                <w:sz w:val="18"/>
                <w:szCs w:val="18"/>
              </w:rPr>
              <w:t xml:space="preserve">Gleeson D &amp; Henehgan MA. British Society of Gastroenterolgy (BSG) guidelines for management of autoimmune hepatitis. Gut 2011; 60:1611-29. </w:t>
            </w:r>
            <w:hyperlink r:id="rId35" w:history="1">
              <w:r w:rsidRPr="00C5458F">
                <w:rPr>
                  <w:rFonts w:ascii="Arial" w:hAnsi="Arial" w:cs="Arial"/>
                  <w:color w:val="0000FF" w:themeColor="hyperlink"/>
                  <w:sz w:val="18"/>
                  <w:szCs w:val="18"/>
                  <w:u w:val="single"/>
                </w:rPr>
                <w:t>https://www.</w:t>
              </w:r>
              <w:r w:rsidRPr="008E01E6">
                <w:rPr>
                  <w:rFonts w:ascii="Arial" w:hAnsi="Arial" w:cs="Arial"/>
                  <w:color w:val="0000FF" w:themeColor="hyperlink"/>
                  <w:sz w:val="18"/>
                  <w:szCs w:val="18"/>
                  <w:u w:val="single"/>
                </w:rPr>
                <w:t>bsg</w:t>
              </w:r>
              <w:r w:rsidRPr="00C5458F">
                <w:rPr>
                  <w:rFonts w:ascii="Arial" w:hAnsi="Arial" w:cs="Arial"/>
                  <w:color w:val="0000FF" w:themeColor="hyperlink"/>
                  <w:sz w:val="18"/>
                  <w:szCs w:val="18"/>
                  <w:u w:val="single"/>
                </w:rPr>
                <w:t>.org.uk/resource/bsg-guidelines-for-the-management-of-autoimmune-hepatitis.html</w:t>
              </w:r>
            </w:hyperlink>
          </w:p>
          <w:p w14:paraId="1BA319B1"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 xml:space="preserve">Systemic lupus erythematosus </w:t>
            </w:r>
          </w:p>
          <w:p w14:paraId="5B1D6E9F" w14:textId="77777777" w:rsidR="0072705F" w:rsidRPr="00C5458F" w:rsidRDefault="0072705F" w:rsidP="0072705F">
            <w:pPr>
              <w:numPr>
                <w:ilvl w:val="0"/>
                <w:numId w:val="20"/>
              </w:numPr>
              <w:spacing w:after="0" w:line="240" w:lineRule="auto"/>
              <w:contextualSpacing/>
              <w:rPr>
                <w:rFonts w:ascii="Arial" w:hAnsi="Arial" w:cs="Arial"/>
                <w:sz w:val="18"/>
                <w:szCs w:val="18"/>
              </w:rPr>
            </w:pPr>
            <w:r w:rsidRPr="00C5458F">
              <w:rPr>
                <w:rFonts w:ascii="Arial" w:hAnsi="Arial" w:cs="Arial"/>
                <w:sz w:val="18"/>
                <w:szCs w:val="18"/>
              </w:rPr>
              <w:t xml:space="preserve">Gordon C, Amissah-Arthur M_B, Gayed M, et al, for the British Society for Rheumatology Standards, Audit and Guidelines Working Group, The British Society for Rheumatology guideline for the management of systemic lupus erythematosus in adults, Rheumatology 2018; 57: e1–e45, </w:t>
            </w:r>
            <w:hyperlink r:id="rId36" w:history="1">
              <w:r w:rsidRPr="00C5458F">
                <w:rPr>
                  <w:rFonts w:ascii="Arial" w:hAnsi="Arial" w:cs="Arial"/>
                  <w:color w:val="0000FF" w:themeColor="hyperlink"/>
                  <w:sz w:val="18"/>
                  <w:szCs w:val="18"/>
                  <w:u w:val="single"/>
                </w:rPr>
                <w:t>https://doi.org/10.1093/rheumatology/kex286</w:t>
              </w:r>
            </w:hyperlink>
          </w:p>
          <w:p w14:paraId="1329A301" w14:textId="77777777" w:rsidR="0072705F" w:rsidRPr="00C5458F" w:rsidRDefault="0072705F" w:rsidP="0072705F">
            <w:pPr>
              <w:numPr>
                <w:ilvl w:val="0"/>
                <w:numId w:val="20"/>
              </w:numPr>
              <w:spacing w:after="0" w:line="240" w:lineRule="auto"/>
              <w:contextualSpacing/>
              <w:rPr>
                <w:rFonts w:ascii="Arial" w:hAnsi="Arial" w:cs="Arial"/>
                <w:sz w:val="18"/>
                <w:szCs w:val="18"/>
              </w:rPr>
            </w:pPr>
            <w:r w:rsidRPr="00C5458F">
              <w:rPr>
                <w:rFonts w:ascii="Arial" w:hAnsi="Arial" w:cs="Arial"/>
                <w:sz w:val="18"/>
                <w:szCs w:val="18"/>
              </w:rPr>
              <w:t xml:space="preserve">Fanouriakis A, Kostopoulou M, Alunno A, et al. 2019 update of the EULAR recommendations for the management of systemic lupus erythematosus. Annals of the Rheumatic Diseases </w:t>
            </w:r>
            <w:proofErr w:type="gramStart"/>
            <w:r w:rsidRPr="00C5458F">
              <w:rPr>
                <w:rFonts w:ascii="Arial" w:hAnsi="Arial" w:cs="Arial"/>
                <w:sz w:val="18"/>
                <w:szCs w:val="18"/>
              </w:rPr>
              <w:t>2019;78:736</w:t>
            </w:r>
            <w:proofErr w:type="gramEnd"/>
            <w:r w:rsidRPr="00C5458F">
              <w:rPr>
                <w:rFonts w:ascii="Arial" w:hAnsi="Arial" w:cs="Arial"/>
                <w:sz w:val="18"/>
                <w:szCs w:val="18"/>
              </w:rPr>
              <w:t xml:space="preserve">-745) </w:t>
            </w:r>
            <w:hyperlink r:id="rId37" w:history="1">
              <w:r w:rsidRPr="00C5458F">
                <w:rPr>
                  <w:rFonts w:ascii="Arial" w:hAnsi="Arial" w:cs="Arial"/>
                  <w:color w:val="0000FF" w:themeColor="hyperlink"/>
                  <w:sz w:val="18"/>
                  <w:szCs w:val="18"/>
                  <w:u w:val="single"/>
                </w:rPr>
                <w:t>https://ard.bmj.com/content/78/6/736</w:t>
              </w:r>
            </w:hyperlink>
            <w:r w:rsidRPr="00C5458F">
              <w:rPr>
                <w:rFonts w:ascii="Arial" w:hAnsi="Arial" w:cs="Arial"/>
                <w:sz w:val="18"/>
                <w:szCs w:val="18"/>
              </w:rPr>
              <w:t xml:space="preserve"> </w:t>
            </w:r>
          </w:p>
          <w:p w14:paraId="3F5F1DA7"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Autoimmune haemolytic anaemia</w:t>
            </w:r>
          </w:p>
          <w:p w14:paraId="3F0163AA" w14:textId="77777777" w:rsidR="0072705F" w:rsidRPr="00C5458F" w:rsidRDefault="0072705F" w:rsidP="0072705F">
            <w:pPr>
              <w:numPr>
                <w:ilvl w:val="0"/>
                <w:numId w:val="22"/>
              </w:numPr>
              <w:spacing w:after="0" w:line="240" w:lineRule="auto"/>
              <w:contextualSpacing/>
              <w:rPr>
                <w:rFonts w:ascii="Arial" w:hAnsi="Arial" w:cs="Arial"/>
                <w:sz w:val="18"/>
                <w:szCs w:val="18"/>
              </w:rPr>
            </w:pPr>
            <w:r w:rsidRPr="00C5458F">
              <w:rPr>
                <w:rFonts w:ascii="Arial" w:hAnsi="Arial" w:cs="Arial"/>
                <w:sz w:val="18"/>
                <w:szCs w:val="18"/>
              </w:rPr>
              <w:t xml:space="preserve">Hill QA, Stamps R, Massey E </w:t>
            </w:r>
            <w:r w:rsidRPr="00C5458F">
              <w:rPr>
                <w:rFonts w:ascii="Arial" w:hAnsi="Arial" w:cs="Arial"/>
                <w:i/>
                <w:sz w:val="18"/>
                <w:szCs w:val="18"/>
              </w:rPr>
              <w:t>et al</w:t>
            </w:r>
            <w:r w:rsidRPr="00C5458F">
              <w:rPr>
                <w:rFonts w:ascii="Arial" w:hAnsi="Arial" w:cs="Arial"/>
                <w:sz w:val="18"/>
                <w:szCs w:val="18"/>
              </w:rPr>
              <w:t xml:space="preserve">, on behalf of the British Society for Haematology. The diagnosis and management of primary autoimmune haemolytic anaemia. British J Haematol 2016; 176:395-411. </w:t>
            </w:r>
            <w:hyperlink r:id="rId38" w:history="1">
              <w:r w:rsidRPr="00C5458F">
                <w:rPr>
                  <w:rFonts w:ascii="Arial" w:hAnsi="Arial" w:cs="Arial"/>
                  <w:color w:val="0000FF" w:themeColor="hyperlink"/>
                  <w:sz w:val="18"/>
                  <w:szCs w:val="18"/>
                  <w:u w:val="single"/>
                </w:rPr>
                <w:t>https://doi.org/10.1111/bjh.14478</w:t>
              </w:r>
            </w:hyperlink>
          </w:p>
          <w:p w14:paraId="33593BFD"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Chronic refractory idiopathic thrombocytopenic purpura (ITP)</w:t>
            </w:r>
          </w:p>
          <w:p w14:paraId="38876B53" w14:textId="77777777" w:rsidR="0072705F" w:rsidRPr="00C5458F" w:rsidRDefault="0072705F" w:rsidP="0072705F">
            <w:pPr>
              <w:numPr>
                <w:ilvl w:val="0"/>
                <w:numId w:val="22"/>
              </w:numPr>
              <w:spacing w:after="0" w:line="240" w:lineRule="auto"/>
              <w:contextualSpacing/>
              <w:rPr>
                <w:rFonts w:ascii="Arial" w:hAnsi="Arial" w:cs="Arial"/>
                <w:sz w:val="18"/>
                <w:szCs w:val="18"/>
              </w:rPr>
            </w:pPr>
            <w:r w:rsidRPr="00C5458F">
              <w:rPr>
                <w:rFonts w:ascii="Arial" w:hAnsi="Arial" w:cs="Arial"/>
                <w:sz w:val="18"/>
                <w:szCs w:val="18"/>
              </w:rPr>
              <w:t xml:space="preserve">Provan D, Stasi R, Newland AC, </w:t>
            </w:r>
            <w:r w:rsidRPr="00C5458F">
              <w:rPr>
                <w:rFonts w:ascii="Arial" w:hAnsi="Arial" w:cs="Arial"/>
                <w:i/>
                <w:sz w:val="18"/>
                <w:szCs w:val="18"/>
              </w:rPr>
              <w:t>et al</w:t>
            </w:r>
            <w:r w:rsidRPr="00C5458F">
              <w:rPr>
                <w:rFonts w:ascii="Arial" w:hAnsi="Arial" w:cs="Arial"/>
                <w:sz w:val="18"/>
                <w:szCs w:val="18"/>
              </w:rPr>
              <w:t xml:space="preserve">. </w:t>
            </w:r>
            <w:proofErr w:type="gramStart"/>
            <w:r w:rsidRPr="00C5458F">
              <w:rPr>
                <w:rFonts w:ascii="Arial" w:hAnsi="Arial" w:cs="Arial"/>
                <w:sz w:val="18"/>
                <w:szCs w:val="18"/>
              </w:rPr>
              <w:t>International</w:t>
            </w:r>
            <w:proofErr w:type="gramEnd"/>
            <w:r w:rsidRPr="00C5458F">
              <w:rPr>
                <w:rFonts w:ascii="Arial" w:hAnsi="Arial" w:cs="Arial"/>
                <w:sz w:val="18"/>
                <w:szCs w:val="18"/>
              </w:rPr>
              <w:t xml:space="preserve"> consensus report on the investigation and management of primary immune thrombocytopenia. Blood. 2010; 115:168-186. </w:t>
            </w:r>
            <w:hyperlink r:id="rId39" w:history="1">
              <w:r w:rsidRPr="00C5458F">
                <w:rPr>
                  <w:rFonts w:ascii="Arial" w:hAnsi="Arial" w:cs="Arial"/>
                  <w:color w:val="0000FF" w:themeColor="hyperlink"/>
                  <w:sz w:val="18"/>
                  <w:szCs w:val="18"/>
                  <w:u w:val="single"/>
                </w:rPr>
                <w:t>https://ashpublications.org/blood/article-lookup/doi/10.1182/blood-2009-06-225565</w:t>
              </w:r>
            </w:hyperlink>
          </w:p>
          <w:p w14:paraId="3E2D210D"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Pemphigus vulgaris, atopic dermatitis, bullous pemphigoid, chronic actinic dermatitis, pyoderma gangrenosum, dermatomyositis, polymyositis, cutaneous vasculitis</w:t>
            </w:r>
          </w:p>
          <w:p w14:paraId="6459C31E" w14:textId="77777777" w:rsidR="0072705F" w:rsidRPr="00C5458F" w:rsidRDefault="0072705F" w:rsidP="0072705F">
            <w:pPr>
              <w:numPr>
                <w:ilvl w:val="0"/>
                <w:numId w:val="21"/>
              </w:numPr>
              <w:spacing w:after="0" w:line="240" w:lineRule="auto"/>
              <w:contextualSpacing/>
              <w:rPr>
                <w:rFonts w:ascii="Arial" w:hAnsi="Arial" w:cs="Arial"/>
                <w:sz w:val="18"/>
                <w:szCs w:val="18"/>
              </w:rPr>
            </w:pPr>
            <w:r w:rsidRPr="00C5458F">
              <w:rPr>
                <w:rFonts w:ascii="Arial" w:hAnsi="Arial" w:cs="Arial"/>
                <w:sz w:val="18"/>
                <w:szCs w:val="18"/>
              </w:rPr>
              <w:t xml:space="preserve">Harman KE, Brown D, Exton LS </w:t>
            </w:r>
            <w:r w:rsidRPr="00C5458F">
              <w:rPr>
                <w:rFonts w:ascii="Arial" w:hAnsi="Arial" w:cs="Arial"/>
                <w:i/>
                <w:sz w:val="18"/>
                <w:szCs w:val="18"/>
              </w:rPr>
              <w:t>et al</w:t>
            </w:r>
            <w:r w:rsidRPr="00C5458F">
              <w:rPr>
                <w:rFonts w:ascii="Arial" w:hAnsi="Arial" w:cs="Arial"/>
                <w:sz w:val="18"/>
                <w:szCs w:val="18"/>
              </w:rPr>
              <w:t xml:space="preserve">, British Association of Dermatologists guidelines for the management of pemphigus vulgaris 2017 Br J Dermatol 2017; 177: 1170-1201  </w:t>
            </w:r>
            <w:hyperlink r:id="rId40" w:history="1">
              <w:r w:rsidRPr="00C5458F">
                <w:rPr>
                  <w:rFonts w:ascii="Arial" w:hAnsi="Arial" w:cs="Arial"/>
                  <w:color w:val="0000FF" w:themeColor="hyperlink"/>
                  <w:sz w:val="18"/>
                  <w:szCs w:val="18"/>
                  <w:u w:val="single"/>
                </w:rPr>
                <w:t>https://onlinelibrary.wiley.com/doi/full/10.1111/bjd.15930</w:t>
              </w:r>
            </w:hyperlink>
          </w:p>
          <w:p w14:paraId="629F361B" w14:textId="77777777" w:rsidR="0072705F" w:rsidRPr="00C5458F" w:rsidRDefault="0072705F" w:rsidP="0072705F">
            <w:pPr>
              <w:numPr>
                <w:ilvl w:val="0"/>
                <w:numId w:val="21"/>
              </w:numPr>
              <w:spacing w:after="0" w:line="240" w:lineRule="auto"/>
              <w:contextualSpacing/>
              <w:rPr>
                <w:rFonts w:ascii="Arial" w:hAnsi="Arial" w:cs="Arial"/>
                <w:sz w:val="18"/>
                <w:szCs w:val="18"/>
              </w:rPr>
            </w:pPr>
            <w:r w:rsidRPr="00C5458F">
              <w:rPr>
                <w:rFonts w:ascii="Arial" w:hAnsi="Arial" w:cs="Arial"/>
                <w:sz w:val="18"/>
                <w:szCs w:val="18"/>
              </w:rPr>
              <w:t xml:space="preserve">Meggitt SJ </w:t>
            </w:r>
            <w:r w:rsidRPr="00C5458F">
              <w:rPr>
                <w:rFonts w:ascii="Arial" w:hAnsi="Arial" w:cs="Arial"/>
                <w:i/>
                <w:sz w:val="18"/>
                <w:szCs w:val="18"/>
              </w:rPr>
              <w:t>et al</w:t>
            </w:r>
            <w:r w:rsidRPr="00C5458F">
              <w:rPr>
                <w:rFonts w:ascii="Arial" w:hAnsi="Arial" w:cs="Arial"/>
                <w:sz w:val="18"/>
                <w:szCs w:val="18"/>
              </w:rPr>
              <w:t xml:space="preserve">, British Association of Dermatologists' guidelines for the safe and effective prescribing of azathioprine Br J Dermatol 2011; 165; 711-734 </w:t>
            </w:r>
            <w:hyperlink r:id="rId41" w:history="1">
              <w:r w:rsidRPr="00C5458F">
                <w:rPr>
                  <w:rFonts w:ascii="Arial" w:hAnsi="Arial" w:cs="Arial"/>
                  <w:color w:val="0000FF" w:themeColor="hyperlink"/>
                  <w:sz w:val="18"/>
                  <w:szCs w:val="18"/>
                  <w:u w:val="single"/>
                </w:rPr>
                <w:t>https://onlinelibrary.wiley.com/doi/pdf/10.1111/j.1365-2133.2011.10575.x</w:t>
              </w:r>
            </w:hyperlink>
            <w:r w:rsidRPr="00C5458F">
              <w:rPr>
                <w:rFonts w:ascii="Arial" w:hAnsi="Arial" w:cs="Arial"/>
                <w:sz w:val="18"/>
                <w:szCs w:val="18"/>
              </w:rPr>
              <w:t xml:space="preserve"> </w:t>
            </w:r>
          </w:p>
          <w:p w14:paraId="10EB8C58" w14:textId="77777777" w:rsidR="0072705F" w:rsidRPr="00C5458F" w:rsidRDefault="0072705F" w:rsidP="0072705F">
            <w:pPr>
              <w:numPr>
                <w:ilvl w:val="0"/>
                <w:numId w:val="21"/>
              </w:numPr>
              <w:spacing w:after="0" w:line="240" w:lineRule="auto"/>
              <w:contextualSpacing/>
              <w:rPr>
                <w:rFonts w:ascii="Arial" w:hAnsi="Arial" w:cs="Arial"/>
                <w:sz w:val="18"/>
                <w:szCs w:val="18"/>
              </w:rPr>
            </w:pPr>
            <w:r w:rsidRPr="00C5458F">
              <w:rPr>
                <w:rFonts w:ascii="Arial" w:hAnsi="Arial" w:cs="Arial"/>
                <w:sz w:val="18"/>
                <w:szCs w:val="18"/>
              </w:rPr>
              <w:t xml:space="preserve">Venning VA, Taghipour K, Mohd Mustapa MF et al British Association of Dermatologists' guidelines for the management of bullous pemphigoid 2012. Br J Dermatol 2012; 167: 1200-1214. </w:t>
            </w:r>
            <w:hyperlink r:id="rId42" w:history="1">
              <w:r w:rsidRPr="00C5458F">
                <w:rPr>
                  <w:rFonts w:ascii="Arial" w:hAnsi="Arial" w:cs="Arial"/>
                  <w:color w:val="0000FF" w:themeColor="hyperlink"/>
                  <w:sz w:val="18"/>
                  <w:szCs w:val="18"/>
                  <w:u w:val="single"/>
                </w:rPr>
                <w:t>https://onlinelibrary.wiley.com/doi/full/10.1111/bjd.12072</w:t>
              </w:r>
            </w:hyperlink>
            <w:r w:rsidRPr="00C5458F">
              <w:rPr>
                <w:rFonts w:ascii="Arial" w:hAnsi="Arial" w:cs="Arial"/>
                <w:sz w:val="18"/>
                <w:szCs w:val="18"/>
              </w:rPr>
              <w:t xml:space="preserve"> </w:t>
            </w:r>
          </w:p>
          <w:p w14:paraId="3773B9FA"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Systemic vasculitis: granulomatosis with polyangiitis (GPA: formerly Wegener’s granulomatosis), microscopic polyangiitis (MPA), eosinophilic granulomatosis with polyangiitis (formerly Churg–Strauss syndrome)</w:t>
            </w:r>
          </w:p>
          <w:p w14:paraId="6DB27386" w14:textId="77777777" w:rsidR="0072705F" w:rsidRPr="00C5458F" w:rsidRDefault="0072705F" w:rsidP="0072705F">
            <w:pPr>
              <w:numPr>
                <w:ilvl w:val="0"/>
                <w:numId w:val="23"/>
              </w:numPr>
              <w:spacing w:after="0" w:line="240" w:lineRule="auto"/>
              <w:contextualSpacing/>
              <w:rPr>
                <w:rFonts w:ascii="Arial" w:hAnsi="Arial" w:cs="Arial"/>
                <w:sz w:val="18"/>
                <w:szCs w:val="18"/>
              </w:rPr>
            </w:pPr>
            <w:r w:rsidRPr="00C5458F">
              <w:rPr>
                <w:rFonts w:ascii="Arial" w:hAnsi="Arial" w:cs="Arial"/>
                <w:sz w:val="18"/>
                <w:szCs w:val="18"/>
              </w:rPr>
              <w:t xml:space="preserve">Ntatsaki E et al, BSR and BHPR guideline for the management of adults with ANCA-associated vasculitis, Rheumatology, Volume 53, Issue 12, December 2014, Pages 2306–2309, </w:t>
            </w:r>
            <w:hyperlink r:id="rId43" w:history="1">
              <w:r w:rsidRPr="00C5458F">
                <w:rPr>
                  <w:rFonts w:ascii="Arial" w:hAnsi="Arial" w:cs="Arial"/>
                  <w:color w:val="0000FF" w:themeColor="hyperlink"/>
                  <w:sz w:val="18"/>
                  <w:szCs w:val="18"/>
                  <w:u w:val="single"/>
                </w:rPr>
                <w:t>https://doi.org/10.1093/rheumatology/ket445</w:t>
              </w:r>
            </w:hyperlink>
            <w:r w:rsidRPr="00C5458F">
              <w:rPr>
                <w:rFonts w:ascii="Arial" w:hAnsi="Arial" w:cs="Arial"/>
                <w:sz w:val="18"/>
                <w:szCs w:val="18"/>
              </w:rPr>
              <w:t xml:space="preserve"> </w:t>
            </w:r>
          </w:p>
          <w:p w14:paraId="7206D55C" w14:textId="77777777" w:rsidR="0072705F" w:rsidRPr="00C5458F" w:rsidRDefault="0072705F" w:rsidP="0072705F">
            <w:pPr>
              <w:numPr>
                <w:ilvl w:val="0"/>
                <w:numId w:val="23"/>
              </w:numPr>
              <w:spacing w:after="0" w:line="240" w:lineRule="auto"/>
              <w:contextualSpacing/>
              <w:rPr>
                <w:rFonts w:ascii="Arial" w:hAnsi="Arial" w:cs="Arial"/>
                <w:sz w:val="18"/>
                <w:szCs w:val="18"/>
              </w:rPr>
            </w:pPr>
            <w:r w:rsidRPr="00C5458F">
              <w:rPr>
                <w:rFonts w:ascii="Arial" w:hAnsi="Arial" w:cs="Arial"/>
                <w:sz w:val="18"/>
                <w:szCs w:val="18"/>
              </w:rPr>
              <w:t xml:space="preserve">Yates M, Watts RA, Bajema IM, et al.  EULAR/ERA-EDTA recommendations for the management of ANCA-associated vasculitis.  Annals of the Rheumatic Diseases </w:t>
            </w:r>
            <w:proofErr w:type="gramStart"/>
            <w:r w:rsidRPr="00C5458F">
              <w:rPr>
                <w:rFonts w:ascii="Arial" w:hAnsi="Arial" w:cs="Arial"/>
                <w:sz w:val="18"/>
                <w:szCs w:val="18"/>
              </w:rPr>
              <w:t>2016;75:1583</w:t>
            </w:r>
            <w:proofErr w:type="gramEnd"/>
            <w:r w:rsidRPr="00C5458F">
              <w:rPr>
                <w:rFonts w:ascii="Arial" w:hAnsi="Arial" w:cs="Arial"/>
                <w:sz w:val="18"/>
                <w:szCs w:val="18"/>
              </w:rPr>
              <w:t xml:space="preserve">-1594 </w:t>
            </w:r>
            <w:hyperlink r:id="rId44" w:history="1">
              <w:r w:rsidRPr="00C5458F">
                <w:rPr>
                  <w:rFonts w:ascii="Arial" w:hAnsi="Arial" w:cs="Arial"/>
                  <w:color w:val="0000FF" w:themeColor="hyperlink"/>
                  <w:sz w:val="18"/>
                  <w:szCs w:val="18"/>
                  <w:u w:val="single"/>
                </w:rPr>
                <w:t>https://ard.bmj.com/content/75/9/1583</w:t>
              </w:r>
            </w:hyperlink>
          </w:p>
          <w:p w14:paraId="0B342A07" w14:textId="77777777" w:rsidR="0072705F" w:rsidRPr="00C5458F" w:rsidRDefault="0072705F" w:rsidP="0072705F">
            <w:pPr>
              <w:numPr>
                <w:ilvl w:val="0"/>
                <w:numId w:val="23"/>
              </w:numPr>
              <w:spacing w:after="0" w:line="240" w:lineRule="auto"/>
              <w:contextualSpacing/>
              <w:rPr>
                <w:rFonts w:ascii="Arial" w:hAnsi="Arial" w:cs="Arial"/>
                <w:sz w:val="18"/>
                <w:szCs w:val="18"/>
              </w:rPr>
            </w:pPr>
            <w:r w:rsidRPr="00C5458F">
              <w:rPr>
                <w:rFonts w:ascii="Arial" w:hAnsi="Arial" w:cs="Arial"/>
                <w:sz w:val="18"/>
                <w:szCs w:val="18"/>
              </w:rPr>
              <w:t xml:space="preserve">Meggitt SJ et al, British Association of Dermatologists' guidelines for the safe and effective prescribing of azathioprine Br J Dermatol 2011; 165; 711-734 </w:t>
            </w:r>
            <w:hyperlink r:id="rId45" w:history="1">
              <w:r w:rsidRPr="00C5458F">
                <w:rPr>
                  <w:rFonts w:ascii="Arial" w:hAnsi="Arial" w:cs="Arial"/>
                  <w:color w:val="0000FF" w:themeColor="hyperlink"/>
                  <w:sz w:val="18"/>
                  <w:szCs w:val="18"/>
                  <w:u w:val="single"/>
                </w:rPr>
                <w:t>https://onlinelibrary.wiley.com/doi/pdf/10.1111/j.1365-2133.2011.10575.x</w:t>
              </w:r>
            </w:hyperlink>
          </w:p>
          <w:p w14:paraId="6B3D0EE7"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Takayasu’s arteritis</w:t>
            </w:r>
          </w:p>
          <w:p w14:paraId="2071B53F" w14:textId="77777777" w:rsidR="0072705F" w:rsidRPr="00C5458F" w:rsidRDefault="0072705F" w:rsidP="0072705F">
            <w:pPr>
              <w:numPr>
                <w:ilvl w:val="0"/>
                <w:numId w:val="26"/>
              </w:numPr>
              <w:spacing w:after="0" w:line="240" w:lineRule="auto"/>
              <w:contextualSpacing/>
              <w:rPr>
                <w:rFonts w:ascii="Arial" w:hAnsi="Arial" w:cs="Arial"/>
                <w:sz w:val="18"/>
                <w:szCs w:val="18"/>
              </w:rPr>
            </w:pPr>
            <w:r w:rsidRPr="00C5458F">
              <w:rPr>
                <w:rFonts w:ascii="Arial" w:hAnsi="Arial" w:cs="Arial"/>
                <w:sz w:val="18"/>
                <w:szCs w:val="18"/>
              </w:rPr>
              <w:t xml:space="preserve">Clinical Commissioning Policy: Tocilizumab for Takayasu arteritis (adults) – (references use of azathioprine), Aug 2016 </w:t>
            </w:r>
            <w:hyperlink r:id="rId46" w:history="1">
              <w:r w:rsidRPr="00C5458F">
                <w:rPr>
                  <w:rFonts w:ascii="Arial" w:hAnsi="Arial" w:cs="Arial"/>
                  <w:color w:val="0000FF" w:themeColor="hyperlink"/>
                  <w:sz w:val="18"/>
                  <w:szCs w:val="18"/>
                  <w:u w:val="single"/>
                </w:rPr>
                <w:t>https://www.england.nhs.uk/commissioning/wp-content/uploads/sites/12/2016/08/clinical-com-pol-16056p.pdf</w:t>
              </w:r>
            </w:hyperlink>
            <w:r w:rsidRPr="00C5458F">
              <w:rPr>
                <w:rFonts w:ascii="Arial" w:hAnsi="Arial" w:cs="Arial"/>
                <w:sz w:val="18"/>
                <w:szCs w:val="18"/>
              </w:rPr>
              <w:t xml:space="preserve"> </w:t>
            </w:r>
          </w:p>
          <w:p w14:paraId="4542F925"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Myasthenia Gravis</w:t>
            </w:r>
          </w:p>
          <w:p w14:paraId="355CD051" w14:textId="77777777" w:rsidR="0072705F" w:rsidRPr="00C5458F" w:rsidRDefault="0072705F" w:rsidP="0072705F">
            <w:pPr>
              <w:numPr>
                <w:ilvl w:val="0"/>
                <w:numId w:val="24"/>
              </w:numPr>
              <w:spacing w:after="0" w:line="240" w:lineRule="auto"/>
              <w:contextualSpacing/>
              <w:rPr>
                <w:rFonts w:ascii="Arial" w:hAnsi="Arial" w:cs="Arial"/>
                <w:sz w:val="18"/>
                <w:szCs w:val="18"/>
              </w:rPr>
            </w:pPr>
            <w:r w:rsidRPr="00C5458F">
              <w:rPr>
                <w:rFonts w:ascii="Arial" w:hAnsi="Arial" w:cs="Arial"/>
                <w:sz w:val="18"/>
                <w:szCs w:val="18"/>
              </w:rPr>
              <w:t xml:space="preserve">Sussman J, Farrugia ME, Maddison P, et al. Myasthenia gravis: Association of British Neurologists’ management guidelines. Practical Neurology </w:t>
            </w:r>
            <w:proofErr w:type="gramStart"/>
            <w:r w:rsidRPr="00C5458F">
              <w:rPr>
                <w:rFonts w:ascii="Arial" w:hAnsi="Arial" w:cs="Arial"/>
                <w:sz w:val="18"/>
                <w:szCs w:val="18"/>
              </w:rPr>
              <w:t>2015;15:199</w:t>
            </w:r>
            <w:proofErr w:type="gramEnd"/>
            <w:r w:rsidRPr="00C5458F">
              <w:rPr>
                <w:rFonts w:ascii="Arial" w:hAnsi="Arial" w:cs="Arial"/>
                <w:sz w:val="18"/>
                <w:szCs w:val="18"/>
              </w:rPr>
              <w:t xml:space="preserve">-206. </w:t>
            </w:r>
            <w:hyperlink r:id="rId47" w:history="1">
              <w:r w:rsidRPr="00C5458F">
                <w:rPr>
                  <w:rFonts w:ascii="Arial" w:hAnsi="Arial" w:cs="Arial"/>
                  <w:color w:val="0000FF" w:themeColor="hyperlink"/>
                  <w:sz w:val="18"/>
                  <w:szCs w:val="18"/>
                  <w:u w:val="single"/>
                </w:rPr>
                <w:t>http://dx.doi.org/10.1136/practneurol-2015-001126</w:t>
              </w:r>
            </w:hyperlink>
            <w:r w:rsidRPr="00C5458F">
              <w:rPr>
                <w:rFonts w:ascii="Arial" w:hAnsi="Arial" w:cs="Arial"/>
                <w:sz w:val="18"/>
                <w:szCs w:val="18"/>
              </w:rPr>
              <w:t xml:space="preserve"> </w:t>
            </w:r>
          </w:p>
          <w:p w14:paraId="44B07F07" w14:textId="77777777" w:rsidR="0072705F" w:rsidRPr="00C5458F" w:rsidRDefault="0072705F" w:rsidP="0072705F">
            <w:pPr>
              <w:numPr>
                <w:ilvl w:val="0"/>
                <w:numId w:val="24"/>
              </w:numPr>
              <w:spacing w:after="0" w:line="240" w:lineRule="auto"/>
              <w:contextualSpacing/>
              <w:rPr>
                <w:rFonts w:ascii="Arial" w:hAnsi="Arial" w:cs="Arial"/>
                <w:sz w:val="18"/>
                <w:szCs w:val="18"/>
              </w:rPr>
            </w:pPr>
            <w:r w:rsidRPr="00C5458F">
              <w:rPr>
                <w:rFonts w:ascii="Arial" w:hAnsi="Arial" w:cs="Arial"/>
                <w:sz w:val="18"/>
                <w:szCs w:val="18"/>
              </w:rPr>
              <w:t xml:space="preserve">NHS England Clinical Commissioning Policy Statement: Rituximab bio-similar for the treatment of myasthenia gravis (adults) – (references use of azathioprine), Sep 2018 </w:t>
            </w:r>
            <w:hyperlink r:id="rId48" w:history="1">
              <w:r w:rsidRPr="00C5458F">
                <w:rPr>
                  <w:rFonts w:ascii="Arial" w:hAnsi="Arial" w:cs="Arial"/>
                  <w:color w:val="0000FF" w:themeColor="hyperlink"/>
                  <w:sz w:val="18"/>
                  <w:szCs w:val="18"/>
                  <w:u w:val="single"/>
                </w:rPr>
                <w:t>https://www.england.nhs.uk/wp-content/uploads/2018/10/Rituximab-biosimilar-for-the-treatment-of-myasthenia-gravis-adults-1.pdf</w:t>
              </w:r>
            </w:hyperlink>
          </w:p>
          <w:p w14:paraId="420613F2"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Uveitis</w:t>
            </w:r>
          </w:p>
          <w:p w14:paraId="7E381409" w14:textId="77777777" w:rsidR="0072705F" w:rsidRPr="00C5458F" w:rsidRDefault="0072705F" w:rsidP="0072705F">
            <w:pPr>
              <w:numPr>
                <w:ilvl w:val="0"/>
                <w:numId w:val="25"/>
              </w:numPr>
              <w:spacing w:after="0" w:line="240" w:lineRule="auto"/>
              <w:contextualSpacing/>
              <w:rPr>
                <w:rFonts w:ascii="Arial" w:hAnsi="Arial" w:cs="Arial"/>
                <w:sz w:val="18"/>
                <w:szCs w:val="18"/>
              </w:rPr>
            </w:pPr>
            <w:r w:rsidRPr="00C5458F">
              <w:rPr>
                <w:rFonts w:ascii="Arial" w:hAnsi="Arial" w:cs="Arial"/>
                <w:sz w:val="18"/>
                <w:szCs w:val="18"/>
              </w:rPr>
              <w:t xml:space="preserve">Adalimumab and dexamethasone for treating non-infectious uveitis NICE TA460, July 2017 – (references use of immunosuppressants) </w:t>
            </w:r>
            <w:hyperlink r:id="rId49" w:history="1">
              <w:r w:rsidRPr="00C5458F">
                <w:rPr>
                  <w:rFonts w:ascii="Arial" w:hAnsi="Arial" w:cs="Arial"/>
                  <w:color w:val="0000FF" w:themeColor="hyperlink"/>
                  <w:sz w:val="18"/>
                  <w:szCs w:val="18"/>
                  <w:u w:val="single"/>
                </w:rPr>
                <w:t>https://www.nice.org.uk/guidance/ta460/chapter/1-Recommendations</w:t>
              </w:r>
            </w:hyperlink>
          </w:p>
          <w:p w14:paraId="48659767" w14:textId="77777777" w:rsidR="0072705F" w:rsidRPr="00C5458F" w:rsidRDefault="0072705F" w:rsidP="0072705F">
            <w:pPr>
              <w:numPr>
                <w:ilvl w:val="0"/>
                <w:numId w:val="25"/>
              </w:numPr>
              <w:spacing w:after="0" w:line="240" w:lineRule="auto"/>
              <w:contextualSpacing/>
              <w:rPr>
                <w:rFonts w:ascii="Arial" w:hAnsi="Arial" w:cs="Arial"/>
                <w:sz w:val="18"/>
                <w:szCs w:val="18"/>
              </w:rPr>
            </w:pPr>
            <w:r w:rsidRPr="00C5458F">
              <w:rPr>
                <w:rFonts w:ascii="Arial" w:hAnsi="Arial" w:cs="Arial"/>
                <w:sz w:val="18"/>
                <w:szCs w:val="18"/>
              </w:rPr>
              <w:t xml:space="preserve">NHS England Clinical Commissioning Policy: Infliximab (Remicade) as Anti-TNF Alpha Treatment Option for Paediatric Patients with Severe Refractory Uveitis – (references use of azathioprine) </w:t>
            </w:r>
            <w:hyperlink r:id="rId50" w:history="1">
              <w:r w:rsidRPr="00C5458F">
                <w:rPr>
                  <w:rFonts w:ascii="Arial" w:hAnsi="Arial" w:cs="Arial"/>
                  <w:color w:val="0000FF" w:themeColor="hyperlink"/>
                  <w:sz w:val="18"/>
                  <w:szCs w:val="18"/>
                  <w:u w:val="single"/>
                </w:rPr>
                <w:t>https://www.england.nhs.uk/commissioning/wp-content/uploads/sites/12/2015/11/d12pb-paediatric-pats-uveitis-inflixi-fin.pdf</w:t>
              </w:r>
            </w:hyperlink>
            <w:r w:rsidRPr="00C5458F">
              <w:rPr>
                <w:rFonts w:ascii="Arial" w:hAnsi="Arial" w:cs="Arial"/>
                <w:sz w:val="18"/>
                <w:szCs w:val="18"/>
              </w:rPr>
              <w:t xml:space="preserve"> </w:t>
            </w:r>
          </w:p>
          <w:p w14:paraId="7C6E2740" w14:textId="77777777" w:rsidR="0072705F" w:rsidRPr="00C5458F" w:rsidRDefault="0072705F" w:rsidP="0072705F">
            <w:pPr>
              <w:numPr>
                <w:ilvl w:val="0"/>
                <w:numId w:val="25"/>
              </w:numPr>
              <w:spacing w:after="0" w:line="240" w:lineRule="auto"/>
              <w:contextualSpacing/>
              <w:rPr>
                <w:rFonts w:ascii="Arial" w:hAnsi="Arial" w:cs="Arial"/>
                <w:sz w:val="18"/>
                <w:szCs w:val="18"/>
              </w:rPr>
            </w:pPr>
            <w:r w:rsidRPr="00C5458F">
              <w:rPr>
                <w:rFonts w:ascii="Arial" w:hAnsi="Arial" w:cs="Arial"/>
                <w:sz w:val="18"/>
                <w:szCs w:val="18"/>
              </w:rPr>
              <w:lastRenderedPageBreak/>
              <w:t xml:space="preserve">NHS England Clinical Commissioning Policy: Infliximab (Remicade) and Adalimumab (Humira) As Anti-TNF Treatment Options For Adult Patients with Severe Refractory Uveitis - (references use of azathioprine) </w:t>
            </w:r>
            <w:hyperlink r:id="rId51" w:history="1">
              <w:r w:rsidRPr="00C5458F">
                <w:rPr>
                  <w:rFonts w:ascii="Arial" w:hAnsi="Arial" w:cs="Arial"/>
                  <w:color w:val="0000FF" w:themeColor="hyperlink"/>
                  <w:sz w:val="18"/>
                  <w:szCs w:val="18"/>
                  <w:u w:val="single"/>
                </w:rPr>
                <w:t>https://www.engage.england.nhs.uk/consultation/specialised-services-consultation/user_uploads/uveitis-adults-policy.pdf</w:t>
              </w:r>
            </w:hyperlink>
          </w:p>
          <w:p w14:paraId="28E4C47A" w14:textId="77777777" w:rsidR="0072705F" w:rsidRPr="00C5458F" w:rsidRDefault="0072705F" w:rsidP="00992C71">
            <w:pPr>
              <w:spacing w:after="0" w:line="240" w:lineRule="auto"/>
              <w:contextualSpacing/>
              <w:rPr>
                <w:rFonts w:ascii="Arial" w:hAnsi="Arial" w:cs="Arial"/>
                <w:i/>
                <w:sz w:val="18"/>
                <w:szCs w:val="18"/>
              </w:rPr>
            </w:pPr>
            <w:r w:rsidRPr="00C5458F">
              <w:rPr>
                <w:rFonts w:ascii="Arial" w:hAnsi="Arial" w:cs="Arial"/>
                <w:i/>
                <w:sz w:val="18"/>
                <w:szCs w:val="18"/>
              </w:rPr>
              <w:t>Pulmonary Sarcoidosis</w:t>
            </w:r>
          </w:p>
          <w:p w14:paraId="6B524A78" w14:textId="77777777" w:rsidR="0072705F" w:rsidRPr="0039285C" w:rsidRDefault="0072705F" w:rsidP="0072705F">
            <w:pPr>
              <w:pStyle w:val="ListParagraph"/>
              <w:numPr>
                <w:ilvl w:val="0"/>
                <w:numId w:val="27"/>
              </w:numPr>
              <w:spacing w:after="0" w:line="240" w:lineRule="auto"/>
              <w:rPr>
                <w:rFonts w:ascii="Arial" w:hAnsi="Arial" w:cs="Arial"/>
                <w:sz w:val="20"/>
                <w:szCs w:val="20"/>
              </w:rPr>
            </w:pPr>
            <w:r w:rsidRPr="00C5458F">
              <w:rPr>
                <w:rFonts w:ascii="Arial" w:hAnsi="Arial" w:cs="Arial"/>
                <w:sz w:val="18"/>
                <w:szCs w:val="18"/>
              </w:rPr>
              <w:t xml:space="preserve">NHS England Clinical Commissioning Policy: Infliximab for Progressive Pulmonary Sarcoidosis in adults – (references use of azathioprine) </w:t>
            </w:r>
            <w:hyperlink r:id="rId52" w:history="1">
              <w:r w:rsidRPr="00C5458F">
                <w:rPr>
                  <w:rStyle w:val="Hyperlink"/>
                  <w:rFonts w:ascii="Arial" w:hAnsi="Arial" w:cs="Arial"/>
                  <w:sz w:val="18"/>
                  <w:szCs w:val="18"/>
                </w:rPr>
                <w:t>https://www.england.nhs.uk/wp-content/uploads/2018/11/infliximab-progressive-pulmonary-sarcoidosis-adults.pdf</w:t>
              </w:r>
            </w:hyperlink>
            <w:r>
              <w:rPr>
                <w:rFonts w:ascii="Arial" w:hAnsi="Arial" w:cs="Arial"/>
                <w:sz w:val="20"/>
                <w:szCs w:val="20"/>
              </w:rPr>
              <w:t xml:space="preserve"> </w:t>
            </w:r>
          </w:p>
        </w:tc>
      </w:tr>
    </w:tbl>
    <w:p w14:paraId="45C4F146" w14:textId="77777777" w:rsidR="0072705F" w:rsidRDefault="0072705F" w:rsidP="0072705F">
      <w:pPr>
        <w:spacing w:after="0"/>
        <w:rPr>
          <w:b/>
        </w:rPr>
      </w:pPr>
    </w:p>
    <w:p w14:paraId="2F68D283" w14:textId="77777777" w:rsidR="0072705F" w:rsidRDefault="0072705F" w:rsidP="0072705F">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p>
    <w:p w14:paraId="6360BB63"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NICE CKS DMARDs: Last revised in July 2018; What monitoring is required for azathioprine? </w:t>
      </w:r>
      <w:hyperlink r:id="rId53" w:anchor="!scenarioRecommendation:3" w:history="1">
        <w:r w:rsidRPr="00C5458F">
          <w:rPr>
            <w:rStyle w:val="Hyperlink"/>
            <w:rFonts w:ascii="Arial" w:eastAsia="Times New Roman" w:hAnsi="Arial" w:cs="Arial"/>
            <w:bCs/>
            <w:sz w:val="16"/>
            <w:szCs w:val="16"/>
          </w:rPr>
          <w:t>https://cks.nice.org.uk/dmards#!scenarioRecommendation:3</w:t>
        </w:r>
      </w:hyperlink>
      <w:r w:rsidRPr="00C5458F">
        <w:rPr>
          <w:rFonts w:ascii="Arial" w:eastAsia="Times New Roman" w:hAnsi="Arial" w:cs="Arial"/>
          <w:bCs/>
          <w:sz w:val="16"/>
          <w:szCs w:val="16"/>
        </w:rPr>
        <w:t xml:space="preserve"> </w:t>
      </w:r>
    </w:p>
    <w:p w14:paraId="1101AFF7"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BSR and BHPR guideline for the prescription and monitoring of non-biologic disease-modifying anti-rheumatic drugs, Rheumatology 2017;56:865868 </w:t>
      </w:r>
      <w:hyperlink r:id="rId54" w:history="1">
        <w:r w:rsidRPr="00C5458F">
          <w:rPr>
            <w:rStyle w:val="Hyperlink"/>
            <w:rFonts w:ascii="Arial" w:eastAsia="Times New Roman" w:hAnsi="Arial" w:cs="Arial"/>
            <w:bCs/>
            <w:sz w:val="16"/>
            <w:szCs w:val="16"/>
          </w:rPr>
          <w:t>https://www.rheumatology.org.uk/practice-quality/guidelines</w:t>
        </w:r>
      </w:hyperlink>
      <w:r w:rsidRPr="00C5458F">
        <w:rPr>
          <w:rFonts w:ascii="Arial" w:eastAsia="Times New Roman" w:hAnsi="Arial" w:cs="Arial"/>
          <w:bCs/>
          <w:sz w:val="16"/>
          <w:szCs w:val="16"/>
        </w:rPr>
        <w:t xml:space="preserve"> </w:t>
      </w:r>
    </w:p>
    <w:p w14:paraId="08C858E5"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The Green Book Immunisation against infectious disease </w:t>
      </w:r>
      <w:hyperlink r:id="rId55" w:history="1">
        <w:r w:rsidRPr="00C5458F">
          <w:rPr>
            <w:rStyle w:val="Hyperlink"/>
            <w:rFonts w:ascii="Arial" w:eastAsia="Times New Roman" w:hAnsi="Arial" w:cs="Arial"/>
            <w:bCs/>
            <w:sz w:val="16"/>
            <w:szCs w:val="16"/>
          </w:rPr>
          <w:t>https://www.gov.uk/government/collections/immunisation-against-infectious-disease-the-green-book</w:t>
        </w:r>
      </w:hyperlink>
      <w:r w:rsidRPr="00C5458F">
        <w:rPr>
          <w:rFonts w:ascii="Arial" w:eastAsia="Times New Roman" w:hAnsi="Arial" w:cs="Arial"/>
          <w:bCs/>
          <w:sz w:val="16"/>
          <w:szCs w:val="16"/>
        </w:rPr>
        <w:t xml:space="preserve"> </w:t>
      </w:r>
    </w:p>
    <w:p w14:paraId="09070B95"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sidRPr="00C5458F">
        <w:rPr>
          <w:rFonts w:ascii="Arial" w:eastAsia="Times New Roman" w:hAnsi="Arial" w:cs="Arial"/>
          <w:bCs/>
          <w:sz w:val="16"/>
          <w:szCs w:val="16"/>
        </w:rPr>
        <w:t>Interface Pharmacist Network Specialist Medicines (Northern Ireland Health &amp; Social Care)</w:t>
      </w:r>
      <w:r w:rsidRPr="00C5458F">
        <w:rPr>
          <w:rFonts w:ascii="Arial" w:hAnsi="Arial" w:cs="Arial"/>
          <w:sz w:val="16"/>
          <w:szCs w:val="16"/>
        </w:rPr>
        <w:t xml:space="preserve"> </w:t>
      </w:r>
      <w:r w:rsidRPr="00C5458F">
        <w:rPr>
          <w:rFonts w:ascii="Arial" w:eastAsia="Times New Roman" w:hAnsi="Arial" w:cs="Arial"/>
          <w:bCs/>
          <w:sz w:val="16"/>
          <w:szCs w:val="16"/>
        </w:rPr>
        <w:t xml:space="preserve">Azathioprine - Adult (non-transplant indications) Shared Care Guidelines </w:t>
      </w:r>
      <w:hyperlink r:id="rId56" w:history="1">
        <w:r w:rsidRPr="00C5458F">
          <w:rPr>
            <w:rStyle w:val="Hyperlink"/>
            <w:rFonts w:ascii="Arial" w:eastAsia="Times New Roman" w:hAnsi="Arial" w:cs="Arial"/>
            <w:bCs/>
            <w:sz w:val="16"/>
            <w:szCs w:val="16"/>
          </w:rPr>
          <w:t>http://www.ipnsm.hscni.net/download/shared_care_guidelines/AzathioprineSCG2017.pdf</w:t>
        </w:r>
      </w:hyperlink>
    </w:p>
    <w:p w14:paraId="6E54040E"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sidRPr="00C5458F">
        <w:rPr>
          <w:rFonts w:ascii="Arial" w:eastAsia="Times New Roman" w:hAnsi="Arial" w:cs="Arial"/>
          <w:bCs/>
          <w:sz w:val="16"/>
          <w:szCs w:val="16"/>
        </w:rPr>
        <w:t xml:space="preserve">BSR and BHPR guideline on prescribing drugs in pregnancy and breastfeeding—Part I: standard and biologic disease modifying anti-rheumatic drugs and corticosteroids, Rheumatology, Volume 55, Issue 9, September 2016, Pages 1693–1697, </w:t>
      </w:r>
      <w:hyperlink r:id="rId57" w:history="1">
        <w:r w:rsidRPr="00C5458F">
          <w:rPr>
            <w:rStyle w:val="Hyperlink"/>
            <w:rFonts w:ascii="Arial" w:eastAsia="Times New Roman" w:hAnsi="Arial" w:cs="Arial"/>
            <w:bCs/>
            <w:sz w:val="16"/>
            <w:szCs w:val="16"/>
          </w:rPr>
          <w:t>https://doi.org/10.1093/rheumatology/kev404</w:t>
        </w:r>
      </w:hyperlink>
      <w:r w:rsidRPr="00C5458F">
        <w:rPr>
          <w:rFonts w:ascii="Arial" w:eastAsia="Times New Roman" w:hAnsi="Arial" w:cs="Arial"/>
          <w:bCs/>
          <w:sz w:val="16"/>
          <w:szCs w:val="16"/>
        </w:rPr>
        <w:t xml:space="preserve">  </w:t>
      </w:r>
    </w:p>
    <w:p w14:paraId="282C7E61" w14:textId="77777777" w:rsidR="0072705F" w:rsidRDefault="0072705F" w:rsidP="0072705F">
      <w:pPr>
        <w:rPr>
          <w:rFonts w:ascii="Arial" w:hAnsi="Arial" w:cs="Arial"/>
          <w:b/>
          <w:sz w:val="28"/>
          <w:u w:val="single"/>
        </w:rPr>
      </w:pPr>
    </w:p>
    <w:p w14:paraId="365553FB" w14:textId="77777777" w:rsidR="009D3945" w:rsidRDefault="009D3945" w:rsidP="0072705F">
      <w:pPr>
        <w:rPr>
          <w:rFonts w:ascii="Arial" w:hAnsi="Arial" w:cs="Arial"/>
          <w:b/>
          <w:sz w:val="28"/>
          <w:u w:val="single"/>
        </w:rPr>
      </w:pPr>
    </w:p>
    <w:p w14:paraId="0A6AD886" w14:textId="77777777" w:rsidR="005F52CF" w:rsidRDefault="005F52CF" w:rsidP="0072705F">
      <w:pPr>
        <w:rPr>
          <w:rFonts w:ascii="Arial" w:hAnsi="Arial" w:cs="Arial"/>
          <w:b/>
          <w:sz w:val="28"/>
          <w:u w:val="single"/>
        </w:rPr>
      </w:pPr>
    </w:p>
    <w:p w14:paraId="0D431678" w14:textId="77777777" w:rsidR="005F52CF" w:rsidRDefault="005F52CF" w:rsidP="0072705F">
      <w:pPr>
        <w:rPr>
          <w:rFonts w:ascii="Arial" w:hAnsi="Arial" w:cs="Arial"/>
          <w:b/>
          <w:sz w:val="28"/>
          <w:u w:val="single"/>
        </w:rPr>
      </w:pPr>
    </w:p>
    <w:p w14:paraId="619D14BB" w14:textId="77777777" w:rsidR="005F52CF" w:rsidRDefault="005F52CF" w:rsidP="0072705F">
      <w:pPr>
        <w:rPr>
          <w:rFonts w:ascii="Arial" w:hAnsi="Arial" w:cs="Arial"/>
          <w:b/>
          <w:sz w:val="28"/>
          <w:u w:val="single"/>
        </w:rPr>
      </w:pPr>
    </w:p>
    <w:p w14:paraId="144FBC6C" w14:textId="77777777" w:rsidR="005F52CF" w:rsidRDefault="005F52CF" w:rsidP="0072705F">
      <w:pPr>
        <w:rPr>
          <w:rFonts w:ascii="Arial" w:hAnsi="Arial" w:cs="Arial"/>
          <w:b/>
          <w:sz w:val="28"/>
          <w:u w:val="single"/>
        </w:rPr>
      </w:pPr>
    </w:p>
    <w:p w14:paraId="23FE5F9A" w14:textId="77777777" w:rsidR="00114E55" w:rsidRDefault="00114E55" w:rsidP="0072705F">
      <w:pPr>
        <w:rPr>
          <w:rFonts w:ascii="Arial" w:hAnsi="Arial" w:cs="Arial"/>
          <w:b/>
          <w:sz w:val="28"/>
          <w:u w:val="single"/>
        </w:rPr>
      </w:pPr>
    </w:p>
    <w:p w14:paraId="38874BA1" w14:textId="77777777" w:rsidR="00114E55" w:rsidRDefault="00114E55" w:rsidP="0072705F">
      <w:pPr>
        <w:rPr>
          <w:rFonts w:ascii="Arial" w:hAnsi="Arial" w:cs="Arial"/>
          <w:b/>
          <w:sz w:val="28"/>
          <w:u w:val="single"/>
        </w:rPr>
      </w:pPr>
    </w:p>
    <w:p w14:paraId="2C4333F3" w14:textId="77777777" w:rsidR="00114E55" w:rsidRDefault="00114E55" w:rsidP="0072705F">
      <w:pPr>
        <w:rPr>
          <w:rFonts w:ascii="Arial" w:hAnsi="Arial" w:cs="Arial"/>
          <w:b/>
          <w:sz w:val="28"/>
          <w:u w:val="single"/>
        </w:rPr>
      </w:pPr>
    </w:p>
    <w:p w14:paraId="52063462" w14:textId="77777777" w:rsidR="005F52CF" w:rsidRDefault="005F52CF" w:rsidP="0072705F">
      <w:pPr>
        <w:rPr>
          <w:rFonts w:ascii="Arial" w:hAnsi="Arial" w:cs="Arial"/>
          <w:b/>
          <w:sz w:val="28"/>
          <w:u w:val="single"/>
        </w:rPr>
      </w:pPr>
    </w:p>
    <w:p w14:paraId="54665AD0" w14:textId="77777777" w:rsidR="005F52CF" w:rsidRDefault="005F52CF" w:rsidP="0072705F">
      <w:pPr>
        <w:rPr>
          <w:rFonts w:ascii="Arial" w:hAnsi="Arial" w:cs="Arial"/>
          <w:b/>
          <w:sz w:val="28"/>
          <w:u w:val="single"/>
        </w:rPr>
      </w:pPr>
    </w:p>
    <w:p w14:paraId="7F758744" w14:textId="77777777" w:rsidR="005F52CF" w:rsidRDefault="005F52CF" w:rsidP="0072705F">
      <w:pPr>
        <w:rPr>
          <w:rFonts w:ascii="Arial" w:hAnsi="Arial" w:cs="Arial"/>
          <w:b/>
          <w:sz w:val="28"/>
          <w:u w:val="single"/>
        </w:rPr>
      </w:pPr>
    </w:p>
    <w:p w14:paraId="72ED9933" w14:textId="77777777" w:rsidR="005F52CF" w:rsidRDefault="005F52CF" w:rsidP="0072705F">
      <w:pPr>
        <w:rPr>
          <w:rFonts w:ascii="Arial" w:hAnsi="Arial" w:cs="Arial"/>
          <w:b/>
          <w:sz w:val="28"/>
          <w:u w:val="single"/>
        </w:rPr>
      </w:pPr>
    </w:p>
    <w:p w14:paraId="4F18318A" w14:textId="77777777" w:rsidR="005F52CF" w:rsidRDefault="005F52CF" w:rsidP="0072705F">
      <w:pPr>
        <w:rPr>
          <w:rFonts w:ascii="Arial" w:hAnsi="Arial" w:cs="Arial"/>
          <w:b/>
          <w:sz w:val="28"/>
          <w:u w:val="single"/>
        </w:rPr>
      </w:pPr>
    </w:p>
    <w:p w14:paraId="7775B087" w14:textId="77777777" w:rsidR="005F52CF" w:rsidRDefault="005F52CF" w:rsidP="0072705F">
      <w:pPr>
        <w:rPr>
          <w:rFonts w:ascii="Arial" w:hAnsi="Arial" w:cs="Arial"/>
          <w:b/>
          <w:sz w:val="28"/>
          <w:u w:val="single"/>
        </w:rPr>
      </w:pPr>
    </w:p>
    <w:p w14:paraId="638C9E45" w14:textId="77777777" w:rsidR="005F52CF" w:rsidRDefault="005F52CF" w:rsidP="0072705F">
      <w:pPr>
        <w:rPr>
          <w:rFonts w:ascii="Arial" w:hAnsi="Arial" w:cs="Arial"/>
          <w:b/>
          <w:sz w:val="28"/>
          <w:u w:val="single"/>
        </w:rPr>
      </w:pPr>
    </w:p>
    <w:p w14:paraId="41F7BADD" w14:textId="77777777" w:rsidR="005F52CF" w:rsidRDefault="005F52CF" w:rsidP="0072705F">
      <w:pPr>
        <w:rPr>
          <w:rFonts w:ascii="Arial" w:hAnsi="Arial" w:cs="Arial"/>
          <w:b/>
          <w:sz w:val="28"/>
          <w:u w:val="single"/>
        </w:rPr>
      </w:pPr>
    </w:p>
    <w:p w14:paraId="35DDD68E" w14:textId="77777777" w:rsidR="00114E55" w:rsidRDefault="00114E55" w:rsidP="0072705F">
      <w:pPr>
        <w:rPr>
          <w:rFonts w:ascii="Arial" w:hAnsi="Arial" w:cs="Arial"/>
          <w:b/>
          <w:sz w:val="28"/>
          <w:u w:val="single"/>
        </w:rPr>
      </w:pPr>
    </w:p>
    <w:p w14:paraId="44423578" w14:textId="77777777" w:rsidR="005F52CF" w:rsidRDefault="005F52CF" w:rsidP="0072705F">
      <w:pPr>
        <w:rPr>
          <w:rFonts w:ascii="Arial" w:hAnsi="Arial" w:cs="Arial"/>
          <w:b/>
          <w:sz w:val="28"/>
          <w:u w:val="single"/>
        </w:rPr>
      </w:pP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lastRenderedPageBreak/>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Style w:val="TableGrid"/>
        <w:tblW w:w="10485" w:type="dxa"/>
        <w:tblLook w:val="04A0" w:firstRow="1" w:lastRow="0" w:firstColumn="1" w:lastColumn="0" w:noHBand="0" w:noVBand="1"/>
      </w:tblPr>
      <w:tblGrid>
        <w:gridCol w:w="1976"/>
        <w:gridCol w:w="8509"/>
      </w:tblGrid>
      <w:tr w:rsidR="005534AC" w:rsidRPr="00BE665A" w14:paraId="081AD072" w14:textId="77777777" w:rsidTr="00992C71">
        <w:tc>
          <w:tcPr>
            <w:tcW w:w="1976" w:type="dxa"/>
            <w:shd w:val="clear" w:color="auto" w:fill="auto"/>
          </w:tcPr>
          <w:p w14:paraId="2D742F5D" w14:textId="77777777" w:rsidR="005534AC" w:rsidRPr="00BE665A" w:rsidRDefault="005534AC" w:rsidP="00992C71">
            <w:pPr>
              <w:rPr>
                <w:rFonts w:ascii="Arial" w:eastAsia="Arial" w:hAnsi="Arial" w:cs="Arial"/>
                <w:color w:val="000000"/>
                <w:sz w:val="15"/>
                <w:szCs w:val="15"/>
              </w:rPr>
            </w:pPr>
            <w:bookmarkStart w:id="1" w:name="_Hlk151993954"/>
            <w:r w:rsidRPr="00BE665A">
              <w:rPr>
                <w:rFonts w:ascii="Arial" w:eastAsia="Arial" w:hAnsi="Arial" w:cs="Arial"/>
                <w:color w:val="000000"/>
                <w:sz w:val="15"/>
                <w:szCs w:val="15"/>
              </w:rPr>
              <w:t xml:space="preserve">Version </w:t>
            </w:r>
          </w:p>
        </w:tc>
        <w:tc>
          <w:tcPr>
            <w:tcW w:w="8509" w:type="dxa"/>
          </w:tcPr>
          <w:p w14:paraId="425DB83D" w14:textId="35CB4B69" w:rsidR="00114E55" w:rsidRDefault="00114E55" w:rsidP="00992C71">
            <w:pPr>
              <w:rPr>
                <w:rFonts w:ascii="Arial" w:eastAsia="Arial" w:hAnsi="Arial" w:cs="Arial"/>
                <w:sz w:val="15"/>
                <w:szCs w:val="15"/>
              </w:rPr>
            </w:pPr>
            <w:r>
              <w:rPr>
                <w:rFonts w:ascii="Arial" w:eastAsia="Arial" w:hAnsi="Arial" w:cs="Arial"/>
                <w:sz w:val="15"/>
                <w:szCs w:val="15"/>
              </w:rPr>
              <w:t xml:space="preserve">2.2 Updated </w:t>
            </w:r>
            <w:r w:rsidR="00156070">
              <w:rPr>
                <w:rFonts w:ascii="Arial" w:eastAsia="Arial" w:hAnsi="Arial" w:cs="Arial"/>
                <w:sz w:val="15"/>
                <w:szCs w:val="15"/>
              </w:rPr>
              <w:t>In line with</w:t>
            </w:r>
            <w:r>
              <w:rPr>
                <w:rFonts w:ascii="Arial" w:eastAsia="Arial" w:hAnsi="Arial" w:cs="Arial"/>
                <w:sz w:val="15"/>
                <w:szCs w:val="15"/>
              </w:rPr>
              <w:t xml:space="preserve"> new shared care protocol template May 2025 </w:t>
            </w:r>
          </w:p>
          <w:p w14:paraId="49B491FB" w14:textId="1A7CD756" w:rsidR="003A3F45" w:rsidRDefault="003A3F45" w:rsidP="00992C71">
            <w:pPr>
              <w:rPr>
                <w:rFonts w:ascii="Arial" w:eastAsia="Arial" w:hAnsi="Arial" w:cs="Arial"/>
                <w:sz w:val="15"/>
                <w:szCs w:val="15"/>
              </w:rPr>
            </w:pPr>
            <w:r>
              <w:rPr>
                <w:rFonts w:ascii="Arial" w:eastAsia="Arial" w:hAnsi="Arial" w:cs="Arial"/>
                <w:sz w:val="15"/>
                <w:szCs w:val="15"/>
              </w:rPr>
              <w:t>2.1 Updated wording on swallowing difficulties September 2024</w:t>
            </w:r>
          </w:p>
          <w:p w14:paraId="5D49D2E2" w14:textId="18A33F00" w:rsidR="005534AC" w:rsidRPr="00BE665A" w:rsidRDefault="00735B06" w:rsidP="00992C71">
            <w:pPr>
              <w:rPr>
                <w:rFonts w:ascii="Arial" w:eastAsia="Arial" w:hAnsi="Arial" w:cs="Arial"/>
                <w:sz w:val="15"/>
                <w:szCs w:val="15"/>
              </w:rPr>
            </w:pPr>
            <w:r>
              <w:rPr>
                <w:rFonts w:ascii="Arial" w:eastAsia="Arial" w:hAnsi="Arial" w:cs="Arial"/>
                <w:sz w:val="15"/>
                <w:szCs w:val="15"/>
              </w:rPr>
              <w:t xml:space="preserve">2.0 </w:t>
            </w:r>
            <w:r w:rsidR="005534AC" w:rsidRPr="00BE665A">
              <w:rPr>
                <w:rFonts w:ascii="Arial" w:eastAsia="Arial" w:hAnsi="Arial" w:cs="Arial"/>
                <w:sz w:val="15"/>
                <w:szCs w:val="15"/>
              </w:rPr>
              <w:t xml:space="preserve">Harmonisation of </w:t>
            </w:r>
            <w:r w:rsidR="005534AC" w:rsidRPr="00A144AD">
              <w:rPr>
                <w:rFonts w:ascii="Arial" w:eastAsia="Arial" w:hAnsi="Arial" w:cs="Arial"/>
                <w:sz w:val="15"/>
                <w:szCs w:val="15"/>
              </w:rPr>
              <w:t xml:space="preserve">Hertfordshire Medicines Management Committee </w:t>
            </w:r>
            <w:r w:rsidR="005534AC">
              <w:rPr>
                <w:rFonts w:ascii="Arial" w:eastAsia="Arial" w:hAnsi="Arial" w:cs="Arial"/>
                <w:sz w:val="15"/>
                <w:szCs w:val="15"/>
              </w:rPr>
              <w:t xml:space="preserve">(HMMC) </w:t>
            </w:r>
            <w:r w:rsidR="005534AC" w:rsidRPr="00A144AD">
              <w:rPr>
                <w:rFonts w:ascii="Arial" w:eastAsia="Arial" w:hAnsi="Arial" w:cs="Arial"/>
                <w:sz w:val="15"/>
                <w:szCs w:val="15"/>
              </w:rPr>
              <w:t xml:space="preserve">guidance </w:t>
            </w:r>
            <w:r w:rsidR="005534AC">
              <w:rPr>
                <w:rFonts w:ascii="Arial" w:eastAsia="Arial" w:hAnsi="Arial" w:cs="Arial"/>
                <w:sz w:val="15"/>
                <w:szCs w:val="15"/>
              </w:rPr>
              <w:t xml:space="preserve">and </w:t>
            </w:r>
            <w:r w:rsidR="005534AC" w:rsidRPr="00820C02">
              <w:rPr>
                <w:rFonts w:ascii="Arial" w:eastAsia="Arial" w:hAnsi="Arial" w:cs="Arial"/>
                <w:sz w:val="15"/>
                <w:szCs w:val="15"/>
              </w:rPr>
              <w:t xml:space="preserve">West Essex Medicines Optimisation Programme Board (WEMOPB) guidance </w:t>
            </w:r>
            <w:r w:rsidR="005534AC" w:rsidRPr="00BE665A">
              <w:rPr>
                <w:rFonts w:ascii="Arial" w:eastAsia="Arial" w:hAnsi="Arial" w:cs="Arial"/>
                <w:sz w:val="15"/>
                <w:szCs w:val="15"/>
              </w:rPr>
              <w:t>updates include:</w:t>
            </w:r>
          </w:p>
          <w:p w14:paraId="742C089B" w14:textId="77777777" w:rsidR="005534AC" w:rsidRPr="00BE665A" w:rsidRDefault="005534AC" w:rsidP="005534AC">
            <w:pPr>
              <w:numPr>
                <w:ilvl w:val="0"/>
                <w:numId w:val="28"/>
              </w:numPr>
              <w:spacing w:after="4" w:line="255" w:lineRule="auto"/>
              <w:contextualSpacing/>
              <w:rPr>
                <w:rFonts w:ascii="Arial" w:hAnsi="Arial" w:cs="Arial"/>
                <w:sz w:val="15"/>
                <w:szCs w:val="15"/>
              </w:rPr>
            </w:pPr>
            <w:r w:rsidRPr="00BE665A">
              <w:rPr>
                <w:rFonts w:ascii="Arial" w:hAnsi="Arial" w:cs="Arial"/>
                <w:sz w:val="15"/>
                <w:szCs w:val="15"/>
              </w:rPr>
              <w:t>Rebadging with HWE ICB</w:t>
            </w:r>
            <w:r>
              <w:rPr>
                <w:rFonts w:ascii="Arial" w:hAnsi="Arial" w:cs="Arial"/>
                <w:sz w:val="15"/>
                <w:szCs w:val="15"/>
              </w:rPr>
              <w:t xml:space="preserve"> and</w:t>
            </w:r>
            <w:r w:rsidRPr="00BE665A">
              <w:rPr>
                <w:rFonts w:ascii="Arial" w:hAnsi="Arial" w:cs="Arial"/>
                <w:sz w:val="15"/>
                <w:szCs w:val="15"/>
              </w:rPr>
              <w:t xml:space="preserve"> removal of </w:t>
            </w:r>
            <w:r>
              <w:rPr>
                <w:rFonts w:ascii="Arial" w:hAnsi="Arial" w:cs="Arial"/>
                <w:sz w:val="15"/>
                <w:szCs w:val="15"/>
              </w:rPr>
              <w:t>ENH</w:t>
            </w:r>
            <w:r w:rsidRPr="00BE665A">
              <w:rPr>
                <w:rFonts w:ascii="Arial" w:hAnsi="Arial" w:cs="Arial"/>
                <w:sz w:val="15"/>
                <w:szCs w:val="15"/>
              </w:rPr>
              <w:t xml:space="preserve">CCG </w:t>
            </w:r>
            <w:r>
              <w:rPr>
                <w:rFonts w:ascii="Arial" w:hAnsi="Arial" w:cs="Arial"/>
                <w:sz w:val="15"/>
                <w:szCs w:val="15"/>
              </w:rPr>
              <w:t>and HVCCG headers</w:t>
            </w:r>
          </w:p>
          <w:p w14:paraId="585320B6" w14:textId="20CFE434" w:rsidR="005F52CF" w:rsidRPr="00DF7B01" w:rsidRDefault="005534AC" w:rsidP="00DF7B01">
            <w:pPr>
              <w:numPr>
                <w:ilvl w:val="0"/>
                <w:numId w:val="28"/>
              </w:numPr>
              <w:spacing w:after="4" w:line="255" w:lineRule="auto"/>
              <w:contextualSpacing/>
              <w:rPr>
                <w:sz w:val="15"/>
                <w:szCs w:val="15"/>
              </w:rPr>
            </w:pPr>
            <w:r w:rsidRPr="00BE665A">
              <w:rPr>
                <w:rFonts w:ascii="Arial" w:hAnsi="Arial" w:cs="Arial"/>
                <w:sz w:val="15"/>
                <w:szCs w:val="15"/>
              </w:rPr>
              <w:t>Review date removed and replaced with standard statement</w:t>
            </w:r>
            <w:r w:rsidRPr="00BE665A">
              <w:rPr>
                <w:sz w:val="15"/>
                <w:szCs w:val="15"/>
              </w:rPr>
              <w:t xml:space="preserve">. </w:t>
            </w:r>
          </w:p>
        </w:tc>
      </w:tr>
      <w:tr w:rsidR="005534AC" w:rsidRPr="00BE665A" w14:paraId="6D2E4FFE" w14:textId="77777777" w:rsidTr="00992C71">
        <w:tc>
          <w:tcPr>
            <w:tcW w:w="1976" w:type="dxa"/>
            <w:shd w:val="clear" w:color="auto" w:fill="auto"/>
          </w:tcPr>
          <w:p w14:paraId="07BB4F3A" w14:textId="77777777" w:rsidR="005534AC" w:rsidRDefault="005534AC" w:rsidP="00992C71">
            <w:pPr>
              <w:rPr>
                <w:rFonts w:ascii="Arial" w:eastAsia="Arial" w:hAnsi="Arial" w:cs="Arial"/>
                <w:color w:val="000000"/>
                <w:sz w:val="15"/>
                <w:szCs w:val="15"/>
              </w:rPr>
            </w:pPr>
            <w:r>
              <w:rPr>
                <w:rFonts w:ascii="Arial" w:eastAsia="Arial" w:hAnsi="Arial" w:cs="Arial"/>
                <w:color w:val="000000"/>
                <w:sz w:val="15"/>
                <w:szCs w:val="15"/>
              </w:rPr>
              <w:t>Developed by</w:t>
            </w:r>
          </w:p>
        </w:tc>
        <w:tc>
          <w:tcPr>
            <w:tcW w:w="8509" w:type="dxa"/>
          </w:tcPr>
          <w:p w14:paraId="37DB252F" w14:textId="2A7483DB" w:rsidR="005534AC" w:rsidRDefault="00735B06" w:rsidP="00992C71">
            <w:pPr>
              <w:rPr>
                <w:rFonts w:ascii="Arial" w:eastAsia="Arial" w:hAnsi="Arial" w:cs="Arial"/>
                <w:sz w:val="15"/>
                <w:szCs w:val="15"/>
              </w:rPr>
            </w:pPr>
            <w:r w:rsidRPr="00735B06">
              <w:rPr>
                <w:rFonts w:ascii="Arial" w:eastAsia="Arial" w:hAnsi="Arial" w:cs="Arial"/>
                <w:sz w:val="15"/>
                <w:szCs w:val="15"/>
              </w:rPr>
              <w:t>East and North Hertfordshire NHS Trust Pharmacy department and relevant specialisms supported by Hertfordshire CCGs Pharmacy and Medicines Optimisation Teams</w:t>
            </w:r>
          </w:p>
        </w:tc>
      </w:tr>
      <w:tr w:rsidR="005534AC" w:rsidRPr="00BE665A" w14:paraId="6E87D905" w14:textId="77777777" w:rsidTr="00992C71">
        <w:tc>
          <w:tcPr>
            <w:tcW w:w="1976" w:type="dxa"/>
            <w:shd w:val="clear" w:color="auto" w:fill="auto"/>
          </w:tcPr>
          <w:p w14:paraId="24BFADE6" w14:textId="77777777" w:rsidR="005534AC" w:rsidRPr="00BE665A" w:rsidRDefault="005534AC" w:rsidP="00992C71">
            <w:pPr>
              <w:rPr>
                <w:rFonts w:ascii="Arial" w:eastAsia="Arial" w:hAnsi="Arial" w:cs="Arial"/>
                <w:color w:val="000000"/>
                <w:sz w:val="15"/>
                <w:szCs w:val="15"/>
              </w:rPr>
            </w:pPr>
            <w:r>
              <w:rPr>
                <w:rFonts w:ascii="Arial" w:eastAsia="Arial" w:hAnsi="Arial" w:cs="Arial"/>
                <w:color w:val="000000"/>
                <w:sz w:val="15"/>
                <w:szCs w:val="15"/>
              </w:rPr>
              <w:t>Approved by</w:t>
            </w:r>
          </w:p>
        </w:tc>
        <w:tc>
          <w:tcPr>
            <w:tcW w:w="8509" w:type="dxa"/>
          </w:tcPr>
          <w:p w14:paraId="687F1650" w14:textId="4AECE727" w:rsidR="005534AC" w:rsidRPr="003C3EFF" w:rsidRDefault="005534AC" w:rsidP="00992C71">
            <w:pPr>
              <w:rPr>
                <w:rFonts w:ascii="Arial" w:eastAsia="Arial" w:hAnsi="Arial" w:cs="Arial"/>
                <w:sz w:val="15"/>
                <w:szCs w:val="15"/>
              </w:rPr>
            </w:pPr>
            <w:r w:rsidRPr="003C3EFF">
              <w:rPr>
                <w:rFonts w:ascii="Arial" w:eastAsia="Arial" w:hAnsi="Arial" w:cs="Arial"/>
                <w:sz w:val="15"/>
                <w:szCs w:val="15"/>
              </w:rPr>
              <w:t>HMMC</w:t>
            </w:r>
            <w:r w:rsidR="00AE36F1" w:rsidRPr="003C3EFF">
              <w:rPr>
                <w:rFonts w:ascii="Arial" w:eastAsia="Arial" w:hAnsi="Arial" w:cs="Arial"/>
                <w:sz w:val="15"/>
                <w:szCs w:val="15"/>
              </w:rPr>
              <w:t xml:space="preserve"> APC</w:t>
            </w:r>
          </w:p>
        </w:tc>
      </w:tr>
      <w:tr w:rsidR="005534AC" w:rsidRPr="00BE665A" w14:paraId="20F5F736" w14:textId="77777777" w:rsidTr="00992C71">
        <w:tc>
          <w:tcPr>
            <w:tcW w:w="1976" w:type="dxa"/>
            <w:shd w:val="clear" w:color="auto" w:fill="auto"/>
          </w:tcPr>
          <w:p w14:paraId="6C9D8C79" w14:textId="77777777" w:rsidR="005534AC" w:rsidRPr="00BE665A" w:rsidRDefault="005534AC" w:rsidP="00992C71">
            <w:pPr>
              <w:rPr>
                <w:rFonts w:ascii="Arial" w:eastAsia="Arial" w:hAnsi="Arial" w:cs="Arial"/>
                <w:color w:val="000000"/>
                <w:sz w:val="15"/>
                <w:szCs w:val="15"/>
              </w:rPr>
            </w:pPr>
            <w:r w:rsidRPr="00BE665A">
              <w:rPr>
                <w:rFonts w:ascii="Arial" w:eastAsia="Arial" w:hAnsi="Arial" w:cs="Arial"/>
                <w:color w:val="000000"/>
                <w:sz w:val="15"/>
                <w:szCs w:val="15"/>
              </w:rPr>
              <w:t xml:space="preserve">Date </w:t>
            </w:r>
            <w:r>
              <w:rPr>
                <w:rFonts w:ascii="Arial" w:eastAsia="Arial" w:hAnsi="Arial" w:cs="Arial"/>
                <w:color w:val="000000"/>
                <w:sz w:val="15"/>
                <w:szCs w:val="15"/>
              </w:rPr>
              <w:t>approved/updated</w:t>
            </w:r>
          </w:p>
        </w:tc>
        <w:tc>
          <w:tcPr>
            <w:tcW w:w="8509" w:type="dxa"/>
          </w:tcPr>
          <w:p w14:paraId="7323014E" w14:textId="3D1616CE" w:rsidR="005534AC" w:rsidRPr="003C3EFF" w:rsidRDefault="007767CA" w:rsidP="00992C71">
            <w:pPr>
              <w:rPr>
                <w:rFonts w:ascii="Arial" w:eastAsia="Arial" w:hAnsi="Arial" w:cs="Arial"/>
                <w:sz w:val="15"/>
                <w:szCs w:val="15"/>
              </w:rPr>
            </w:pPr>
            <w:r w:rsidRPr="003C3EFF">
              <w:rPr>
                <w:rFonts w:ascii="Arial" w:eastAsia="Arial" w:hAnsi="Arial" w:cs="Arial"/>
                <w:sz w:val="15"/>
                <w:szCs w:val="15"/>
              </w:rPr>
              <w:t>Approved subject to minor amendments December 2019 published August 2020</w:t>
            </w:r>
            <w:r w:rsidR="00AE36F1" w:rsidRPr="003C3EFF">
              <w:rPr>
                <w:rFonts w:ascii="Arial" w:eastAsia="Arial" w:hAnsi="Arial" w:cs="Arial"/>
                <w:sz w:val="15"/>
                <w:szCs w:val="15"/>
              </w:rPr>
              <w:t xml:space="preserve"> APC </w:t>
            </w:r>
            <w:r w:rsidR="003C3EFF">
              <w:rPr>
                <w:rFonts w:ascii="Arial" w:eastAsia="Arial" w:hAnsi="Arial" w:cs="Arial"/>
                <w:sz w:val="15"/>
                <w:szCs w:val="15"/>
              </w:rPr>
              <w:t>April 2024</w:t>
            </w:r>
          </w:p>
        </w:tc>
      </w:tr>
      <w:tr w:rsidR="005534AC" w:rsidRPr="00BE665A" w14:paraId="6DBE5CC2" w14:textId="77777777" w:rsidTr="00992C71">
        <w:tc>
          <w:tcPr>
            <w:tcW w:w="1976" w:type="dxa"/>
            <w:shd w:val="clear" w:color="auto" w:fill="auto"/>
          </w:tcPr>
          <w:p w14:paraId="17199F6C" w14:textId="77777777" w:rsidR="005534AC" w:rsidRPr="00BE665A" w:rsidRDefault="005534AC" w:rsidP="00992C71">
            <w:pPr>
              <w:rPr>
                <w:rFonts w:ascii="Arial" w:eastAsia="Arial" w:hAnsi="Arial" w:cs="Arial"/>
                <w:color w:val="000000"/>
                <w:sz w:val="15"/>
                <w:szCs w:val="15"/>
              </w:rPr>
            </w:pPr>
            <w:r w:rsidRPr="00BE665A">
              <w:rPr>
                <w:rFonts w:ascii="Arial" w:eastAsia="Arial" w:hAnsi="Arial" w:cs="Arial"/>
                <w:color w:val="000000"/>
                <w:sz w:val="15"/>
                <w:szCs w:val="15"/>
              </w:rPr>
              <w:t xml:space="preserve">Review date: </w:t>
            </w:r>
          </w:p>
        </w:tc>
        <w:tc>
          <w:tcPr>
            <w:tcW w:w="8509" w:type="dxa"/>
          </w:tcPr>
          <w:p w14:paraId="4D05ACAE" w14:textId="77777777" w:rsidR="005534AC" w:rsidRPr="00BE665A" w:rsidRDefault="005534AC" w:rsidP="00992C71">
            <w:pPr>
              <w:rPr>
                <w:rFonts w:ascii="Arial" w:eastAsia="Arial" w:hAnsi="Arial" w:cs="Arial"/>
                <w:sz w:val="15"/>
                <w:szCs w:val="15"/>
              </w:rPr>
            </w:pPr>
            <w:r w:rsidRPr="00BE665A">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5534AC" w:rsidRPr="00BE665A" w14:paraId="51D0CF57" w14:textId="77777777" w:rsidTr="00992C71">
        <w:tc>
          <w:tcPr>
            <w:tcW w:w="1976" w:type="dxa"/>
            <w:shd w:val="clear" w:color="auto" w:fill="auto"/>
          </w:tcPr>
          <w:p w14:paraId="3AF97E9B" w14:textId="77777777" w:rsidR="005534AC" w:rsidRPr="00BE665A" w:rsidRDefault="005534AC" w:rsidP="00992C71">
            <w:pPr>
              <w:rPr>
                <w:rFonts w:ascii="Arial" w:eastAsia="Arial" w:hAnsi="Arial" w:cs="Arial"/>
                <w:color w:val="000000"/>
                <w:sz w:val="15"/>
                <w:szCs w:val="15"/>
              </w:rPr>
            </w:pPr>
            <w:r w:rsidRPr="00B41262">
              <w:rPr>
                <w:rFonts w:ascii="Arial" w:eastAsia="Arial" w:hAnsi="Arial" w:cs="Arial"/>
                <w:color w:val="000000"/>
                <w:sz w:val="15"/>
                <w:szCs w:val="15"/>
              </w:rPr>
              <w:t>Superseded version</w:t>
            </w:r>
          </w:p>
        </w:tc>
        <w:tc>
          <w:tcPr>
            <w:tcW w:w="8509" w:type="dxa"/>
          </w:tcPr>
          <w:p w14:paraId="23B20FAF" w14:textId="77777777" w:rsidR="005534AC" w:rsidRDefault="00735B06" w:rsidP="00992C71">
            <w:pPr>
              <w:rPr>
                <w:rFonts w:ascii="Arial" w:eastAsia="Arial" w:hAnsi="Arial" w:cs="Arial"/>
                <w:sz w:val="15"/>
                <w:szCs w:val="15"/>
              </w:rPr>
            </w:pPr>
            <w:r>
              <w:rPr>
                <w:rFonts w:ascii="Arial" w:eastAsia="Arial" w:hAnsi="Arial" w:cs="Arial"/>
                <w:sz w:val="15"/>
                <w:szCs w:val="15"/>
              </w:rPr>
              <w:t>1.0</w:t>
            </w:r>
          </w:p>
          <w:p w14:paraId="1A5966A5" w14:textId="11BD7D51" w:rsidR="00DF7B01" w:rsidRDefault="00DF7B01" w:rsidP="00654A84">
            <w:pPr>
              <w:numPr>
                <w:ilvl w:val="0"/>
                <w:numId w:val="28"/>
              </w:numPr>
              <w:spacing w:after="4" w:line="255" w:lineRule="auto"/>
              <w:contextualSpacing/>
              <w:rPr>
                <w:rFonts w:ascii="Arial" w:hAnsi="Arial" w:cs="Arial"/>
                <w:sz w:val="15"/>
                <w:szCs w:val="15"/>
              </w:rPr>
            </w:pPr>
            <w:r w:rsidRPr="005F52CF">
              <w:rPr>
                <w:rFonts w:ascii="Arial" w:hAnsi="Arial" w:cs="Arial"/>
                <w:sz w:val="15"/>
                <w:szCs w:val="15"/>
              </w:rPr>
              <w:t>Addition of GP responsibilities Specialist Interest in Rheumatology (for West Essex patients under the care of Princess Alexandra Hospital</w:t>
            </w:r>
            <w:r>
              <w:rPr>
                <w:rFonts w:ascii="Arial" w:hAnsi="Arial" w:cs="Arial"/>
                <w:sz w:val="15"/>
                <w:szCs w:val="15"/>
              </w:rPr>
              <w:t>)</w:t>
            </w:r>
            <w:r w:rsidRPr="005F52CF">
              <w:rPr>
                <w:rFonts w:ascii="Arial" w:hAnsi="Arial" w:cs="Arial"/>
                <w:sz w:val="15"/>
                <w:szCs w:val="15"/>
              </w:rPr>
              <w:t xml:space="preserve"> agreed at WEMOPB Oct 2017</w:t>
            </w:r>
          </w:p>
          <w:p w14:paraId="183DF1D0" w14:textId="640E7989" w:rsidR="005F52CF" w:rsidRDefault="005F52CF" w:rsidP="00654A84">
            <w:pPr>
              <w:numPr>
                <w:ilvl w:val="0"/>
                <w:numId w:val="28"/>
              </w:numPr>
              <w:spacing w:after="4" w:line="255" w:lineRule="auto"/>
              <w:contextualSpacing/>
              <w:rPr>
                <w:rFonts w:ascii="Arial" w:hAnsi="Arial" w:cs="Arial"/>
                <w:sz w:val="15"/>
                <w:szCs w:val="15"/>
              </w:rPr>
            </w:pPr>
            <w:r>
              <w:rPr>
                <w:rFonts w:ascii="Arial" w:hAnsi="Arial" w:cs="Arial"/>
                <w:sz w:val="15"/>
                <w:szCs w:val="15"/>
              </w:rPr>
              <w:t>Addition of Ophthalmology, Nephrology and Respiratory indications</w:t>
            </w:r>
          </w:p>
          <w:p w14:paraId="44FDBBDE" w14:textId="77777777" w:rsidR="00654A84" w:rsidRPr="00654A84" w:rsidRDefault="00654A84" w:rsidP="00654A84">
            <w:pPr>
              <w:numPr>
                <w:ilvl w:val="0"/>
                <w:numId w:val="28"/>
              </w:numPr>
              <w:spacing w:after="4" w:line="255" w:lineRule="auto"/>
              <w:contextualSpacing/>
              <w:rPr>
                <w:rFonts w:ascii="Arial" w:eastAsia="Arial" w:hAnsi="Arial" w:cs="Arial"/>
                <w:sz w:val="15"/>
                <w:szCs w:val="15"/>
              </w:rPr>
            </w:pPr>
            <w:r w:rsidRPr="00BB3A0D">
              <w:rPr>
                <w:rFonts w:ascii="Arial" w:hAnsi="Arial" w:cs="Arial"/>
                <w:sz w:val="15"/>
                <w:szCs w:val="15"/>
              </w:rPr>
              <w:t>Addition of recommendation for Covid-19 vaccination</w:t>
            </w:r>
          </w:p>
          <w:p w14:paraId="06987E57" w14:textId="77777777" w:rsidR="00654A84" w:rsidRPr="00654A84" w:rsidRDefault="00654A84" w:rsidP="00654A84">
            <w:pPr>
              <w:numPr>
                <w:ilvl w:val="0"/>
                <w:numId w:val="28"/>
              </w:numPr>
              <w:spacing w:after="4" w:line="255" w:lineRule="auto"/>
              <w:contextualSpacing/>
              <w:rPr>
                <w:rFonts w:ascii="Arial" w:eastAsia="Arial" w:hAnsi="Arial" w:cs="Arial"/>
                <w:sz w:val="15"/>
                <w:szCs w:val="15"/>
              </w:rPr>
            </w:pPr>
            <w:r w:rsidRPr="00654A84">
              <w:rPr>
                <w:rFonts w:ascii="Arial" w:eastAsia="Arial" w:hAnsi="Arial" w:cs="Arial"/>
                <w:sz w:val="15"/>
                <w:szCs w:val="15"/>
              </w:rPr>
              <w:t>Amendment of Phase II monitoring in line with wording agreed HWE APC February 2024</w:t>
            </w:r>
          </w:p>
          <w:p w14:paraId="6800EBA2" w14:textId="27EC8507" w:rsidR="005F52CF" w:rsidRDefault="00654A84" w:rsidP="005F52CF">
            <w:pPr>
              <w:numPr>
                <w:ilvl w:val="0"/>
                <w:numId w:val="28"/>
              </w:numPr>
              <w:spacing w:after="4" w:line="255" w:lineRule="auto"/>
              <w:contextualSpacing/>
              <w:rPr>
                <w:rFonts w:ascii="Arial" w:eastAsia="Arial" w:hAnsi="Arial" w:cs="Arial"/>
                <w:sz w:val="15"/>
                <w:szCs w:val="15"/>
              </w:rPr>
            </w:pPr>
            <w:r w:rsidRPr="00654A84">
              <w:rPr>
                <w:rFonts w:ascii="Arial" w:eastAsia="Arial" w:hAnsi="Arial" w:cs="Arial"/>
                <w:sz w:val="15"/>
                <w:szCs w:val="15"/>
              </w:rPr>
              <w:t xml:space="preserve">Addition of recommendation for sun protection </w:t>
            </w:r>
            <w:r w:rsidR="00AE36F1" w:rsidRPr="00AE36F1">
              <w:rPr>
                <w:rFonts w:ascii="Arial" w:eastAsia="Arial" w:hAnsi="Arial" w:cs="Arial"/>
                <w:sz w:val="15"/>
                <w:szCs w:val="15"/>
              </w:rPr>
              <w:t xml:space="preserve">and cervical screening </w:t>
            </w:r>
            <w:r w:rsidRPr="00654A84">
              <w:rPr>
                <w:rFonts w:ascii="Arial" w:eastAsia="Arial" w:hAnsi="Arial" w:cs="Arial"/>
                <w:sz w:val="15"/>
                <w:szCs w:val="15"/>
              </w:rPr>
              <w:t>under specialist and patient responsibilities</w:t>
            </w:r>
          </w:p>
          <w:p w14:paraId="107ACB2A" w14:textId="5118D83B" w:rsidR="00AE36F1" w:rsidRPr="005F52CF" w:rsidRDefault="00AE36F1" w:rsidP="005F52CF">
            <w:pPr>
              <w:numPr>
                <w:ilvl w:val="0"/>
                <w:numId w:val="28"/>
              </w:numPr>
              <w:spacing w:after="4" w:line="255" w:lineRule="auto"/>
              <w:contextualSpacing/>
              <w:rPr>
                <w:rFonts w:ascii="Arial" w:eastAsia="Arial" w:hAnsi="Arial" w:cs="Arial"/>
                <w:sz w:val="15"/>
                <w:szCs w:val="15"/>
              </w:rPr>
            </w:pPr>
            <w:r w:rsidRPr="00AE36F1">
              <w:rPr>
                <w:rFonts w:ascii="Arial" w:eastAsia="Arial" w:hAnsi="Arial" w:cs="Arial"/>
                <w:sz w:val="15"/>
                <w:szCs w:val="15"/>
              </w:rPr>
              <w:t>Clarity on prescribing antibiotics for minor infections under Contraindications and Precautions section</w:t>
            </w:r>
          </w:p>
        </w:tc>
      </w:tr>
      <w:bookmarkEnd w:id="1"/>
    </w:tbl>
    <w:p w14:paraId="1CD9C48C" w14:textId="5A8A0D60" w:rsidR="00725343"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p w14:paraId="7D2FF483" w14:textId="33C44139" w:rsidR="00C62913"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p w14:paraId="0B06F676" w14:textId="77777777" w:rsidR="00C62913"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p w14:paraId="3B88C0DE" w14:textId="77777777" w:rsidR="00114E55" w:rsidRPr="00114E55" w:rsidRDefault="00114E55" w:rsidP="00114E55">
      <w:pPr>
        <w:rPr>
          <w:rFonts w:ascii="Arial" w:hAnsi="Arial" w:cs="Arial"/>
          <w:sz w:val="2"/>
          <w:lang w:eastAsia="en-GB"/>
        </w:rPr>
      </w:pPr>
    </w:p>
    <w:p w14:paraId="47EBEDA6" w14:textId="77777777" w:rsidR="00114E55" w:rsidRPr="00114E55" w:rsidRDefault="00114E55" w:rsidP="00114E55">
      <w:pPr>
        <w:rPr>
          <w:rFonts w:ascii="Arial" w:hAnsi="Arial" w:cs="Arial"/>
          <w:sz w:val="2"/>
          <w:lang w:eastAsia="en-GB"/>
        </w:rPr>
      </w:pPr>
    </w:p>
    <w:p w14:paraId="0D566490" w14:textId="77777777" w:rsidR="00114E55" w:rsidRPr="00114E55" w:rsidRDefault="00114E55" w:rsidP="00114E55">
      <w:pPr>
        <w:rPr>
          <w:rFonts w:ascii="Arial" w:hAnsi="Arial" w:cs="Arial"/>
          <w:sz w:val="2"/>
          <w:lang w:eastAsia="en-GB"/>
        </w:rPr>
      </w:pPr>
    </w:p>
    <w:p w14:paraId="6889B4CC" w14:textId="77777777" w:rsidR="00114E55" w:rsidRPr="00114E55" w:rsidRDefault="00114E55" w:rsidP="00114E55">
      <w:pPr>
        <w:rPr>
          <w:rFonts w:ascii="Arial" w:hAnsi="Arial" w:cs="Arial"/>
          <w:sz w:val="2"/>
          <w:lang w:eastAsia="en-GB"/>
        </w:rPr>
      </w:pPr>
    </w:p>
    <w:p w14:paraId="77345F6D" w14:textId="77777777" w:rsidR="00114E55" w:rsidRPr="00114E55" w:rsidRDefault="00114E55" w:rsidP="00114E55">
      <w:pPr>
        <w:jc w:val="center"/>
        <w:rPr>
          <w:rFonts w:ascii="Arial" w:hAnsi="Arial" w:cs="Arial"/>
          <w:sz w:val="2"/>
          <w:lang w:eastAsia="en-GB"/>
        </w:rPr>
      </w:pPr>
    </w:p>
    <w:sectPr w:rsidR="00114E55" w:rsidRPr="00114E55" w:rsidSect="00114E55">
      <w:headerReference w:type="default" r:id="rId58"/>
      <w:footerReference w:type="default" r:id="rId59"/>
      <w:headerReference w:type="first" r:id="rId60"/>
      <w:footerReference w:type="first" r:id="rId61"/>
      <w:pgSz w:w="11907" w:h="16840" w:code="9"/>
      <w:pgMar w:top="720" w:right="720" w:bottom="720" w:left="720" w:header="57"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1979" w14:textId="77777777" w:rsidR="00E17774" w:rsidRDefault="00E17774" w:rsidP="006F4129">
      <w:pPr>
        <w:spacing w:after="0" w:line="240" w:lineRule="auto"/>
      </w:pPr>
      <w:r>
        <w:separator/>
      </w:r>
    </w:p>
  </w:endnote>
  <w:endnote w:type="continuationSeparator" w:id="0">
    <w:p w14:paraId="3FAD6BC3" w14:textId="77777777" w:rsidR="00E17774" w:rsidRDefault="00E17774"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04B5918E" w:rsidR="00D95A4B" w:rsidRPr="001A6B58" w:rsidRDefault="003C3EFF">
    <w:pPr>
      <w:pStyle w:val="Footer"/>
      <w:rPr>
        <w:rFonts w:ascii="Arial" w:hAnsi="Arial" w:cs="Arial"/>
        <w:sz w:val="18"/>
      </w:rPr>
    </w:pPr>
    <w:r w:rsidRPr="003C3EFF">
      <w:rPr>
        <w:rFonts w:ascii="Arial" w:eastAsia="Times New Roman" w:hAnsi="Arial" w:cs="Times New Roman"/>
        <w:sz w:val="16"/>
        <w:szCs w:val="28"/>
      </w:rPr>
      <w:t xml:space="preserve">Azathioprine / Mercaptopurine Shared Care Protocol </w:t>
    </w:r>
    <w:r w:rsidR="00114E55">
      <w:rPr>
        <w:rFonts w:ascii="Arial" w:eastAsia="Times New Roman" w:hAnsi="Arial" w:cs="Times New Roman"/>
        <w:sz w:val="16"/>
        <w:szCs w:val="28"/>
      </w:rPr>
      <w:t>May 2025</w:t>
    </w:r>
    <w:r w:rsidRPr="003C3EFF">
      <w:rPr>
        <w:rFonts w:ascii="Arial" w:eastAsia="Times New Roman" w:hAnsi="Arial" w:cs="Times New Roman"/>
        <w:sz w:val="16"/>
        <w:szCs w:val="28"/>
      </w:rPr>
      <w:t xml:space="preserve"> Guideline number 1; Version number 2</w:t>
    </w:r>
    <w:r w:rsidR="003A3F45">
      <w:rPr>
        <w:rFonts w:ascii="Arial" w:eastAsia="Times New Roman" w:hAnsi="Arial" w:cs="Times New Roman"/>
        <w:sz w:val="16"/>
        <w:szCs w:val="28"/>
      </w:rPr>
      <w:t>.</w:t>
    </w:r>
    <w:r w:rsidR="00114E55">
      <w:rPr>
        <w:rFonts w:ascii="Arial" w:eastAsia="Times New Roman" w:hAnsi="Arial" w:cs="Times New Roman"/>
        <w:sz w:val="16"/>
        <w:szCs w:val="28"/>
      </w:rPr>
      <w:t>2</w:t>
    </w:r>
    <w:r w:rsidR="00D95A4B" w:rsidRPr="001A6B58">
      <w:rPr>
        <w:rFonts w:ascii="Arial" w:hAnsi="Arial" w:cs="Arial"/>
        <w:sz w:val="16"/>
      </w:rPr>
      <w:tab/>
    </w:r>
    <w:r w:rsidR="00D95A4B" w:rsidRPr="001A6B58">
      <w:rPr>
        <w:rStyle w:val="PageNumber"/>
        <w:rFonts w:ascii="Arial" w:hAnsi="Arial" w:cs="Arial"/>
        <w:sz w:val="16"/>
      </w:rPr>
      <w:fldChar w:fldCharType="begin"/>
    </w:r>
    <w:r w:rsidR="00D95A4B" w:rsidRPr="001A6B58">
      <w:rPr>
        <w:rStyle w:val="PageNumber"/>
        <w:rFonts w:ascii="Arial" w:hAnsi="Arial" w:cs="Arial"/>
        <w:sz w:val="16"/>
      </w:rPr>
      <w:instrText xml:space="preserve"> PAGE </w:instrText>
    </w:r>
    <w:r w:rsidR="00D95A4B" w:rsidRPr="001A6B58">
      <w:rPr>
        <w:rStyle w:val="PageNumber"/>
        <w:rFonts w:ascii="Arial" w:hAnsi="Arial" w:cs="Arial"/>
        <w:sz w:val="16"/>
      </w:rPr>
      <w:fldChar w:fldCharType="separate"/>
    </w:r>
    <w:r w:rsidR="00D95A4B">
      <w:rPr>
        <w:rStyle w:val="PageNumber"/>
        <w:rFonts w:ascii="Arial" w:hAnsi="Arial" w:cs="Arial"/>
        <w:noProof/>
        <w:sz w:val="16"/>
      </w:rPr>
      <w:t>2</w:t>
    </w:r>
    <w:r w:rsidR="00D95A4B" w:rsidRPr="001A6B58">
      <w:rPr>
        <w:rStyle w:val="PageNumber"/>
        <w:rFonts w:ascii="Arial" w:hAnsi="Arial" w:cs="Arial"/>
        <w:sz w:val="16"/>
      </w:rPr>
      <w:fldChar w:fldCharType="end"/>
    </w:r>
    <w:r w:rsidR="00D95A4B" w:rsidRPr="001A6B58">
      <w:rPr>
        <w:rStyle w:val="PageNumber"/>
        <w:rFonts w:ascii="Arial" w:hAnsi="Arial" w:cs="Arial"/>
        <w:sz w:val="16"/>
      </w:rPr>
      <w:t xml:space="preserve"> of </w:t>
    </w:r>
    <w:r w:rsidR="00D95A4B" w:rsidRPr="001A6B58">
      <w:rPr>
        <w:rStyle w:val="PageNumber"/>
        <w:rFonts w:ascii="Arial" w:hAnsi="Arial" w:cs="Arial"/>
        <w:sz w:val="16"/>
        <w:szCs w:val="20"/>
      </w:rPr>
      <w:fldChar w:fldCharType="begin"/>
    </w:r>
    <w:r w:rsidR="00D95A4B" w:rsidRPr="001A6B58">
      <w:rPr>
        <w:rStyle w:val="PageNumber"/>
        <w:rFonts w:ascii="Arial" w:hAnsi="Arial" w:cs="Arial"/>
        <w:sz w:val="16"/>
        <w:szCs w:val="20"/>
      </w:rPr>
      <w:instrText xml:space="preserve"> NUMPAGES </w:instrText>
    </w:r>
    <w:r w:rsidR="00D95A4B" w:rsidRPr="001A6B58">
      <w:rPr>
        <w:rStyle w:val="PageNumber"/>
        <w:rFonts w:ascii="Arial" w:hAnsi="Arial" w:cs="Arial"/>
        <w:sz w:val="16"/>
        <w:szCs w:val="20"/>
      </w:rPr>
      <w:fldChar w:fldCharType="separate"/>
    </w:r>
    <w:r w:rsidR="00D95A4B">
      <w:rPr>
        <w:rStyle w:val="PageNumber"/>
        <w:rFonts w:ascii="Arial" w:hAnsi="Arial" w:cs="Arial"/>
        <w:noProof/>
        <w:sz w:val="16"/>
        <w:szCs w:val="20"/>
      </w:rPr>
      <w:t>10</w:t>
    </w:r>
    <w:r w:rsidR="00D95A4B" w:rsidRPr="001A6B58">
      <w:rPr>
        <w:rStyle w:val="PageNumber"/>
        <w:rFonts w:ascii="Arial" w:hAnsi="Arial" w:cs="Arial"/>
        <w:sz w:val="16"/>
        <w:szCs w:val="20"/>
      </w:rPr>
      <w:fldChar w:fldCharType="end"/>
    </w:r>
  </w:p>
  <w:p w14:paraId="1E5B93C9" w14:textId="77777777" w:rsidR="00307B2B" w:rsidRDefault="00307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4F40B7D7" w:rsidR="00D95A4B" w:rsidRDefault="003C3EFF" w:rsidP="00B11AF0">
    <w:pPr>
      <w:pStyle w:val="Footer"/>
      <w:pBdr>
        <w:top w:val="single" w:sz="4" w:space="1" w:color="auto"/>
      </w:pBdr>
      <w:tabs>
        <w:tab w:val="center" w:pos="4678"/>
        <w:tab w:val="right" w:pos="9639"/>
      </w:tabs>
      <w:rPr>
        <w:sz w:val="20"/>
      </w:rPr>
    </w:pPr>
    <w:r w:rsidRPr="003C3EFF">
      <w:rPr>
        <w:rFonts w:ascii="Arial" w:eastAsia="Times New Roman" w:hAnsi="Arial" w:cs="Times New Roman"/>
        <w:sz w:val="16"/>
        <w:szCs w:val="28"/>
      </w:rPr>
      <w:t xml:space="preserve">Azathioprine / Mercaptopurine Shared Care Protocol </w:t>
    </w:r>
    <w:r w:rsidR="00114E55">
      <w:rPr>
        <w:rFonts w:ascii="Arial" w:eastAsia="Times New Roman" w:hAnsi="Arial" w:cs="Times New Roman"/>
        <w:sz w:val="16"/>
        <w:szCs w:val="28"/>
      </w:rPr>
      <w:t>May 2025</w:t>
    </w:r>
    <w:r w:rsidRPr="003C3EFF">
      <w:rPr>
        <w:rFonts w:ascii="Arial" w:eastAsia="Times New Roman" w:hAnsi="Arial" w:cs="Times New Roman"/>
        <w:sz w:val="16"/>
        <w:szCs w:val="28"/>
      </w:rPr>
      <w:t xml:space="preserve"> Guideline number 1; Version number 2</w:t>
    </w:r>
    <w:r w:rsidR="00114E55">
      <w:rPr>
        <w:rFonts w:ascii="Arial" w:eastAsia="Times New Roman" w:hAnsi="Arial" w:cs="Times New Roman"/>
        <w:sz w:val="16"/>
        <w:szCs w:val="28"/>
      </w:rPr>
      <w:t>.2</w:t>
    </w:r>
    <w:r w:rsidR="00C20327">
      <w:rPr>
        <w:rFonts w:ascii="Arial" w:eastAsia="Times New Roman" w:hAnsi="Arial" w:cs="Times New Roman"/>
        <w:b/>
        <w:bCs/>
        <w:sz w:val="16"/>
        <w:szCs w:val="28"/>
      </w:rPr>
      <w:tab/>
    </w:r>
    <w:r w:rsidR="00D95A4B">
      <w:rPr>
        <w:rFonts w:cs="Arial"/>
        <w:sz w:val="20"/>
      </w:rPr>
      <w:tab/>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PAGE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w:t>
    </w:r>
    <w:r w:rsidR="00D95A4B" w:rsidRPr="001A6B58">
      <w:rPr>
        <w:rStyle w:val="PageNumber"/>
        <w:rFonts w:ascii="Arial" w:hAnsi="Arial" w:cs="Arial"/>
        <w:sz w:val="16"/>
        <w:szCs w:val="16"/>
      </w:rPr>
      <w:fldChar w:fldCharType="end"/>
    </w:r>
    <w:r w:rsidR="00D95A4B" w:rsidRPr="001A6B58">
      <w:rPr>
        <w:rStyle w:val="PageNumber"/>
        <w:rFonts w:ascii="Arial" w:hAnsi="Arial" w:cs="Arial"/>
        <w:sz w:val="16"/>
        <w:szCs w:val="16"/>
      </w:rPr>
      <w:t xml:space="preserve"> of </w:t>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NUMPAGES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10</w:t>
    </w:r>
    <w:r w:rsidR="00D95A4B" w:rsidRPr="001A6B58">
      <w:rPr>
        <w:rStyle w:val="PageNumber"/>
        <w:rFonts w:ascii="Arial" w:hAnsi="Arial" w:cs="Arial"/>
        <w:sz w:val="16"/>
        <w:szCs w:val="16"/>
      </w:rPr>
      <w:fldChar w:fldCharType="end"/>
    </w:r>
    <w:r w:rsidR="00D95A4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112B" w14:textId="77777777" w:rsidR="00E17774" w:rsidRDefault="00E17774" w:rsidP="006F4129">
      <w:pPr>
        <w:spacing w:after="0" w:line="240" w:lineRule="auto"/>
      </w:pPr>
      <w:r>
        <w:separator/>
      </w:r>
    </w:p>
  </w:footnote>
  <w:footnote w:type="continuationSeparator" w:id="0">
    <w:p w14:paraId="36A3698A" w14:textId="77777777" w:rsidR="00E17774" w:rsidRDefault="00E17774"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D95A4B" w:rsidRPr="00004CD4" w:rsidRDefault="00D95A4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6FCE6487" w:rsidR="00D95A4B" w:rsidRPr="00F31F41" w:rsidRDefault="008F7BD5" w:rsidP="008F7BD5">
    <w:pPr>
      <w:pStyle w:val="Header"/>
    </w:pPr>
    <w:r w:rsidRPr="00DE2ABB">
      <w:rPr>
        <w:noProof/>
      </w:rPr>
      <w:drawing>
        <wp:anchor distT="0" distB="0" distL="114300" distR="114300" simplePos="0" relativeHeight="251658240" behindDoc="0" locked="0" layoutInCell="1" allowOverlap="1" wp14:anchorId="0FA69654" wp14:editId="338A37A2">
          <wp:simplePos x="0" y="0"/>
          <wp:positionH relativeFrom="margin">
            <wp:posOffset>5738495</wp:posOffset>
          </wp:positionH>
          <wp:positionV relativeFrom="margin">
            <wp:posOffset>-730250</wp:posOffset>
          </wp:positionV>
          <wp:extent cx="1084580" cy="740410"/>
          <wp:effectExtent l="0" t="0" r="127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740410"/>
                  </a:xfrm>
                  <a:prstGeom prst="rect">
                    <a:avLst/>
                  </a:prstGeom>
                  <a:noFill/>
                  <a:ln>
                    <a:noFill/>
                  </a:ln>
                </pic:spPr>
              </pic:pic>
            </a:graphicData>
          </a:graphic>
        </wp:anchor>
      </w:drawing>
    </w:r>
    <w:r w:rsidRPr="00DE2ABB">
      <w:rPr>
        <w:noProof/>
      </w:rPr>
      <w:drawing>
        <wp:inline distT="0" distB="0" distL="0" distR="0" wp14:anchorId="780DA289" wp14:editId="08CC8A93">
          <wp:extent cx="1060139" cy="68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9773" cy="719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2BAE"/>
    <w:multiLevelType w:val="hybridMultilevel"/>
    <w:tmpl w:val="F6CA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F944A7"/>
    <w:multiLevelType w:val="hybridMultilevel"/>
    <w:tmpl w:val="1FDC8078"/>
    <w:lvl w:ilvl="0" w:tplc="237A52FE">
      <w:start w:val="1"/>
      <w:numFmt w:val="bullet"/>
      <w:lvlText w:val=""/>
      <w:lvlJc w:val="left"/>
      <w:pPr>
        <w:ind w:left="720" w:hanging="360"/>
      </w:pPr>
      <w:rPr>
        <w:rFonts w:ascii="Symbol" w:hAnsi="Symbol" w:hint="default"/>
      </w:rPr>
    </w:lvl>
    <w:lvl w:ilvl="1" w:tplc="743EE5C0">
      <w:start w:val="1"/>
      <w:numFmt w:val="bullet"/>
      <w:lvlText w:val="o"/>
      <w:lvlJc w:val="left"/>
      <w:pPr>
        <w:ind w:left="1440" w:hanging="360"/>
      </w:pPr>
      <w:rPr>
        <w:rFonts w:ascii="Courier New" w:hAnsi="Courier New" w:hint="default"/>
      </w:rPr>
    </w:lvl>
    <w:lvl w:ilvl="2" w:tplc="8CB8D970">
      <w:start w:val="1"/>
      <w:numFmt w:val="bullet"/>
      <w:lvlText w:val=""/>
      <w:lvlJc w:val="left"/>
      <w:pPr>
        <w:ind w:left="2160" w:hanging="360"/>
      </w:pPr>
      <w:rPr>
        <w:rFonts w:ascii="Wingdings" w:hAnsi="Wingdings" w:hint="default"/>
      </w:rPr>
    </w:lvl>
    <w:lvl w:ilvl="3" w:tplc="2006F0DA">
      <w:start w:val="1"/>
      <w:numFmt w:val="bullet"/>
      <w:lvlText w:val=""/>
      <w:lvlJc w:val="left"/>
      <w:pPr>
        <w:ind w:left="2880" w:hanging="360"/>
      </w:pPr>
      <w:rPr>
        <w:rFonts w:ascii="Symbol" w:hAnsi="Symbol" w:hint="default"/>
      </w:rPr>
    </w:lvl>
    <w:lvl w:ilvl="4" w:tplc="87A8CC50">
      <w:start w:val="1"/>
      <w:numFmt w:val="bullet"/>
      <w:lvlText w:val="o"/>
      <w:lvlJc w:val="left"/>
      <w:pPr>
        <w:ind w:left="3600" w:hanging="360"/>
      </w:pPr>
      <w:rPr>
        <w:rFonts w:ascii="Courier New" w:hAnsi="Courier New" w:hint="default"/>
      </w:rPr>
    </w:lvl>
    <w:lvl w:ilvl="5" w:tplc="D8888E04">
      <w:start w:val="1"/>
      <w:numFmt w:val="bullet"/>
      <w:lvlText w:val=""/>
      <w:lvlJc w:val="left"/>
      <w:pPr>
        <w:ind w:left="4320" w:hanging="360"/>
      </w:pPr>
      <w:rPr>
        <w:rFonts w:ascii="Wingdings" w:hAnsi="Wingdings" w:hint="default"/>
      </w:rPr>
    </w:lvl>
    <w:lvl w:ilvl="6" w:tplc="C2DC05C6">
      <w:start w:val="1"/>
      <w:numFmt w:val="bullet"/>
      <w:lvlText w:val=""/>
      <w:lvlJc w:val="left"/>
      <w:pPr>
        <w:ind w:left="5040" w:hanging="360"/>
      </w:pPr>
      <w:rPr>
        <w:rFonts w:ascii="Symbol" w:hAnsi="Symbol" w:hint="default"/>
      </w:rPr>
    </w:lvl>
    <w:lvl w:ilvl="7" w:tplc="C1BE2930">
      <w:start w:val="1"/>
      <w:numFmt w:val="bullet"/>
      <w:lvlText w:val="o"/>
      <w:lvlJc w:val="left"/>
      <w:pPr>
        <w:ind w:left="5760" w:hanging="360"/>
      </w:pPr>
      <w:rPr>
        <w:rFonts w:ascii="Courier New" w:hAnsi="Courier New" w:hint="default"/>
      </w:rPr>
    </w:lvl>
    <w:lvl w:ilvl="8" w:tplc="709C6A10">
      <w:start w:val="1"/>
      <w:numFmt w:val="bullet"/>
      <w:lvlText w:val=""/>
      <w:lvlJc w:val="left"/>
      <w:pPr>
        <w:ind w:left="6480" w:hanging="360"/>
      </w:pPr>
      <w:rPr>
        <w:rFonts w:ascii="Wingdings" w:hAnsi="Wingdings" w:hint="default"/>
      </w:rPr>
    </w:lvl>
  </w:abstractNum>
  <w:abstractNum w:abstractNumId="6"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D46E07"/>
    <w:multiLevelType w:val="hybridMultilevel"/>
    <w:tmpl w:val="8A7E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F0BCD"/>
    <w:multiLevelType w:val="hybridMultilevel"/>
    <w:tmpl w:val="D14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2"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44DF750F"/>
    <w:multiLevelType w:val="hybridMultilevel"/>
    <w:tmpl w:val="BD1698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54B0C23"/>
    <w:multiLevelType w:val="hybridMultilevel"/>
    <w:tmpl w:val="BE680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3617B1"/>
    <w:multiLevelType w:val="hybridMultilevel"/>
    <w:tmpl w:val="46C2F3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612031"/>
    <w:multiLevelType w:val="hybridMultilevel"/>
    <w:tmpl w:val="3C50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290669"/>
    <w:multiLevelType w:val="hybridMultilevel"/>
    <w:tmpl w:val="2CB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9020700">
    <w:abstractNumId w:val="11"/>
  </w:num>
  <w:num w:numId="2" w16cid:durableId="1709572495">
    <w:abstractNumId w:val="18"/>
  </w:num>
  <w:num w:numId="3" w16cid:durableId="1577058697">
    <w:abstractNumId w:val="21"/>
  </w:num>
  <w:num w:numId="4" w16cid:durableId="1067260621">
    <w:abstractNumId w:val="19"/>
  </w:num>
  <w:num w:numId="5" w16cid:durableId="180434222">
    <w:abstractNumId w:val="3"/>
  </w:num>
  <w:num w:numId="6" w16cid:durableId="2135056906">
    <w:abstractNumId w:val="31"/>
  </w:num>
  <w:num w:numId="7" w16cid:durableId="745223915">
    <w:abstractNumId w:val="20"/>
  </w:num>
  <w:num w:numId="8" w16cid:durableId="1518233034">
    <w:abstractNumId w:val="6"/>
  </w:num>
  <w:num w:numId="9" w16cid:durableId="1882550741">
    <w:abstractNumId w:val="12"/>
  </w:num>
  <w:num w:numId="10" w16cid:durableId="767316337">
    <w:abstractNumId w:val="22"/>
  </w:num>
  <w:num w:numId="11" w16cid:durableId="35280706">
    <w:abstractNumId w:val="25"/>
  </w:num>
  <w:num w:numId="12" w16cid:durableId="1485585190">
    <w:abstractNumId w:val="14"/>
  </w:num>
  <w:num w:numId="13" w16cid:durableId="47269412">
    <w:abstractNumId w:val="8"/>
  </w:num>
  <w:num w:numId="14" w16cid:durableId="103578256">
    <w:abstractNumId w:val="28"/>
  </w:num>
  <w:num w:numId="15" w16cid:durableId="463276515">
    <w:abstractNumId w:val="2"/>
  </w:num>
  <w:num w:numId="16" w16cid:durableId="2007249012">
    <w:abstractNumId w:val="0"/>
  </w:num>
  <w:num w:numId="17" w16cid:durableId="2131631136">
    <w:abstractNumId w:val="24"/>
  </w:num>
  <w:num w:numId="18" w16cid:durableId="990711730">
    <w:abstractNumId w:val="16"/>
  </w:num>
  <w:num w:numId="19" w16cid:durableId="1547447175">
    <w:abstractNumId w:val="23"/>
  </w:num>
  <w:num w:numId="20" w16cid:durableId="368381451">
    <w:abstractNumId w:val="1"/>
  </w:num>
  <w:num w:numId="21" w16cid:durableId="20791344">
    <w:abstractNumId w:val="13"/>
  </w:num>
  <w:num w:numId="22" w16cid:durableId="704254827">
    <w:abstractNumId w:val="4"/>
  </w:num>
  <w:num w:numId="23" w16cid:durableId="720328709">
    <w:abstractNumId w:val="29"/>
  </w:num>
  <w:num w:numId="24" w16cid:durableId="85855005">
    <w:abstractNumId w:val="9"/>
  </w:num>
  <w:num w:numId="25" w16cid:durableId="313604029">
    <w:abstractNumId w:val="10"/>
  </w:num>
  <w:num w:numId="26" w16cid:durableId="75834106">
    <w:abstractNumId w:val="26"/>
  </w:num>
  <w:num w:numId="27" w16cid:durableId="264075352">
    <w:abstractNumId w:val="17"/>
  </w:num>
  <w:num w:numId="28" w16cid:durableId="15693595">
    <w:abstractNumId w:val="30"/>
  </w:num>
  <w:num w:numId="29" w16cid:durableId="1308512852">
    <w:abstractNumId w:val="5"/>
  </w:num>
  <w:num w:numId="30" w16cid:durableId="1357198912">
    <w:abstractNumId w:val="27"/>
  </w:num>
  <w:num w:numId="31" w16cid:durableId="1379628180">
    <w:abstractNumId w:val="7"/>
  </w:num>
  <w:num w:numId="32" w16cid:durableId="43070406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6FvPo6J8mCKR7WiWpJkjcjSzYK+xRIS4Xq0avvGjxpbHjRNNYCiFiTXWBxGPTKV6WgW8YsIqUgyanPDVGAwdLA==" w:salt="B6ZSeGIPoMCCOtqSKAekxA=="/>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10CAB"/>
    <w:rsid w:val="0001635D"/>
    <w:rsid w:val="00017DEF"/>
    <w:rsid w:val="00020DF8"/>
    <w:rsid w:val="00033131"/>
    <w:rsid w:val="000349CF"/>
    <w:rsid w:val="00040BCE"/>
    <w:rsid w:val="00051449"/>
    <w:rsid w:val="00061E36"/>
    <w:rsid w:val="000678AD"/>
    <w:rsid w:val="00081B1B"/>
    <w:rsid w:val="000833DA"/>
    <w:rsid w:val="000902EE"/>
    <w:rsid w:val="00090C38"/>
    <w:rsid w:val="000A3722"/>
    <w:rsid w:val="000C2DB5"/>
    <w:rsid w:val="000C7F57"/>
    <w:rsid w:val="000D455C"/>
    <w:rsid w:val="000D7991"/>
    <w:rsid w:val="000E1FD2"/>
    <w:rsid w:val="000E4E74"/>
    <w:rsid w:val="000F0B54"/>
    <w:rsid w:val="00114E55"/>
    <w:rsid w:val="00116B64"/>
    <w:rsid w:val="00121068"/>
    <w:rsid w:val="00122599"/>
    <w:rsid w:val="00140FD5"/>
    <w:rsid w:val="00141F69"/>
    <w:rsid w:val="00156070"/>
    <w:rsid w:val="0015736E"/>
    <w:rsid w:val="00181294"/>
    <w:rsid w:val="00190B31"/>
    <w:rsid w:val="001A17F5"/>
    <w:rsid w:val="001A3040"/>
    <w:rsid w:val="001A6B58"/>
    <w:rsid w:val="001A6C2E"/>
    <w:rsid w:val="001B4F65"/>
    <w:rsid w:val="001B6917"/>
    <w:rsid w:val="001B7240"/>
    <w:rsid w:val="001C72F0"/>
    <w:rsid w:val="001C7843"/>
    <w:rsid w:val="001D735A"/>
    <w:rsid w:val="001D75EA"/>
    <w:rsid w:val="002006A3"/>
    <w:rsid w:val="002026D4"/>
    <w:rsid w:val="00216557"/>
    <w:rsid w:val="0022594E"/>
    <w:rsid w:val="00231EC9"/>
    <w:rsid w:val="0023461C"/>
    <w:rsid w:val="002460C8"/>
    <w:rsid w:val="0026584D"/>
    <w:rsid w:val="00274684"/>
    <w:rsid w:val="00275009"/>
    <w:rsid w:val="002778A7"/>
    <w:rsid w:val="00281A3C"/>
    <w:rsid w:val="002904B7"/>
    <w:rsid w:val="002915D1"/>
    <w:rsid w:val="002954B6"/>
    <w:rsid w:val="002A009B"/>
    <w:rsid w:val="002A4D23"/>
    <w:rsid w:val="002B0C19"/>
    <w:rsid w:val="002C0A08"/>
    <w:rsid w:val="002C6064"/>
    <w:rsid w:val="002D2570"/>
    <w:rsid w:val="002D3CB5"/>
    <w:rsid w:val="002E5B12"/>
    <w:rsid w:val="002F0C6D"/>
    <w:rsid w:val="002F4544"/>
    <w:rsid w:val="0030088E"/>
    <w:rsid w:val="0030269A"/>
    <w:rsid w:val="00307B2B"/>
    <w:rsid w:val="00311575"/>
    <w:rsid w:val="00324400"/>
    <w:rsid w:val="00325769"/>
    <w:rsid w:val="003268D2"/>
    <w:rsid w:val="003301DF"/>
    <w:rsid w:val="003447C1"/>
    <w:rsid w:val="003452C5"/>
    <w:rsid w:val="003540B3"/>
    <w:rsid w:val="003559D9"/>
    <w:rsid w:val="003711DA"/>
    <w:rsid w:val="00376393"/>
    <w:rsid w:val="003763B3"/>
    <w:rsid w:val="00382843"/>
    <w:rsid w:val="00382A54"/>
    <w:rsid w:val="00384379"/>
    <w:rsid w:val="0039285C"/>
    <w:rsid w:val="003A3F45"/>
    <w:rsid w:val="003B6537"/>
    <w:rsid w:val="003C3EFF"/>
    <w:rsid w:val="003D1B74"/>
    <w:rsid w:val="003D6F3B"/>
    <w:rsid w:val="003F2A47"/>
    <w:rsid w:val="003F3B33"/>
    <w:rsid w:val="003F6BC5"/>
    <w:rsid w:val="003F7848"/>
    <w:rsid w:val="004004B3"/>
    <w:rsid w:val="004052E9"/>
    <w:rsid w:val="00406BF2"/>
    <w:rsid w:val="00413BC8"/>
    <w:rsid w:val="00420744"/>
    <w:rsid w:val="00442D9B"/>
    <w:rsid w:val="00445870"/>
    <w:rsid w:val="00453CB7"/>
    <w:rsid w:val="00454560"/>
    <w:rsid w:val="00455A6A"/>
    <w:rsid w:val="00456D4B"/>
    <w:rsid w:val="004579C4"/>
    <w:rsid w:val="00473A3C"/>
    <w:rsid w:val="00474C2D"/>
    <w:rsid w:val="004A4384"/>
    <w:rsid w:val="004B177D"/>
    <w:rsid w:val="004B3E41"/>
    <w:rsid w:val="004D0D25"/>
    <w:rsid w:val="004D5DB4"/>
    <w:rsid w:val="004E1C35"/>
    <w:rsid w:val="004E6D37"/>
    <w:rsid w:val="004F290F"/>
    <w:rsid w:val="00500E2E"/>
    <w:rsid w:val="005026B1"/>
    <w:rsid w:val="0052755D"/>
    <w:rsid w:val="00532D8E"/>
    <w:rsid w:val="00541195"/>
    <w:rsid w:val="005430C6"/>
    <w:rsid w:val="005476BB"/>
    <w:rsid w:val="005534AC"/>
    <w:rsid w:val="005578FA"/>
    <w:rsid w:val="005608E5"/>
    <w:rsid w:val="00561381"/>
    <w:rsid w:val="00564F68"/>
    <w:rsid w:val="0057501A"/>
    <w:rsid w:val="00575537"/>
    <w:rsid w:val="00593B38"/>
    <w:rsid w:val="005C309C"/>
    <w:rsid w:val="005C6D32"/>
    <w:rsid w:val="005C72CE"/>
    <w:rsid w:val="005C7885"/>
    <w:rsid w:val="005D1B7A"/>
    <w:rsid w:val="005D2B7C"/>
    <w:rsid w:val="005D3C00"/>
    <w:rsid w:val="005D5FCA"/>
    <w:rsid w:val="005E05B8"/>
    <w:rsid w:val="005E176B"/>
    <w:rsid w:val="005E21BE"/>
    <w:rsid w:val="005F2CB7"/>
    <w:rsid w:val="005F4854"/>
    <w:rsid w:val="005F52CF"/>
    <w:rsid w:val="00603355"/>
    <w:rsid w:val="00603489"/>
    <w:rsid w:val="0060415E"/>
    <w:rsid w:val="00610905"/>
    <w:rsid w:val="00615509"/>
    <w:rsid w:val="00631DFD"/>
    <w:rsid w:val="00654A84"/>
    <w:rsid w:val="00655FB4"/>
    <w:rsid w:val="00663031"/>
    <w:rsid w:val="00666285"/>
    <w:rsid w:val="006707CF"/>
    <w:rsid w:val="00672B57"/>
    <w:rsid w:val="00673DDC"/>
    <w:rsid w:val="00682308"/>
    <w:rsid w:val="00682980"/>
    <w:rsid w:val="006832A6"/>
    <w:rsid w:val="00696C80"/>
    <w:rsid w:val="006A351A"/>
    <w:rsid w:val="006A5E49"/>
    <w:rsid w:val="006A7081"/>
    <w:rsid w:val="006B319A"/>
    <w:rsid w:val="006C5A53"/>
    <w:rsid w:val="006D2CF8"/>
    <w:rsid w:val="006F31C8"/>
    <w:rsid w:val="006F3285"/>
    <w:rsid w:val="006F4129"/>
    <w:rsid w:val="00707545"/>
    <w:rsid w:val="00710AA9"/>
    <w:rsid w:val="00723203"/>
    <w:rsid w:val="00725343"/>
    <w:rsid w:val="0072705F"/>
    <w:rsid w:val="0073239C"/>
    <w:rsid w:val="00734739"/>
    <w:rsid w:val="00735B06"/>
    <w:rsid w:val="007467ED"/>
    <w:rsid w:val="00755258"/>
    <w:rsid w:val="00755AEA"/>
    <w:rsid w:val="007615C2"/>
    <w:rsid w:val="00773102"/>
    <w:rsid w:val="007767CA"/>
    <w:rsid w:val="007819A8"/>
    <w:rsid w:val="0078393A"/>
    <w:rsid w:val="00785ADF"/>
    <w:rsid w:val="0079718D"/>
    <w:rsid w:val="007A20CB"/>
    <w:rsid w:val="007A579E"/>
    <w:rsid w:val="007B3212"/>
    <w:rsid w:val="007B555D"/>
    <w:rsid w:val="007B5CB4"/>
    <w:rsid w:val="007C7176"/>
    <w:rsid w:val="007F29A9"/>
    <w:rsid w:val="00804862"/>
    <w:rsid w:val="0080613F"/>
    <w:rsid w:val="00814A87"/>
    <w:rsid w:val="00824646"/>
    <w:rsid w:val="00832A16"/>
    <w:rsid w:val="008431CE"/>
    <w:rsid w:val="00843717"/>
    <w:rsid w:val="00846FE1"/>
    <w:rsid w:val="00852110"/>
    <w:rsid w:val="008522DD"/>
    <w:rsid w:val="008551E2"/>
    <w:rsid w:val="00870BC7"/>
    <w:rsid w:val="00877DBD"/>
    <w:rsid w:val="00880A02"/>
    <w:rsid w:val="008B71E0"/>
    <w:rsid w:val="008C0C66"/>
    <w:rsid w:val="008C34F3"/>
    <w:rsid w:val="008C60DC"/>
    <w:rsid w:val="008C60E5"/>
    <w:rsid w:val="008D03D1"/>
    <w:rsid w:val="008D1EAF"/>
    <w:rsid w:val="008D3443"/>
    <w:rsid w:val="008E01E6"/>
    <w:rsid w:val="008E51B6"/>
    <w:rsid w:val="008E77E6"/>
    <w:rsid w:val="008F7BD5"/>
    <w:rsid w:val="0091151D"/>
    <w:rsid w:val="009235CE"/>
    <w:rsid w:val="00924742"/>
    <w:rsid w:val="00926B59"/>
    <w:rsid w:val="00941CD1"/>
    <w:rsid w:val="00947492"/>
    <w:rsid w:val="00956E09"/>
    <w:rsid w:val="009A2881"/>
    <w:rsid w:val="009A6FA9"/>
    <w:rsid w:val="009C1178"/>
    <w:rsid w:val="009C326B"/>
    <w:rsid w:val="009C46C1"/>
    <w:rsid w:val="009C539F"/>
    <w:rsid w:val="009D196E"/>
    <w:rsid w:val="009D3945"/>
    <w:rsid w:val="009E271A"/>
    <w:rsid w:val="009E3C54"/>
    <w:rsid w:val="009E62DB"/>
    <w:rsid w:val="009F520F"/>
    <w:rsid w:val="00A0756C"/>
    <w:rsid w:val="00A107A2"/>
    <w:rsid w:val="00A14C22"/>
    <w:rsid w:val="00A23128"/>
    <w:rsid w:val="00A24681"/>
    <w:rsid w:val="00A2482A"/>
    <w:rsid w:val="00A25330"/>
    <w:rsid w:val="00A26894"/>
    <w:rsid w:val="00A321E9"/>
    <w:rsid w:val="00A543B5"/>
    <w:rsid w:val="00A656B7"/>
    <w:rsid w:val="00A72497"/>
    <w:rsid w:val="00A75101"/>
    <w:rsid w:val="00A77AB0"/>
    <w:rsid w:val="00A82E66"/>
    <w:rsid w:val="00A9295F"/>
    <w:rsid w:val="00AA2D23"/>
    <w:rsid w:val="00AA442F"/>
    <w:rsid w:val="00AB4A9C"/>
    <w:rsid w:val="00AC272A"/>
    <w:rsid w:val="00AC724B"/>
    <w:rsid w:val="00AD3F80"/>
    <w:rsid w:val="00AD5982"/>
    <w:rsid w:val="00AD742E"/>
    <w:rsid w:val="00AE31E5"/>
    <w:rsid w:val="00AE36F1"/>
    <w:rsid w:val="00AE599B"/>
    <w:rsid w:val="00AF05DA"/>
    <w:rsid w:val="00AF076D"/>
    <w:rsid w:val="00AF6D3E"/>
    <w:rsid w:val="00B061F6"/>
    <w:rsid w:val="00B10C94"/>
    <w:rsid w:val="00B11148"/>
    <w:rsid w:val="00B11AF0"/>
    <w:rsid w:val="00B127EC"/>
    <w:rsid w:val="00B1737A"/>
    <w:rsid w:val="00B269B5"/>
    <w:rsid w:val="00B30881"/>
    <w:rsid w:val="00B42EA4"/>
    <w:rsid w:val="00B51190"/>
    <w:rsid w:val="00B62EE0"/>
    <w:rsid w:val="00B91E12"/>
    <w:rsid w:val="00B920C0"/>
    <w:rsid w:val="00B94E30"/>
    <w:rsid w:val="00BA3B1F"/>
    <w:rsid w:val="00BA7759"/>
    <w:rsid w:val="00BB233D"/>
    <w:rsid w:val="00BB3A0D"/>
    <w:rsid w:val="00BB5161"/>
    <w:rsid w:val="00BE545B"/>
    <w:rsid w:val="00BE6D65"/>
    <w:rsid w:val="00BE7FA5"/>
    <w:rsid w:val="00BF055C"/>
    <w:rsid w:val="00BF5868"/>
    <w:rsid w:val="00BF6AE5"/>
    <w:rsid w:val="00C024F4"/>
    <w:rsid w:val="00C026A3"/>
    <w:rsid w:val="00C07AEA"/>
    <w:rsid w:val="00C10F60"/>
    <w:rsid w:val="00C126A4"/>
    <w:rsid w:val="00C17474"/>
    <w:rsid w:val="00C20327"/>
    <w:rsid w:val="00C20D08"/>
    <w:rsid w:val="00C2364E"/>
    <w:rsid w:val="00C260E0"/>
    <w:rsid w:val="00C27AA3"/>
    <w:rsid w:val="00C37C6F"/>
    <w:rsid w:val="00C463EE"/>
    <w:rsid w:val="00C5145D"/>
    <w:rsid w:val="00C5458F"/>
    <w:rsid w:val="00C54D33"/>
    <w:rsid w:val="00C62913"/>
    <w:rsid w:val="00C63E57"/>
    <w:rsid w:val="00C71476"/>
    <w:rsid w:val="00C74787"/>
    <w:rsid w:val="00C83EBD"/>
    <w:rsid w:val="00C91C1E"/>
    <w:rsid w:val="00CA1BB1"/>
    <w:rsid w:val="00CB0FCF"/>
    <w:rsid w:val="00CB147C"/>
    <w:rsid w:val="00CC01A3"/>
    <w:rsid w:val="00CC0AC9"/>
    <w:rsid w:val="00CC2A7B"/>
    <w:rsid w:val="00CD1399"/>
    <w:rsid w:val="00CD3BF1"/>
    <w:rsid w:val="00CE407B"/>
    <w:rsid w:val="00CF0020"/>
    <w:rsid w:val="00CF4706"/>
    <w:rsid w:val="00CF7CCC"/>
    <w:rsid w:val="00D029A0"/>
    <w:rsid w:val="00D06903"/>
    <w:rsid w:val="00D1294B"/>
    <w:rsid w:val="00D32511"/>
    <w:rsid w:val="00D40180"/>
    <w:rsid w:val="00D43187"/>
    <w:rsid w:val="00D435E7"/>
    <w:rsid w:val="00D50868"/>
    <w:rsid w:val="00D52138"/>
    <w:rsid w:val="00D60C3B"/>
    <w:rsid w:val="00D611E6"/>
    <w:rsid w:val="00D73BA6"/>
    <w:rsid w:val="00D7516C"/>
    <w:rsid w:val="00D763E4"/>
    <w:rsid w:val="00D7659F"/>
    <w:rsid w:val="00D831C3"/>
    <w:rsid w:val="00D91D06"/>
    <w:rsid w:val="00D95A4B"/>
    <w:rsid w:val="00DC2E68"/>
    <w:rsid w:val="00DC56AF"/>
    <w:rsid w:val="00DD1664"/>
    <w:rsid w:val="00DD4907"/>
    <w:rsid w:val="00DE41DC"/>
    <w:rsid w:val="00DF7B01"/>
    <w:rsid w:val="00E06022"/>
    <w:rsid w:val="00E163C9"/>
    <w:rsid w:val="00E17774"/>
    <w:rsid w:val="00E17CCB"/>
    <w:rsid w:val="00E22C66"/>
    <w:rsid w:val="00E40BE6"/>
    <w:rsid w:val="00E5109D"/>
    <w:rsid w:val="00E51326"/>
    <w:rsid w:val="00E519D5"/>
    <w:rsid w:val="00E5635C"/>
    <w:rsid w:val="00E5707A"/>
    <w:rsid w:val="00E60DF5"/>
    <w:rsid w:val="00E71F1A"/>
    <w:rsid w:val="00E75D40"/>
    <w:rsid w:val="00E82597"/>
    <w:rsid w:val="00E827BB"/>
    <w:rsid w:val="00E85B9D"/>
    <w:rsid w:val="00E94F80"/>
    <w:rsid w:val="00E95BC7"/>
    <w:rsid w:val="00E97C1A"/>
    <w:rsid w:val="00EA0CBA"/>
    <w:rsid w:val="00EA3D76"/>
    <w:rsid w:val="00EA56B7"/>
    <w:rsid w:val="00EC5097"/>
    <w:rsid w:val="00EF3E34"/>
    <w:rsid w:val="00EF65C0"/>
    <w:rsid w:val="00F076D6"/>
    <w:rsid w:val="00F12528"/>
    <w:rsid w:val="00F12CB2"/>
    <w:rsid w:val="00F243D6"/>
    <w:rsid w:val="00F31F41"/>
    <w:rsid w:val="00F32762"/>
    <w:rsid w:val="00F6322C"/>
    <w:rsid w:val="00F675C7"/>
    <w:rsid w:val="00F700A3"/>
    <w:rsid w:val="00F7086D"/>
    <w:rsid w:val="00F85EC9"/>
    <w:rsid w:val="00F976BC"/>
    <w:rsid w:val="00FA3389"/>
    <w:rsid w:val="00FA5965"/>
    <w:rsid w:val="00FB0E8A"/>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E733978E-DE30-4979-978E-3490145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uiPriority w:val="1"/>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C62913"/>
    <w:rPr>
      <w:color w:val="605E5C"/>
      <w:shd w:val="clear" w:color="auto" w:fill="E1DFDD"/>
    </w:rPr>
  </w:style>
  <w:style w:type="paragraph" w:styleId="NoSpacing">
    <w:name w:val="No Spacing"/>
    <w:uiPriority w:val="1"/>
    <w:qFormat/>
    <w:rsid w:val="00307B2B"/>
    <w:pPr>
      <w:spacing w:after="0" w:line="240" w:lineRule="auto"/>
    </w:pPr>
  </w:style>
  <w:style w:type="table" w:customStyle="1" w:styleId="TableGrid3">
    <w:name w:val="Table Grid3"/>
    <w:basedOn w:val="TableNormal"/>
    <w:next w:val="TableGrid"/>
    <w:uiPriority w:val="59"/>
    <w:rsid w:val="00114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nf.org/bnf/index.htm" TargetMode="External"/><Relationship Id="rId18" Type="http://schemas.openxmlformats.org/officeDocument/2006/relationships/hyperlink" Target="http://www.medicines.org.uk/emc" TargetMode="External"/><Relationship Id="rId26" Type="http://schemas.openxmlformats.org/officeDocument/2006/relationships/hyperlink" Target="mailto:tpa-tr.dermatologyclinicalcorrespondence@nhs.net" TargetMode="External"/><Relationship Id="rId39" Type="http://schemas.openxmlformats.org/officeDocument/2006/relationships/hyperlink" Target="https://ashpublications.org/blood/article-lookup/doi/10.1182/blood-2009-06-225565" TargetMode="External"/><Relationship Id="rId21" Type="http://schemas.openxmlformats.org/officeDocument/2006/relationships/hyperlink" Target="http://www.medicines.org.uk/emc" TargetMode="External"/><Relationship Id="rId34" Type="http://schemas.openxmlformats.org/officeDocument/2006/relationships/hyperlink" Target="https://www.bsg.org.uk/resource/bsg-consensus-guidelines-ibd-in-adults.html" TargetMode="External"/><Relationship Id="rId42" Type="http://schemas.openxmlformats.org/officeDocument/2006/relationships/hyperlink" Target="https://onlinelibrary.wiley.com/doi/full/10.1111/bjd.12072" TargetMode="External"/><Relationship Id="rId47" Type="http://schemas.openxmlformats.org/officeDocument/2006/relationships/hyperlink" Target="http://dx.doi.org/10.1136/practneurol-2015-001126" TargetMode="External"/><Relationship Id="rId50" Type="http://schemas.openxmlformats.org/officeDocument/2006/relationships/hyperlink" Target="https://www.england.nhs.uk/commissioning/wp-content/uploads/sites/12/2015/11/d12pb-paediatric-pats-uveitis-inflixi-fin.pdf" TargetMode="External"/><Relationship Id="rId55" Type="http://schemas.openxmlformats.org/officeDocument/2006/relationships/hyperlink" Target="https://www.gov.uk/government/collections/immunisation-against-infectious-disease-the-green-book"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edicines.org.uk/emc" TargetMode="External"/><Relationship Id="rId29" Type="http://schemas.openxmlformats.org/officeDocument/2006/relationships/hyperlink" Target="mailto:pa-tr.ophthalmologyadminclinicalcorrespondence@nhs.net" TargetMode="External"/><Relationship Id="rId11" Type="http://schemas.openxmlformats.org/officeDocument/2006/relationships/hyperlink" Target="https://www.gov.uk/government/publications/post-exposure-prophylaxis-for-chickenpox-and-shingles" TargetMode="External"/><Relationship Id="rId24" Type="http://schemas.openxmlformats.org/officeDocument/2006/relationships/hyperlink" Target="mailto:tpa-tr.haematologyadminclinicalcorrespondence@nhs.net" TargetMode="External"/><Relationship Id="rId32" Type="http://schemas.openxmlformats.org/officeDocument/2006/relationships/hyperlink" Target="https://www.nice.org.uk/guidance/ng129" TargetMode="External"/><Relationship Id="rId37" Type="http://schemas.openxmlformats.org/officeDocument/2006/relationships/hyperlink" Target="https://ard.bmj.com/content/78/6/736" TargetMode="External"/><Relationship Id="rId40" Type="http://schemas.openxmlformats.org/officeDocument/2006/relationships/hyperlink" Target="https://onlinelibrary.wiley.com/doi/full/10.1111/bjd.15930" TargetMode="External"/><Relationship Id="rId45" Type="http://schemas.openxmlformats.org/officeDocument/2006/relationships/hyperlink" Target="https://onlinelibrary.wiley.com/doi/pdf/10.1111/j.1365-2133.2011.10575.x" TargetMode="External"/><Relationship Id="rId53" Type="http://schemas.openxmlformats.org/officeDocument/2006/relationships/hyperlink" Target="https://cks.nice.org.uk/dmards"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assets.publishing.service.gov.uk/media/63e230638fa8f50e86ff1ae4/UKHSA-guidelines-on-VZ-post-exposure-prophylaxis-january-2023.pdf" TargetMode="External"/><Relationship Id="rId14"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22" Type="http://schemas.openxmlformats.org/officeDocument/2006/relationships/hyperlink" Target="mailto:Tpa-tr.gastroadminclinicalcorrespondence@nhs.net" TargetMode="External"/><Relationship Id="rId27" Type="http://schemas.openxmlformats.org/officeDocument/2006/relationships/hyperlink" Target="mailto:tpa-tr.rheumatologyadminclinicalcorrespondence@nhs.net" TargetMode="External"/><Relationship Id="rId30" Type="http://schemas.openxmlformats.org/officeDocument/2006/relationships/hyperlink" Target="mailto:nephadmin.enh-tr@nhs.net" TargetMode="External"/><Relationship Id="rId35" Type="http://schemas.openxmlformats.org/officeDocument/2006/relationships/hyperlink" Target="https://www.bsg.org.uk/resource/bsg-guidelines-for-the-management-of-autoimmune-hepatitis.html" TargetMode="External"/><Relationship Id="rId43" Type="http://schemas.openxmlformats.org/officeDocument/2006/relationships/hyperlink" Target="https://doi.org/10.1093/rheumatology/ket445" TargetMode="External"/><Relationship Id="rId48" Type="http://schemas.openxmlformats.org/officeDocument/2006/relationships/hyperlink" Target="https://www.england.nhs.uk/wp-content/uploads/2018/10/Rituximab-biosimilar-for-the-treatment-of-myasthenia-gravis-adults-1.pdf" TargetMode="External"/><Relationship Id="rId56" Type="http://schemas.openxmlformats.org/officeDocument/2006/relationships/hyperlink" Target="http://www.ipnsm.hscni.net/download/shared_care_guidelines/AzathioprineSCG2017.pdf" TargetMode="External"/><Relationship Id="rId8" Type="http://schemas.openxmlformats.org/officeDocument/2006/relationships/hyperlink" Target="https://www.hweclinicalguidance.nhs.uk/all-clinical-areas-documents/download?cid=1739&amp;checksum=752d25a1f8dbfb2d656bac3094bfb81c" TargetMode="External"/><Relationship Id="rId51" Type="http://schemas.openxmlformats.org/officeDocument/2006/relationships/hyperlink" Target="https://www.engage.england.nhs.uk/consultation/specialised-services-consultation/user_uploads/uveitis-adults-policy.pdf" TargetMode="External"/><Relationship Id="rId3" Type="http://schemas.openxmlformats.org/officeDocument/2006/relationships/styles" Target="styles.xml"/><Relationship Id="rId12" Type="http://schemas.openxmlformats.org/officeDocument/2006/relationships/hyperlink" Target="https://www.medicines.org.uk/emc" TargetMode="External"/><Relationship Id="rId17" Type="http://schemas.openxmlformats.org/officeDocument/2006/relationships/hyperlink" Target="http://www.bnf.org/bnf/index.htm" TargetMode="External"/><Relationship Id="rId25" Type="http://schemas.openxmlformats.org/officeDocument/2006/relationships/hyperlink" Target="mailto:tpa-tr.neurologyadminclinicalcorrespondence@nhs.net" TargetMode="External"/><Relationship Id="rId33" Type="http://schemas.openxmlformats.org/officeDocument/2006/relationships/hyperlink" Target="https://www.nice.org.uk/guidance/ng130" TargetMode="External"/><Relationship Id="rId38" Type="http://schemas.openxmlformats.org/officeDocument/2006/relationships/hyperlink" Target="https://doi.org/10.1111/bjh.14478" TargetMode="External"/><Relationship Id="rId46" Type="http://schemas.openxmlformats.org/officeDocument/2006/relationships/hyperlink" Target="https://www.england.nhs.uk/commissioning/wp-content/uploads/sites/12/2016/08/clinical-com-pol-16056p.pdf" TargetMode="External"/><Relationship Id="rId59" Type="http://schemas.openxmlformats.org/officeDocument/2006/relationships/footer" Target="footer1.xml"/><Relationship Id="rId20" Type="http://schemas.openxmlformats.org/officeDocument/2006/relationships/hyperlink" Target="http://www.bnf.org/bnf/index.htm" TargetMode="External"/><Relationship Id="rId41" Type="http://schemas.openxmlformats.org/officeDocument/2006/relationships/hyperlink" Target="https://onlinelibrary.wiley.com/doi/pdf/10.1111/j.1365-2133.2011.10575.x" TargetMode="External"/><Relationship Id="rId54" Type="http://schemas.openxmlformats.org/officeDocument/2006/relationships/hyperlink" Target="https://www.rheumatology.org.uk/practice-quality/guideline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nf.org/bnf/index.htm" TargetMode="External"/><Relationship Id="rId23" Type="http://schemas.openxmlformats.org/officeDocument/2006/relationships/hyperlink" Target="mailto:Paht.ibd@nhs.net" TargetMode="External"/><Relationship Id="rId28" Type="http://schemas.openxmlformats.org/officeDocument/2006/relationships/hyperlink" Target="mailto:tpa-tr.respiratoryadminclinicalcorrespondence@nhs.net" TargetMode="External"/><Relationship Id="rId36" Type="http://schemas.openxmlformats.org/officeDocument/2006/relationships/hyperlink" Target="https://doi.org/10.1093/rheumatology/kex286" TargetMode="External"/><Relationship Id="rId49" Type="http://schemas.openxmlformats.org/officeDocument/2006/relationships/hyperlink" Target="https://www.nice.org.uk/guidance/ta460/chapter/1-Recommendations" TargetMode="External"/><Relationship Id="rId57" Type="http://schemas.openxmlformats.org/officeDocument/2006/relationships/hyperlink" Target="https://doi.org/10.1093/rheumatology/kev404" TargetMode="External"/><Relationship Id="rId10" Type="http://schemas.openxmlformats.org/officeDocument/2006/relationships/hyperlink" Target="https://www.gov.uk/government/publications/covid-19-the-green-book-chapter-14a" TargetMode="External"/><Relationship Id="rId31" Type="http://schemas.openxmlformats.org/officeDocument/2006/relationships/hyperlink" Target="mailto:sharedcare.enh-tr@nhs.net" TargetMode="External"/><Relationship Id="rId44" Type="http://schemas.openxmlformats.org/officeDocument/2006/relationships/hyperlink" Target="https://ard.bmj.com/content/75/9/1583" TargetMode="External"/><Relationship Id="rId52" Type="http://schemas.openxmlformats.org/officeDocument/2006/relationships/hyperlink" Target="https://www.england.nhs.uk/wp-content/uploads/2018/11/infliximab-progressive-pulmonary-sarcoidosis-adults.pdf"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AAA0-6A10-4353-B880-A2D8EA1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5967</Words>
  <Characters>34018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3</cp:revision>
  <cp:lastPrinted>2020-09-07T12:45:00Z</cp:lastPrinted>
  <dcterms:created xsi:type="dcterms:W3CDTF">2025-04-30T16:09:00Z</dcterms:created>
  <dcterms:modified xsi:type="dcterms:W3CDTF">2025-05-01T13:10:00Z</dcterms:modified>
</cp:coreProperties>
</file>