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4C3CE" w14:textId="3BAA34D1" w:rsidR="006F4129" w:rsidRPr="000833DA" w:rsidRDefault="000833DA" w:rsidP="002B0C19">
      <w:pPr>
        <w:spacing w:after="0" w:line="240" w:lineRule="auto"/>
        <w:jc w:val="center"/>
        <w:rPr>
          <w:rFonts w:ascii="Arial" w:eastAsia="Times New Roman" w:hAnsi="Arial" w:cs="Arial"/>
          <w:b/>
          <w:bCs/>
          <w:sz w:val="28"/>
          <w:szCs w:val="28"/>
          <w:u w:val="single"/>
        </w:rPr>
      </w:pPr>
      <w:r w:rsidRPr="000833DA">
        <w:rPr>
          <w:rFonts w:ascii="Arial" w:eastAsia="Times New Roman" w:hAnsi="Arial" w:cs="Arial"/>
          <w:b/>
          <w:noProof/>
          <w:sz w:val="28"/>
          <w:szCs w:val="28"/>
          <w:u w:val="single"/>
          <w:lang w:eastAsia="en-GB"/>
        </w:rPr>
        <w:t>Request to Share Care</w:t>
      </w:r>
      <w:r w:rsidR="00B62EE0">
        <w:rPr>
          <w:rFonts w:ascii="Arial" w:eastAsia="Times New Roman" w:hAnsi="Arial" w:cs="Arial"/>
          <w:b/>
          <w:bCs/>
          <w:sz w:val="28"/>
          <w:szCs w:val="28"/>
          <w:u w:val="single"/>
        </w:rPr>
        <w:t xml:space="preserve"> </w:t>
      </w:r>
      <w:r w:rsidR="00CC2A7B">
        <w:rPr>
          <w:rFonts w:ascii="Arial" w:eastAsia="Times New Roman" w:hAnsi="Arial" w:cs="Arial"/>
          <w:b/>
          <w:bCs/>
          <w:sz w:val="28"/>
          <w:szCs w:val="28"/>
          <w:u w:val="single"/>
        </w:rPr>
        <w:t>and Agreement Form</w:t>
      </w:r>
      <w:r w:rsidR="009E62DB" w:rsidRPr="000833DA">
        <w:rPr>
          <w:rFonts w:ascii="Arial" w:eastAsia="Times New Roman" w:hAnsi="Arial" w:cs="Arial"/>
          <w:b/>
          <w:bCs/>
          <w:sz w:val="28"/>
          <w:szCs w:val="28"/>
          <w:u w:val="single"/>
        </w:rPr>
        <w:t xml:space="preserve"> </w:t>
      </w:r>
    </w:p>
    <w:p w14:paraId="2718A003" w14:textId="77A0FA8C" w:rsidR="002B0C19" w:rsidRPr="00406BF2" w:rsidRDefault="002B0C19" w:rsidP="002B0C19">
      <w:pPr>
        <w:spacing w:after="0" w:line="240" w:lineRule="auto"/>
        <w:jc w:val="center"/>
        <w:rPr>
          <w:rFonts w:ascii="Arial" w:eastAsia="Times New Roman" w:hAnsi="Arial" w:cs="Times New Roman"/>
          <w:b/>
          <w:bCs/>
          <w:sz w:val="18"/>
          <w:szCs w:val="24"/>
        </w:rPr>
      </w:pPr>
    </w:p>
    <w:p w14:paraId="244A6A50" w14:textId="77777777" w:rsidR="00097D24" w:rsidRDefault="00097D24" w:rsidP="00097D24">
      <w:pPr>
        <w:pBdr>
          <w:top w:val="double" w:sz="6" w:space="1" w:color="auto"/>
          <w:left w:val="double" w:sz="6" w:space="4" w:color="auto"/>
          <w:bottom w:val="double" w:sz="6" w:space="1" w:color="auto"/>
          <w:right w:val="double" w:sz="6" w:space="4" w:color="auto"/>
        </w:pBdr>
        <w:spacing w:after="0" w:line="240" w:lineRule="auto"/>
        <w:jc w:val="center"/>
        <w:rPr>
          <w:rFonts w:ascii="Arial" w:eastAsia="Times New Roman" w:hAnsi="Arial"/>
          <w:b/>
          <w:szCs w:val="24"/>
          <w:lang w:val="en-US"/>
        </w:rPr>
      </w:pPr>
      <w:bookmarkStart w:id="0" w:name="_Hlk154762437"/>
      <w:r>
        <w:rPr>
          <w:rFonts w:ascii="Arial" w:eastAsia="Times New Roman" w:hAnsi="Arial"/>
          <w:b/>
          <w:szCs w:val="24"/>
          <w:lang w:val="en-US"/>
        </w:rPr>
        <w:t xml:space="preserve">Methotrexate (oral and subcutaneous) use in adults: </w:t>
      </w:r>
    </w:p>
    <w:p w14:paraId="55DD42A6" w14:textId="38A6BE98" w:rsidR="00097D24" w:rsidRDefault="00097D24" w:rsidP="00097D24">
      <w:pPr>
        <w:pBdr>
          <w:top w:val="double" w:sz="6" w:space="1" w:color="auto"/>
          <w:left w:val="double" w:sz="6" w:space="4" w:color="auto"/>
          <w:bottom w:val="double" w:sz="6" w:space="1" w:color="auto"/>
          <w:right w:val="double" w:sz="6" w:space="4" w:color="auto"/>
        </w:pBdr>
        <w:spacing w:after="0" w:line="240" w:lineRule="auto"/>
        <w:jc w:val="center"/>
        <w:rPr>
          <w:rFonts w:ascii="Arial" w:eastAsia="Times New Roman" w:hAnsi="Arial"/>
          <w:b/>
          <w:szCs w:val="24"/>
          <w:lang w:val="en-US"/>
        </w:rPr>
      </w:pPr>
      <w:bookmarkStart w:id="1" w:name="_Hlk178085070"/>
      <w:bookmarkEnd w:id="0"/>
      <w:r>
        <w:rPr>
          <w:rFonts w:ascii="Arial" w:eastAsia="Times New Roman" w:hAnsi="Arial"/>
          <w:b/>
          <w:szCs w:val="24"/>
          <w:lang w:val="en-US"/>
        </w:rPr>
        <w:t>Rheumatology, Dermatology</w:t>
      </w:r>
      <w:r w:rsidR="006443C5">
        <w:rPr>
          <w:rFonts w:ascii="Arial" w:eastAsia="Times New Roman" w:hAnsi="Arial"/>
          <w:b/>
          <w:szCs w:val="24"/>
          <w:lang w:val="en-US"/>
        </w:rPr>
        <w:t xml:space="preserve">, </w:t>
      </w:r>
      <w:r>
        <w:rPr>
          <w:rFonts w:ascii="Arial" w:eastAsia="Times New Roman" w:hAnsi="Arial"/>
          <w:b/>
          <w:szCs w:val="24"/>
          <w:lang w:val="en-US"/>
        </w:rPr>
        <w:t xml:space="preserve">Gastroenterology </w:t>
      </w:r>
      <w:r w:rsidR="006443C5" w:rsidRPr="00C06FA7">
        <w:rPr>
          <w:rFonts w:ascii="Arial" w:eastAsia="Times New Roman" w:hAnsi="Arial"/>
          <w:b/>
          <w:szCs w:val="24"/>
          <w:lang w:val="en-US"/>
        </w:rPr>
        <w:t>and Respiratory</w:t>
      </w:r>
    </w:p>
    <w:bookmarkEnd w:id="1"/>
    <w:p w14:paraId="2452AE00" w14:textId="567171B1" w:rsidR="00097D24" w:rsidRDefault="00097D24" w:rsidP="00097D24">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Pr>
          <w:rFonts w:ascii="Arial" w:eastAsia="Times New Roman" w:hAnsi="Arial"/>
          <w:b/>
          <w:szCs w:val="24"/>
          <w:lang w:val="en-US"/>
        </w:rPr>
        <w:t xml:space="preserve">Shared Care Protocol: Guideline Number </w:t>
      </w:r>
      <w:r w:rsidR="006443C5">
        <w:rPr>
          <w:rFonts w:ascii="Arial" w:eastAsia="Times New Roman" w:hAnsi="Arial"/>
          <w:b/>
          <w:szCs w:val="24"/>
          <w:lang w:val="en-US"/>
        </w:rPr>
        <w:t>5</w:t>
      </w:r>
      <w:r>
        <w:rPr>
          <w:rFonts w:ascii="Arial" w:eastAsia="Times New Roman" w:hAnsi="Arial"/>
          <w:b/>
          <w:szCs w:val="24"/>
          <w:lang w:val="en-US"/>
        </w:rPr>
        <w:t xml:space="preserve">; Version </w:t>
      </w:r>
      <w:r w:rsidR="006443C5" w:rsidRPr="007445D8">
        <w:rPr>
          <w:rFonts w:ascii="Arial" w:eastAsia="Times New Roman" w:hAnsi="Arial"/>
          <w:b/>
          <w:szCs w:val="24"/>
          <w:lang w:val="en-US"/>
        </w:rPr>
        <w:t>2</w:t>
      </w:r>
      <w:r w:rsidR="0069262F">
        <w:rPr>
          <w:rFonts w:ascii="Arial" w:eastAsia="Times New Roman" w:hAnsi="Arial"/>
          <w:b/>
          <w:szCs w:val="24"/>
          <w:lang w:val="en-US"/>
        </w:rPr>
        <w:t>.</w:t>
      </w:r>
      <w:r w:rsidR="008A3D1B">
        <w:rPr>
          <w:rFonts w:ascii="Arial" w:eastAsia="Times New Roman" w:hAnsi="Arial"/>
          <w:b/>
          <w:szCs w:val="24"/>
          <w:lang w:val="en-US"/>
        </w:rPr>
        <w:t>2</w:t>
      </w:r>
    </w:p>
    <w:p w14:paraId="7CB8EBC8" w14:textId="77777777" w:rsidR="00657EDD" w:rsidRPr="00820C02" w:rsidRDefault="00657EDD" w:rsidP="00657EDD">
      <w:pPr>
        <w:jc w:val="center"/>
        <w:rPr>
          <w:b/>
          <w:bCs/>
          <w:sz w:val="32"/>
          <w:szCs w:val="32"/>
        </w:rPr>
      </w:pPr>
      <w:r w:rsidRPr="00201391">
        <w:rPr>
          <w:rFonts w:ascii="Calibri" w:eastAsia="Calibri" w:hAnsi="Calibri" w:cs="Times New Roman"/>
          <w:b/>
          <w:bCs/>
          <w:sz w:val="32"/>
          <w:szCs w:val="32"/>
        </w:rPr>
        <w:t>For use in West Essex</w:t>
      </w:r>
    </w:p>
    <w:p w14:paraId="46C5F796" w14:textId="77777777" w:rsidR="00CD5972" w:rsidRDefault="00CD5972" w:rsidP="00CD5972">
      <w:pPr>
        <w:spacing w:after="0" w:line="240" w:lineRule="auto"/>
        <w:jc w:val="center"/>
        <w:rPr>
          <w:rFonts w:ascii="Arial" w:eastAsia="Times New Roman" w:hAnsi="Arial" w:cs="Times New Roman"/>
          <w:bCs/>
          <w:lang w:val="en-US" w:eastAsia="en-GB"/>
        </w:rPr>
      </w:pPr>
      <w:r w:rsidRPr="00552E47">
        <w:rPr>
          <w:rFonts w:ascii="Arial" w:eastAsia="Times New Roman" w:hAnsi="Arial" w:cs="Times New Roman"/>
          <w:bCs/>
          <w:lang w:val="en-US" w:eastAsia="en-GB"/>
        </w:rPr>
        <w:t xml:space="preserve">This </w:t>
      </w:r>
      <w:r>
        <w:rPr>
          <w:rFonts w:ascii="Arial" w:eastAsia="Times New Roman" w:hAnsi="Arial" w:cs="Times New Roman"/>
          <w:bCs/>
          <w:lang w:val="en-US" w:eastAsia="en-GB"/>
        </w:rPr>
        <w:t>r</w:t>
      </w:r>
      <w:r w:rsidRPr="00552E47">
        <w:rPr>
          <w:rFonts w:ascii="Arial" w:eastAsia="Times New Roman" w:hAnsi="Arial" w:cs="Times New Roman"/>
          <w:bCs/>
          <w:lang w:val="en-US" w:eastAsia="en-GB"/>
        </w:rPr>
        <w:t xml:space="preserve">equest to </w:t>
      </w:r>
      <w:r>
        <w:rPr>
          <w:rFonts w:ascii="Arial" w:eastAsia="Times New Roman" w:hAnsi="Arial" w:cs="Times New Roman"/>
          <w:bCs/>
          <w:lang w:val="en-US" w:eastAsia="en-GB"/>
        </w:rPr>
        <w:t>s</w:t>
      </w:r>
      <w:r w:rsidRPr="00552E47">
        <w:rPr>
          <w:rFonts w:ascii="Arial" w:eastAsia="Times New Roman" w:hAnsi="Arial" w:cs="Times New Roman"/>
          <w:bCs/>
          <w:lang w:val="en-US" w:eastAsia="en-GB"/>
        </w:rPr>
        <w:t xml:space="preserve">hare </w:t>
      </w:r>
      <w:r>
        <w:rPr>
          <w:rFonts w:ascii="Arial" w:eastAsia="Times New Roman" w:hAnsi="Arial" w:cs="Times New Roman"/>
          <w:bCs/>
          <w:lang w:val="en-US" w:eastAsia="en-GB"/>
        </w:rPr>
        <w:t>c</w:t>
      </w:r>
      <w:r w:rsidRPr="00552E47">
        <w:rPr>
          <w:rFonts w:ascii="Arial" w:eastAsia="Times New Roman" w:hAnsi="Arial" w:cs="Times New Roman"/>
          <w:bCs/>
          <w:lang w:val="en-US" w:eastAsia="en-GB"/>
        </w:rPr>
        <w:t xml:space="preserve">are provides </w:t>
      </w:r>
      <w:r>
        <w:rPr>
          <w:rFonts w:ascii="Arial" w:eastAsia="Times New Roman" w:hAnsi="Arial" w:cs="Times New Roman"/>
          <w:bCs/>
          <w:lang w:val="en-US" w:eastAsia="en-GB"/>
        </w:rPr>
        <w:t>k</w:t>
      </w:r>
      <w:r w:rsidRPr="00552E47">
        <w:rPr>
          <w:rFonts w:ascii="Arial" w:eastAsia="Times New Roman" w:hAnsi="Arial" w:cs="Times New Roman"/>
          <w:bCs/>
          <w:lang w:val="en-US" w:eastAsia="en-GB"/>
        </w:rPr>
        <w:t xml:space="preserve">ey </w:t>
      </w:r>
      <w:r>
        <w:rPr>
          <w:rFonts w:ascii="Arial" w:eastAsia="Times New Roman" w:hAnsi="Arial" w:cs="Times New Roman"/>
          <w:bCs/>
          <w:lang w:val="en-US" w:eastAsia="en-GB"/>
        </w:rPr>
        <w:t>p</w:t>
      </w:r>
      <w:r w:rsidRPr="00552E47">
        <w:rPr>
          <w:rFonts w:ascii="Arial" w:eastAsia="Times New Roman" w:hAnsi="Arial" w:cs="Times New Roman"/>
          <w:bCs/>
          <w:lang w:val="en-US" w:eastAsia="en-GB"/>
        </w:rPr>
        <w:t xml:space="preserve">rimary </w:t>
      </w:r>
      <w:r>
        <w:rPr>
          <w:rFonts w:ascii="Arial" w:eastAsia="Times New Roman" w:hAnsi="Arial" w:cs="Times New Roman"/>
          <w:bCs/>
          <w:lang w:val="en-US" w:eastAsia="en-GB"/>
        </w:rPr>
        <w:t>c</w:t>
      </w:r>
      <w:r w:rsidRPr="00552E47">
        <w:rPr>
          <w:rFonts w:ascii="Arial" w:eastAsia="Times New Roman" w:hAnsi="Arial" w:cs="Times New Roman"/>
          <w:bCs/>
          <w:lang w:val="en-US" w:eastAsia="en-GB"/>
        </w:rPr>
        <w:t xml:space="preserve">are </w:t>
      </w:r>
      <w:r>
        <w:rPr>
          <w:rFonts w:ascii="Arial" w:eastAsia="Times New Roman" w:hAnsi="Arial" w:cs="Times New Roman"/>
          <w:bCs/>
          <w:lang w:val="en-US" w:eastAsia="en-GB"/>
        </w:rPr>
        <w:t>i</w:t>
      </w:r>
      <w:r w:rsidRPr="00552E47">
        <w:rPr>
          <w:rFonts w:ascii="Arial" w:eastAsia="Times New Roman" w:hAnsi="Arial" w:cs="Times New Roman"/>
          <w:bCs/>
          <w:lang w:val="en-US" w:eastAsia="en-GB"/>
        </w:rPr>
        <w:t xml:space="preserve">nformation on responsibilities and monitoring. The aim is to support the GP to agree to share care arrangements. Refer to </w:t>
      </w:r>
      <w:r>
        <w:rPr>
          <w:rFonts w:ascii="Arial" w:eastAsia="Times New Roman" w:hAnsi="Arial" w:cs="Times New Roman"/>
          <w:bCs/>
          <w:lang w:val="en-US" w:eastAsia="en-GB"/>
        </w:rPr>
        <w:t>f</w:t>
      </w:r>
      <w:r w:rsidRPr="00552E47">
        <w:rPr>
          <w:rFonts w:ascii="Arial" w:eastAsia="Times New Roman" w:hAnsi="Arial" w:cs="Times New Roman"/>
          <w:bCs/>
          <w:lang w:val="en-US" w:eastAsia="en-GB"/>
        </w:rPr>
        <w:t xml:space="preserve">ull </w:t>
      </w:r>
      <w:r>
        <w:rPr>
          <w:rFonts w:ascii="Arial" w:eastAsia="Times New Roman" w:hAnsi="Arial" w:cs="Times New Roman"/>
          <w:bCs/>
          <w:lang w:val="en-US" w:eastAsia="en-GB"/>
        </w:rPr>
        <w:t>s</w:t>
      </w:r>
      <w:r w:rsidRPr="00552E47">
        <w:rPr>
          <w:rFonts w:ascii="Arial" w:eastAsia="Times New Roman" w:hAnsi="Arial" w:cs="Times New Roman"/>
          <w:bCs/>
          <w:lang w:val="en-US" w:eastAsia="en-GB"/>
        </w:rPr>
        <w:t xml:space="preserve">hared </w:t>
      </w:r>
      <w:r>
        <w:rPr>
          <w:rFonts w:ascii="Arial" w:eastAsia="Times New Roman" w:hAnsi="Arial" w:cs="Times New Roman"/>
          <w:bCs/>
          <w:lang w:val="en-US" w:eastAsia="en-GB"/>
        </w:rPr>
        <w:t>c</w:t>
      </w:r>
      <w:r w:rsidRPr="00552E47">
        <w:rPr>
          <w:rFonts w:ascii="Arial" w:eastAsia="Times New Roman" w:hAnsi="Arial" w:cs="Times New Roman"/>
          <w:bCs/>
          <w:lang w:val="en-US" w:eastAsia="en-GB"/>
        </w:rPr>
        <w:t xml:space="preserve">are </w:t>
      </w:r>
      <w:r>
        <w:rPr>
          <w:rFonts w:ascii="Arial" w:eastAsia="Times New Roman" w:hAnsi="Arial" w:cs="Times New Roman"/>
          <w:bCs/>
          <w:lang w:val="en-US" w:eastAsia="en-GB"/>
        </w:rPr>
        <w:t>p</w:t>
      </w:r>
      <w:r w:rsidRPr="00552E47">
        <w:rPr>
          <w:rFonts w:ascii="Arial" w:eastAsia="Times New Roman" w:hAnsi="Arial" w:cs="Times New Roman"/>
          <w:bCs/>
          <w:lang w:val="en-US" w:eastAsia="en-GB"/>
        </w:rPr>
        <w:t xml:space="preserve">rotocol for </w:t>
      </w:r>
      <w:r>
        <w:rPr>
          <w:rFonts w:ascii="Arial" w:eastAsia="Times New Roman" w:hAnsi="Arial" w:cs="Times New Roman"/>
          <w:bCs/>
          <w:lang w:val="en-US" w:eastAsia="en-GB"/>
        </w:rPr>
        <w:t>further information.</w:t>
      </w:r>
    </w:p>
    <w:p w14:paraId="33B802D2" w14:textId="77777777" w:rsidR="00CD5972" w:rsidRDefault="00CD5972" w:rsidP="00CD5972">
      <w:pPr>
        <w:spacing w:after="0" w:line="240" w:lineRule="auto"/>
        <w:jc w:val="center"/>
        <w:rPr>
          <w:rFonts w:ascii="Arial" w:eastAsia="Times New Roman" w:hAnsi="Arial" w:cs="Arial"/>
          <w:b/>
          <w:lang w:val="en-US"/>
        </w:rPr>
      </w:pPr>
      <w:r>
        <w:rPr>
          <w:rFonts w:ascii="Arial" w:eastAsia="Times New Roman" w:hAnsi="Arial" w:cs="Times New Roman"/>
          <w:bCs/>
          <w:lang w:val="en-US" w:eastAsia="en-GB"/>
        </w:rPr>
        <w:t xml:space="preserve"> </w:t>
      </w:r>
      <w:r w:rsidRPr="00144CBA">
        <w:rPr>
          <w:rFonts w:ascii="Arial" w:hAnsi="Arial" w:cs="Arial"/>
          <w:b/>
          <w:color w:val="000000"/>
          <w:lang w:eastAsia="en-GB"/>
        </w:rPr>
        <w:t>GP to review and must respond to provider Trust request to share care within 2 weeks</w:t>
      </w:r>
      <w:r w:rsidRPr="00552E47">
        <w:rPr>
          <w:rFonts w:ascii="Arial" w:hAnsi="Arial" w:cs="Arial"/>
          <w:bCs/>
          <w:color w:val="000000"/>
          <w:lang w:eastAsia="en-GB"/>
        </w:rPr>
        <w:t>.</w:t>
      </w:r>
      <w:r w:rsidRPr="00552E47">
        <w:rPr>
          <w:rFonts w:ascii="Arial" w:eastAsia="Times New Roman" w:hAnsi="Arial" w:cs="Arial"/>
          <w:bCs/>
          <w:lang w:val="en-US"/>
        </w:rPr>
        <w:t xml:space="preserve"> </w:t>
      </w:r>
      <w:r w:rsidRPr="00B25DFC">
        <w:rPr>
          <w:rFonts w:ascii="Arial" w:eastAsia="Times New Roman" w:hAnsi="Arial" w:cs="Arial"/>
          <w:b/>
          <w:lang w:val="en-US"/>
        </w:rPr>
        <w:t>This form is used to</w:t>
      </w:r>
      <w:r>
        <w:rPr>
          <w:rFonts w:ascii="Arial" w:eastAsia="Times New Roman" w:hAnsi="Arial" w:cs="Arial"/>
          <w:b/>
          <w:lang w:val="en-US"/>
        </w:rPr>
        <w:t xml:space="preserve"> </w:t>
      </w:r>
      <w:r w:rsidRPr="00B25DFC">
        <w:rPr>
          <w:rFonts w:ascii="Arial" w:eastAsia="Times New Roman" w:hAnsi="Arial" w:cs="Arial"/>
          <w:b/>
          <w:lang w:val="en-US"/>
        </w:rPr>
        <w:t xml:space="preserve">agree shared care between the specialist, patient and GP </w:t>
      </w:r>
      <w:r>
        <w:rPr>
          <w:rFonts w:ascii="Arial" w:eastAsia="Times New Roman" w:hAnsi="Arial" w:cs="Arial"/>
          <w:b/>
          <w:lang w:val="en-US"/>
        </w:rPr>
        <w:t xml:space="preserve">and a copy of the form to be retained in </w:t>
      </w:r>
      <w:proofErr w:type="gramStart"/>
      <w:r>
        <w:rPr>
          <w:rFonts w:ascii="Arial" w:eastAsia="Times New Roman" w:hAnsi="Arial" w:cs="Arial"/>
          <w:b/>
          <w:lang w:val="en-US"/>
        </w:rPr>
        <w:t>1.Patients</w:t>
      </w:r>
      <w:proofErr w:type="gramEnd"/>
      <w:r>
        <w:rPr>
          <w:rFonts w:ascii="Arial" w:eastAsia="Times New Roman" w:hAnsi="Arial" w:cs="Arial"/>
          <w:b/>
          <w:lang w:val="en-US"/>
        </w:rPr>
        <w:t>’ hospital records, 2. Given to patient, and 3. Retained in GP notes.</w:t>
      </w:r>
    </w:p>
    <w:tbl>
      <w:tblPr>
        <w:tblStyle w:val="TableGrid3"/>
        <w:tblpPr w:leftFromText="180" w:rightFromText="180" w:vertAnchor="text" w:horzAnchor="page" w:tblpX="253" w:tblpY="110"/>
        <w:tblOverlap w:val="never"/>
        <w:tblW w:w="11410" w:type="dxa"/>
        <w:tblLayout w:type="fixed"/>
        <w:tblLook w:val="04A0" w:firstRow="1" w:lastRow="0" w:firstColumn="1" w:lastColumn="0" w:noHBand="0" w:noVBand="1"/>
      </w:tblPr>
      <w:tblGrid>
        <w:gridCol w:w="2852"/>
        <w:gridCol w:w="1963"/>
        <w:gridCol w:w="3827"/>
        <w:gridCol w:w="2768"/>
      </w:tblGrid>
      <w:tr w:rsidR="00CD5972" w:rsidRPr="002A2513" w14:paraId="1D069E67" w14:textId="77777777" w:rsidTr="00983B1D">
        <w:trPr>
          <w:trHeight w:val="247"/>
        </w:trPr>
        <w:tc>
          <w:tcPr>
            <w:tcW w:w="4815" w:type="dxa"/>
            <w:gridSpan w:val="2"/>
            <w:tcBorders>
              <w:right w:val="single" w:sz="4" w:space="0" w:color="auto"/>
            </w:tcBorders>
            <w:noWrap/>
          </w:tcPr>
          <w:p w14:paraId="3550F726" w14:textId="77777777" w:rsidR="00CD5972" w:rsidRPr="00B168C1" w:rsidRDefault="00CD5972" w:rsidP="00983B1D">
            <w:pPr>
              <w:jc w:val="center"/>
              <w:rPr>
                <w:rFonts w:ascii="Arial" w:hAnsi="Arial" w:cs="Arial"/>
                <w:b/>
                <w:bCs/>
              </w:rPr>
            </w:pPr>
            <w:r w:rsidRPr="00B25DFC">
              <w:rPr>
                <w:rFonts w:ascii="Arial" w:hAnsi="Arial" w:cs="Arial"/>
                <w:b/>
                <w:bCs/>
              </w:rPr>
              <w:t>Patient Information or Addressograph</w:t>
            </w:r>
            <w:r>
              <w:rPr>
                <w:rFonts w:ascii="Arial" w:hAnsi="Arial" w:cs="Arial"/>
                <w:b/>
                <w:bCs/>
              </w:rPr>
              <w:t xml:space="preserve"> label</w:t>
            </w:r>
          </w:p>
        </w:tc>
        <w:tc>
          <w:tcPr>
            <w:tcW w:w="6595" w:type="dxa"/>
            <w:gridSpan w:val="2"/>
            <w:tcBorders>
              <w:right w:val="single" w:sz="4" w:space="0" w:color="auto"/>
            </w:tcBorders>
          </w:tcPr>
          <w:p w14:paraId="7E2643DE" w14:textId="77777777" w:rsidR="00CD5972" w:rsidRPr="00131AEC" w:rsidRDefault="00CD5972" w:rsidP="00983B1D">
            <w:pPr>
              <w:jc w:val="center"/>
              <w:rPr>
                <w:rFonts w:ascii="Arial" w:hAnsi="Arial" w:cs="Arial"/>
                <w:b/>
                <w:bCs/>
                <w:sz w:val="18"/>
                <w:szCs w:val="18"/>
              </w:rPr>
            </w:pPr>
            <w:r w:rsidRPr="00131AEC">
              <w:rPr>
                <w:rFonts w:ascii="Arial" w:hAnsi="Arial" w:cs="Arial"/>
                <w:b/>
                <w:bCs/>
              </w:rPr>
              <w:t>Drug information</w:t>
            </w:r>
          </w:p>
        </w:tc>
      </w:tr>
      <w:tr w:rsidR="00CD5972" w:rsidRPr="002A2513" w14:paraId="03501004" w14:textId="77777777" w:rsidTr="00983B1D">
        <w:trPr>
          <w:trHeight w:val="510"/>
        </w:trPr>
        <w:tc>
          <w:tcPr>
            <w:tcW w:w="2852" w:type="dxa"/>
            <w:noWrap/>
            <w:hideMark/>
          </w:tcPr>
          <w:p w14:paraId="21F7878C" w14:textId="77777777" w:rsidR="00CD5972" w:rsidRPr="00B654C0" w:rsidRDefault="00CD5972" w:rsidP="00983B1D">
            <w:pPr>
              <w:rPr>
                <w:rFonts w:ascii="Arial" w:hAnsi="Arial" w:cs="Arial"/>
              </w:rPr>
            </w:pPr>
            <w:r w:rsidRPr="00B654C0">
              <w:rPr>
                <w:rFonts w:ascii="Arial" w:hAnsi="Arial" w:cs="Arial"/>
                <w:lang w:val="en-US"/>
              </w:rPr>
              <w:t>Patient name</w:t>
            </w:r>
            <w:r>
              <w:rPr>
                <w:rFonts w:ascii="Arial" w:hAnsi="Arial" w:cs="Arial"/>
                <w:lang w:val="en-US"/>
              </w:rPr>
              <w:t>:</w:t>
            </w:r>
          </w:p>
        </w:tc>
        <w:tc>
          <w:tcPr>
            <w:tcW w:w="1963" w:type="dxa"/>
            <w:tcBorders>
              <w:right w:val="single" w:sz="4" w:space="0" w:color="auto"/>
            </w:tcBorders>
            <w:noWrap/>
            <w:hideMark/>
          </w:tcPr>
          <w:p w14:paraId="3017CD31" w14:textId="77777777" w:rsidR="00CD5972" w:rsidRPr="002A2513" w:rsidRDefault="00CD5972" w:rsidP="00983B1D">
            <w:pPr>
              <w:rPr>
                <w:rFonts w:ascii="Arial" w:hAnsi="Arial" w:cs="Arial"/>
                <w:b/>
                <w:bCs/>
              </w:rPr>
            </w:pPr>
            <w:r w:rsidRPr="002A2513">
              <w:rPr>
                <w:rFonts w:ascii="Arial" w:hAnsi="Arial" w:cs="Arial"/>
                <w:sz w:val="18"/>
                <w:szCs w:val="18"/>
              </w:rPr>
              <w:fldChar w:fldCharType="begin">
                <w:ffData>
                  <w:name w:val="Text7"/>
                  <w:enabled/>
                  <w:calcOnExit w:val="0"/>
                  <w:textInput/>
                </w:ffData>
              </w:fldChar>
            </w:r>
            <w:r w:rsidRPr="002A2513">
              <w:rPr>
                <w:rFonts w:ascii="Arial" w:hAnsi="Arial" w:cs="Arial"/>
                <w:sz w:val="18"/>
                <w:szCs w:val="18"/>
              </w:rPr>
              <w:instrText xml:space="preserve"> FORMTEXT </w:instrText>
            </w:r>
            <w:r w:rsidRPr="002A2513">
              <w:rPr>
                <w:rFonts w:ascii="Arial" w:hAnsi="Arial" w:cs="Arial"/>
                <w:sz w:val="18"/>
                <w:szCs w:val="18"/>
              </w:rPr>
            </w:r>
            <w:r w:rsidRPr="002A2513">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2A2513">
              <w:rPr>
                <w:rFonts w:ascii="Arial" w:hAnsi="Arial" w:cs="Arial"/>
                <w:sz w:val="18"/>
                <w:szCs w:val="18"/>
              </w:rPr>
              <w:fldChar w:fldCharType="end"/>
            </w:r>
          </w:p>
        </w:tc>
        <w:tc>
          <w:tcPr>
            <w:tcW w:w="3827" w:type="dxa"/>
            <w:tcBorders>
              <w:right w:val="single" w:sz="4" w:space="0" w:color="auto"/>
            </w:tcBorders>
          </w:tcPr>
          <w:p w14:paraId="1C27A7A5" w14:textId="77777777" w:rsidR="00CD5972" w:rsidRPr="00B654C0" w:rsidRDefault="00CD5972" w:rsidP="00983B1D">
            <w:pPr>
              <w:spacing w:after="80"/>
              <w:contextualSpacing/>
              <w:rPr>
                <w:rFonts w:ascii="Arial" w:eastAsia="Times New Roman" w:hAnsi="Arial" w:cs="Arial"/>
                <w:lang w:val="en-US"/>
              </w:rPr>
            </w:pPr>
            <w:r w:rsidRPr="00B168C1">
              <w:rPr>
                <w:rFonts w:ascii="Arial" w:eastAsia="Times New Roman" w:hAnsi="Arial" w:cs="Arial"/>
                <w:lang w:val="en-US"/>
              </w:rPr>
              <w:t xml:space="preserve">Drug(s) and Dose at handover: </w:t>
            </w:r>
          </w:p>
        </w:tc>
        <w:tc>
          <w:tcPr>
            <w:tcW w:w="2768" w:type="dxa"/>
            <w:tcBorders>
              <w:right w:val="single" w:sz="4" w:space="0" w:color="auto"/>
            </w:tcBorders>
          </w:tcPr>
          <w:p w14:paraId="38572C6C" w14:textId="77777777" w:rsidR="00CD5972" w:rsidRPr="002A2513" w:rsidRDefault="00CD5972" w:rsidP="00983B1D">
            <w:pPr>
              <w:rPr>
                <w:rFonts w:ascii="Arial" w:hAnsi="Arial" w:cs="Arial"/>
                <w:sz w:val="18"/>
                <w:szCs w:val="18"/>
              </w:rPr>
            </w:pPr>
            <w:r w:rsidRPr="00B168C1">
              <w:rPr>
                <w:rFonts w:ascii="Arial" w:eastAsia="Times New Roman" w:hAnsi="Arial" w:cs="Arial"/>
              </w:rPr>
              <w:fldChar w:fldCharType="begin">
                <w:ffData>
                  <w:name w:val="Text7"/>
                  <w:enabled/>
                  <w:calcOnExit w:val="0"/>
                  <w:textInput/>
                </w:ffData>
              </w:fldChar>
            </w:r>
            <w:r w:rsidRPr="00B168C1">
              <w:rPr>
                <w:rFonts w:ascii="Arial" w:eastAsia="Times New Roman" w:hAnsi="Arial" w:cs="Arial"/>
              </w:rPr>
              <w:instrText xml:space="preserve"> FORMTEXT </w:instrText>
            </w:r>
            <w:r w:rsidRPr="00B168C1">
              <w:rPr>
                <w:rFonts w:ascii="Arial" w:eastAsia="Times New Roman" w:hAnsi="Arial" w:cs="Arial"/>
              </w:rPr>
            </w:r>
            <w:r w:rsidRPr="00B168C1">
              <w:rPr>
                <w:rFonts w:ascii="Arial" w:eastAsia="Times New Roman" w:hAnsi="Arial" w:cs="Arial"/>
              </w:rPr>
              <w:fldChar w:fldCharType="separate"/>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fldChar w:fldCharType="end"/>
            </w:r>
          </w:p>
        </w:tc>
      </w:tr>
      <w:tr w:rsidR="00CD5972" w:rsidRPr="002A2513" w14:paraId="00D7C05F" w14:textId="77777777" w:rsidTr="00983B1D">
        <w:trPr>
          <w:trHeight w:val="261"/>
        </w:trPr>
        <w:tc>
          <w:tcPr>
            <w:tcW w:w="2852" w:type="dxa"/>
            <w:noWrap/>
            <w:hideMark/>
          </w:tcPr>
          <w:p w14:paraId="318328B2" w14:textId="77777777" w:rsidR="00CD5972" w:rsidRPr="00B654C0" w:rsidRDefault="00CD5972" w:rsidP="00983B1D">
            <w:pPr>
              <w:rPr>
                <w:rFonts w:ascii="Arial" w:hAnsi="Arial" w:cs="Arial"/>
              </w:rPr>
            </w:pPr>
            <w:r w:rsidRPr="00B654C0">
              <w:rPr>
                <w:rFonts w:ascii="Arial" w:hAnsi="Arial" w:cs="Arial"/>
                <w:lang w:val="en-US"/>
              </w:rPr>
              <w:t>DOB</w:t>
            </w:r>
            <w:r>
              <w:rPr>
                <w:rFonts w:ascii="Arial" w:hAnsi="Arial" w:cs="Arial"/>
                <w:lang w:val="en-US"/>
              </w:rPr>
              <w:t>:</w:t>
            </w:r>
          </w:p>
        </w:tc>
        <w:tc>
          <w:tcPr>
            <w:tcW w:w="1963" w:type="dxa"/>
            <w:tcBorders>
              <w:right w:val="single" w:sz="4" w:space="0" w:color="auto"/>
            </w:tcBorders>
            <w:noWrap/>
            <w:hideMark/>
          </w:tcPr>
          <w:p w14:paraId="0FBCF3D6" w14:textId="77777777" w:rsidR="00CD5972" w:rsidRPr="002A2513" w:rsidRDefault="00CD5972" w:rsidP="00983B1D">
            <w:pPr>
              <w:rPr>
                <w:rFonts w:ascii="Arial" w:hAnsi="Arial" w:cs="Arial"/>
                <w:b/>
                <w:bCs/>
              </w:rPr>
            </w:pPr>
            <w:r w:rsidRPr="002A2513">
              <w:rPr>
                <w:rFonts w:ascii="Arial" w:hAnsi="Arial" w:cs="Arial"/>
                <w:sz w:val="18"/>
                <w:szCs w:val="18"/>
              </w:rPr>
              <w:fldChar w:fldCharType="begin">
                <w:ffData>
                  <w:name w:val="Text7"/>
                  <w:enabled/>
                  <w:calcOnExit w:val="0"/>
                  <w:textInput/>
                </w:ffData>
              </w:fldChar>
            </w:r>
            <w:r w:rsidRPr="002A2513">
              <w:rPr>
                <w:rFonts w:ascii="Arial" w:hAnsi="Arial" w:cs="Arial"/>
                <w:sz w:val="18"/>
                <w:szCs w:val="18"/>
              </w:rPr>
              <w:instrText xml:space="preserve"> FORMTEXT </w:instrText>
            </w:r>
            <w:r w:rsidRPr="002A2513">
              <w:rPr>
                <w:rFonts w:ascii="Arial" w:hAnsi="Arial" w:cs="Arial"/>
                <w:sz w:val="18"/>
                <w:szCs w:val="18"/>
              </w:rPr>
            </w:r>
            <w:r w:rsidRPr="002A2513">
              <w:rPr>
                <w:rFonts w:ascii="Arial" w:hAnsi="Arial" w:cs="Arial"/>
                <w:sz w:val="18"/>
                <w:szCs w:val="18"/>
              </w:rPr>
              <w:fldChar w:fldCharType="separate"/>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fldChar w:fldCharType="end"/>
            </w:r>
          </w:p>
        </w:tc>
        <w:tc>
          <w:tcPr>
            <w:tcW w:w="3827" w:type="dxa"/>
            <w:tcBorders>
              <w:right w:val="single" w:sz="4" w:space="0" w:color="auto"/>
            </w:tcBorders>
          </w:tcPr>
          <w:p w14:paraId="5EE30194" w14:textId="77777777" w:rsidR="00CD5972" w:rsidRPr="00B654C0" w:rsidRDefault="00CD5972" w:rsidP="00983B1D">
            <w:pPr>
              <w:spacing w:after="80"/>
              <w:contextualSpacing/>
              <w:jc w:val="both"/>
              <w:rPr>
                <w:rFonts w:ascii="Arial" w:eastAsia="Times New Roman" w:hAnsi="Arial" w:cs="Arial"/>
                <w:lang w:val="en-US"/>
              </w:rPr>
            </w:pPr>
            <w:r w:rsidRPr="00B168C1">
              <w:rPr>
                <w:rFonts w:ascii="Arial" w:eastAsia="Times New Roman" w:hAnsi="Arial" w:cs="Arial"/>
                <w:lang w:val="en-US"/>
              </w:rPr>
              <w:t xml:space="preserve">Indication: </w:t>
            </w:r>
          </w:p>
        </w:tc>
        <w:tc>
          <w:tcPr>
            <w:tcW w:w="2768" w:type="dxa"/>
            <w:tcBorders>
              <w:right w:val="single" w:sz="4" w:space="0" w:color="auto"/>
            </w:tcBorders>
          </w:tcPr>
          <w:p w14:paraId="45C06461" w14:textId="77777777" w:rsidR="00CD5972" w:rsidRPr="002A2513" w:rsidRDefault="00CD5972" w:rsidP="00983B1D">
            <w:pPr>
              <w:rPr>
                <w:rFonts w:ascii="Arial" w:hAnsi="Arial" w:cs="Arial"/>
                <w:sz w:val="18"/>
                <w:szCs w:val="18"/>
              </w:rPr>
            </w:pPr>
            <w:r w:rsidRPr="00B168C1">
              <w:rPr>
                <w:rFonts w:ascii="Arial" w:eastAsia="Times New Roman" w:hAnsi="Arial" w:cs="Arial"/>
              </w:rPr>
              <w:fldChar w:fldCharType="begin">
                <w:ffData>
                  <w:name w:val="Text7"/>
                  <w:enabled/>
                  <w:calcOnExit w:val="0"/>
                  <w:textInput/>
                </w:ffData>
              </w:fldChar>
            </w:r>
            <w:r w:rsidRPr="00B168C1">
              <w:rPr>
                <w:rFonts w:ascii="Arial" w:eastAsia="Times New Roman" w:hAnsi="Arial" w:cs="Arial"/>
              </w:rPr>
              <w:instrText xml:space="preserve"> FORMTEXT </w:instrText>
            </w:r>
            <w:r w:rsidRPr="00B168C1">
              <w:rPr>
                <w:rFonts w:ascii="Arial" w:eastAsia="Times New Roman" w:hAnsi="Arial" w:cs="Arial"/>
              </w:rPr>
            </w:r>
            <w:r w:rsidRPr="00B168C1">
              <w:rPr>
                <w:rFonts w:ascii="Arial" w:eastAsia="Times New Roman" w:hAnsi="Arial" w:cs="Arial"/>
              </w:rPr>
              <w:fldChar w:fldCharType="separate"/>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fldChar w:fldCharType="end"/>
            </w:r>
          </w:p>
        </w:tc>
      </w:tr>
      <w:tr w:rsidR="00CD5972" w:rsidRPr="002A2513" w14:paraId="6945A7F8" w14:textId="77777777" w:rsidTr="00983B1D">
        <w:trPr>
          <w:trHeight w:val="247"/>
        </w:trPr>
        <w:tc>
          <w:tcPr>
            <w:tcW w:w="2852" w:type="dxa"/>
            <w:noWrap/>
            <w:hideMark/>
          </w:tcPr>
          <w:p w14:paraId="6FFBBBE6" w14:textId="77777777" w:rsidR="00CD5972" w:rsidRPr="00B654C0" w:rsidRDefault="00CD5972" w:rsidP="00983B1D">
            <w:pPr>
              <w:rPr>
                <w:rFonts w:ascii="Arial" w:hAnsi="Arial" w:cs="Arial"/>
              </w:rPr>
            </w:pPr>
            <w:r w:rsidRPr="00B654C0">
              <w:rPr>
                <w:rFonts w:ascii="Arial" w:hAnsi="Arial" w:cs="Arial"/>
                <w:lang w:val="en-US"/>
              </w:rPr>
              <w:t>NHS number</w:t>
            </w:r>
            <w:r>
              <w:rPr>
                <w:rFonts w:ascii="Arial" w:hAnsi="Arial" w:cs="Arial"/>
                <w:lang w:val="en-US"/>
              </w:rPr>
              <w:t>:</w:t>
            </w:r>
          </w:p>
        </w:tc>
        <w:tc>
          <w:tcPr>
            <w:tcW w:w="1963" w:type="dxa"/>
            <w:tcBorders>
              <w:right w:val="single" w:sz="4" w:space="0" w:color="auto"/>
            </w:tcBorders>
            <w:noWrap/>
            <w:hideMark/>
          </w:tcPr>
          <w:p w14:paraId="27645A06" w14:textId="77777777" w:rsidR="00CD5972" w:rsidRPr="002A2513" w:rsidRDefault="00CD5972" w:rsidP="00983B1D">
            <w:pPr>
              <w:rPr>
                <w:rFonts w:ascii="Arial" w:hAnsi="Arial" w:cs="Arial"/>
                <w:b/>
                <w:bCs/>
              </w:rPr>
            </w:pPr>
            <w:r w:rsidRPr="002A2513">
              <w:rPr>
                <w:rFonts w:ascii="Arial" w:hAnsi="Arial" w:cs="Arial"/>
                <w:sz w:val="18"/>
                <w:szCs w:val="18"/>
              </w:rPr>
              <w:fldChar w:fldCharType="begin">
                <w:ffData>
                  <w:name w:val="Text7"/>
                  <w:enabled/>
                  <w:calcOnExit w:val="0"/>
                  <w:textInput/>
                </w:ffData>
              </w:fldChar>
            </w:r>
            <w:r w:rsidRPr="002A2513">
              <w:rPr>
                <w:rFonts w:ascii="Arial" w:hAnsi="Arial" w:cs="Arial"/>
                <w:sz w:val="18"/>
                <w:szCs w:val="18"/>
              </w:rPr>
              <w:instrText xml:space="preserve"> FORMTEXT </w:instrText>
            </w:r>
            <w:r w:rsidRPr="002A2513">
              <w:rPr>
                <w:rFonts w:ascii="Arial" w:hAnsi="Arial" w:cs="Arial"/>
                <w:sz w:val="18"/>
                <w:szCs w:val="18"/>
              </w:rPr>
            </w:r>
            <w:r w:rsidRPr="002A2513">
              <w:rPr>
                <w:rFonts w:ascii="Arial" w:hAnsi="Arial" w:cs="Arial"/>
                <w:sz w:val="18"/>
                <w:szCs w:val="18"/>
              </w:rPr>
              <w:fldChar w:fldCharType="separate"/>
            </w:r>
            <w:r w:rsidRPr="002A2513">
              <w:rPr>
                <w:rFonts w:ascii="Arial" w:hAnsi="Arial" w:cs="Arial"/>
                <w:noProof/>
                <w:sz w:val="18"/>
                <w:szCs w:val="18"/>
              </w:rPr>
              <w:t> </w:t>
            </w:r>
            <w:r w:rsidRPr="002A2513">
              <w:rPr>
                <w:rFonts w:ascii="Arial" w:hAnsi="Arial" w:cs="Arial"/>
                <w:noProof/>
                <w:sz w:val="18"/>
                <w:szCs w:val="18"/>
              </w:rPr>
              <w:t> </w:t>
            </w:r>
            <w:r w:rsidRPr="002A2513">
              <w:rPr>
                <w:rFonts w:ascii="Arial" w:hAnsi="Arial" w:cs="Arial"/>
                <w:noProof/>
                <w:sz w:val="18"/>
                <w:szCs w:val="18"/>
              </w:rPr>
              <w:t> </w:t>
            </w:r>
            <w:r w:rsidRPr="002A2513">
              <w:rPr>
                <w:rFonts w:ascii="Arial" w:hAnsi="Arial" w:cs="Arial"/>
                <w:noProof/>
                <w:sz w:val="18"/>
                <w:szCs w:val="18"/>
              </w:rPr>
              <w:t> </w:t>
            </w:r>
            <w:r w:rsidRPr="002A2513">
              <w:rPr>
                <w:rFonts w:ascii="Arial" w:hAnsi="Arial" w:cs="Arial"/>
                <w:noProof/>
                <w:sz w:val="18"/>
                <w:szCs w:val="18"/>
              </w:rPr>
              <w:t> </w:t>
            </w:r>
            <w:r w:rsidRPr="002A2513">
              <w:rPr>
                <w:rFonts w:ascii="Arial" w:hAnsi="Arial" w:cs="Arial"/>
                <w:sz w:val="18"/>
                <w:szCs w:val="18"/>
              </w:rPr>
              <w:fldChar w:fldCharType="end"/>
            </w:r>
          </w:p>
        </w:tc>
        <w:tc>
          <w:tcPr>
            <w:tcW w:w="3827" w:type="dxa"/>
            <w:tcBorders>
              <w:right w:val="single" w:sz="4" w:space="0" w:color="auto"/>
            </w:tcBorders>
          </w:tcPr>
          <w:p w14:paraId="4FDE53BF" w14:textId="77777777" w:rsidR="00CD5972" w:rsidRPr="00B654C0" w:rsidRDefault="00CD5972" w:rsidP="00983B1D">
            <w:pPr>
              <w:spacing w:after="80"/>
              <w:contextualSpacing/>
              <w:rPr>
                <w:rFonts w:ascii="Arial" w:eastAsia="Times New Roman" w:hAnsi="Arial" w:cs="Arial"/>
                <w:lang w:val="en-US"/>
              </w:rPr>
            </w:pPr>
            <w:r w:rsidRPr="00B168C1">
              <w:rPr>
                <w:rFonts w:ascii="Arial" w:eastAsia="Times New Roman" w:hAnsi="Arial" w:cs="Arial"/>
                <w:lang w:val="en-US"/>
              </w:rPr>
              <w:t xml:space="preserve">Estimated date for prescribing to be continued by the GP: </w:t>
            </w:r>
          </w:p>
        </w:tc>
        <w:tc>
          <w:tcPr>
            <w:tcW w:w="2768" w:type="dxa"/>
            <w:tcBorders>
              <w:right w:val="single" w:sz="4" w:space="0" w:color="auto"/>
            </w:tcBorders>
          </w:tcPr>
          <w:p w14:paraId="1F3FAFBD" w14:textId="77777777" w:rsidR="00CD5972" w:rsidRPr="002A2513" w:rsidRDefault="00CD5972" w:rsidP="00983B1D">
            <w:pPr>
              <w:rPr>
                <w:rFonts w:ascii="Arial" w:hAnsi="Arial" w:cs="Arial"/>
                <w:sz w:val="18"/>
                <w:szCs w:val="18"/>
              </w:rPr>
            </w:pPr>
            <w:r w:rsidRPr="00B168C1">
              <w:rPr>
                <w:rFonts w:ascii="Arial" w:eastAsia="Times New Roman" w:hAnsi="Arial" w:cs="Arial"/>
              </w:rPr>
              <w:fldChar w:fldCharType="begin">
                <w:ffData>
                  <w:name w:val="Text7"/>
                  <w:enabled/>
                  <w:calcOnExit w:val="0"/>
                  <w:textInput/>
                </w:ffData>
              </w:fldChar>
            </w:r>
            <w:r w:rsidRPr="00B168C1">
              <w:rPr>
                <w:rFonts w:ascii="Arial" w:eastAsia="Times New Roman" w:hAnsi="Arial" w:cs="Arial"/>
              </w:rPr>
              <w:instrText xml:space="preserve"> FORMTEXT </w:instrText>
            </w:r>
            <w:r w:rsidRPr="00B168C1">
              <w:rPr>
                <w:rFonts w:ascii="Arial" w:eastAsia="Times New Roman" w:hAnsi="Arial" w:cs="Arial"/>
              </w:rPr>
            </w:r>
            <w:r w:rsidRPr="00B168C1">
              <w:rPr>
                <w:rFonts w:ascii="Arial" w:eastAsia="Times New Roman" w:hAnsi="Arial" w:cs="Arial"/>
              </w:rPr>
              <w:fldChar w:fldCharType="separate"/>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fldChar w:fldCharType="end"/>
            </w:r>
          </w:p>
        </w:tc>
      </w:tr>
      <w:tr w:rsidR="00CD5972" w:rsidRPr="002A2513" w14:paraId="67222DE1" w14:textId="77777777" w:rsidTr="00983B1D">
        <w:trPr>
          <w:trHeight w:val="50"/>
        </w:trPr>
        <w:tc>
          <w:tcPr>
            <w:tcW w:w="2852" w:type="dxa"/>
            <w:noWrap/>
          </w:tcPr>
          <w:p w14:paraId="3049CBC8" w14:textId="77777777" w:rsidR="00CD5972" w:rsidRPr="00B654C0" w:rsidRDefault="00CD5972" w:rsidP="00983B1D">
            <w:pPr>
              <w:spacing w:after="80"/>
              <w:contextualSpacing/>
              <w:jc w:val="both"/>
              <w:rPr>
                <w:rFonts w:ascii="Arial" w:eastAsia="Times New Roman" w:hAnsi="Arial" w:cs="Arial"/>
                <w:lang w:val="en-US"/>
              </w:rPr>
            </w:pPr>
            <w:r w:rsidRPr="00B168C1">
              <w:rPr>
                <w:rFonts w:ascii="Arial" w:eastAsia="Times New Roman" w:hAnsi="Arial" w:cs="Arial"/>
                <w:lang w:val="en-US"/>
              </w:rPr>
              <w:t>Patient weight (kg):</w:t>
            </w:r>
          </w:p>
        </w:tc>
        <w:tc>
          <w:tcPr>
            <w:tcW w:w="1963" w:type="dxa"/>
            <w:tcBorders>
              <w:right w:val="single" w:sz="4" w:space="0" w:color="auto"/>
            </w:tcBorders>
            <w:noWrap/>
          </w:tcPr>
          <w:p w14:paraId="1A1B86B5" w14:textId="77777777" w:rsidR="00CD5972" w:rsidRPr="00B654C0" w:rsidRDefault="00CD5972" w:rsidP="00983B1D">
            <w:pPr>
              <w:rPr>
                <w:rFonts w:ascii="Arial" w:eastAsia="Times New Roman" w:hAnsi="Arial" w:cs="Arial"/>
              </w:rPr>
            </w:pPr>
            <w:r w:rsidRPr="00B168C1">
              <w:rPr>
                <w:rFonts w:ascii="Arial" w:eastAsia="Times New Roman" w:hAnsi="Arial" w:cs="Arial"/>
              </w:rPr>
              <w:fldChar w:fldCharType="begin">
                <w:ffData>
                  <w:name w:val="Text7"/>
                  <w:enabled/>
                  <w:calcOnExit w:val="0"/>
                  <w:textInput/>
                </w:ffData>
              </w:fldChar>
            </w:r>
            <w:r w:rsidRPr="00B168C1">
              <w:rPr>
                <w:rFonts w:ascii="Arial" w:eastAsia="Times New Roman" w:hAnsi="Arial" w:cs="Arial"/>
              </w:rPr>
              <w:instrText xml:space="preserve"> FORMTEXT </w:instrText>
            </w:r>
            <w:r w:rsidRPr="00B168C1">
              <w:rPr>
                <w:rFonts w:ascii="Arial" w:eastAsia="Times New Roman" w:hAnsi="Arial" w:cs="Arial"/>
              </w:rPr>
            </w:r>
            <w:r w:rsidRPr="00B168C1">
              <w:rPr>
                <w:rFonts w:ascii="Arial" w:eastAsia="Times New Roman" w:hAnsi="Arial" w:cs="Arial"/>
              </w:rPr>
              <w:fldChar w:fldCharType="separate"/>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fldChar w:fldCharType="end"/>
            </w:r>
          </w:p>
        </w:tc>
        <w:tc>
          <w:tcPr>
            <w:tcW w:w="3827" w:type="dxa"/>
            <w:tcBorders>
              <w:right w:val="single" w:sz="4" w:space="0" w:color="auto"/>
            </w:tcBorders>
          </w:tcPr>
          <w:p w14:paraId="2D0B996F" w14:textId="77777777" w:rsidR="00CD5972" w:rsidRPr="00B654C0" w:rsidRDefault="00CD5972" w:rsidP="00983B1D">
            <w:pPr>
              <w:rPr>
                <w:rFonts w:ascii="Arial" w:hAnsi="Arial" w:cs="Arial"/>
                <w:sz w:val="18"/>
                <w:szCs w:val="18"/>
              </w:rPr>
            </w:pPr>
            <w:r w:rsidRPr="00B168C1">
              <w:rPr>
                <w:rFonts w:ascii="Arial" w:eastAsia="Times New Roman" w:hAnsi="Arial" w:cs="Arial"/>
                <w:lang w:val="en-US"/>
              </w:rPr>
              <w:t>Date of first prescription by specialist</w:t>
            </w:r>
          </w:p>
        </w:tc>
        <w:tc>
          <w:tcPr>
            <w:tcW w:w="2768" w:type="dxa"/>
            <w:tcBorders>
              <w:right w:val="single" w:sz="4" w:space="0" w:color="auto"/>
            </w:tcBorders>
          </w:tcPr>
          <w:p w14:paraId="3109FC56" w14:textId="77777777" w:rsidR="00CD5972" w:rsidRPr="00B654C0" w:rsidRDefault="00CD5972" w:rsidP="00983B1D">
            <w:pPr>
              <w:rPr>
                <w:rFonts w:ascii="Arial" w:hAnsi="Arial" w:cs="Arial"/>
              </w:rPr>
            </w:pPr>
            <w:r w:rsidRPr="002A2513">
              <w:rPr>
                <w:rFonts w:ascii="Arial" w:hAnsi="Arial" w:cs="Arial"/>
              </w:rPr>
              <w:fldChar w:fldCharType="begin">
                <w:ffData>
                  <w:name w:val=""/>
                  <w:enabled/>
                  <w:calcOnExit w:val="0"/>
                  <w:textInput/>
                </w:ffData>
              </w:fldChar>
            </w:r>
            <w:r w:rsidRPr="002A2513">
              <w:rPr>
                <w:rFonts w:ascii="Arial" w:hAnsi="Arial" w:cs="Arial"/>
              </w:rPr>
              <w:instrText xml:space="preserve"> FORMTEXT </w:instrText>
            </w:r>
            <w:r w:rsidRPr="002A2513">
              <w:rPr>
                <w:rFonts w:ascii="Arial" w:hAnsi="Arial" w:cs="Arial"/>
              </w:rPr>
            </w:r>
            <w:r w:rsidRPr="002A2513">
              <w:rPr>
                <w:rFonts w:ascii="Arial" w:hAnsi="Arial" w:cs="Arial"/>
              </w:rPr>
              <w:fldChar w:fldCharType="separate"/>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rPr>
              <w:fldChar w:fldCharType="end"/>
            </w:r>
          </w:p>
        </w:tc>
      </w:tr>
      <w:tr w:rsidR="00CD5972" w:rsidRPr="002A2513" w14:paraId="2E0A5768" w14:textId="77777777" w:rsidTr="00983B1D">
        <w:trPr>
          <w:trHeight w:val="50"/>
        </w:trPr>
        <w:tc>
          <w:tcPr>
            <w:tcW w:w="4815" w:type="dxa"/>
            <w:gridSpan w:val="2"/>
            <w:tcBorders>
              <w:right w:val="single" w:sz="4" w:space="0" w:color="auto"/>
            </w:tcBorders>
            <w:noWrap/>
          </w:tcPr>
          <w:p w14:paraId="25470B3F" w14:textId="77777777" w:rsidR="00CD5972" w:rsidRPr="00B168C1" w:rsidRDefault="00CD5972" w:rsidP="00983B1D">
            <w:pPr>
              <w:rPr>
                <w:rFonts w:ascii="Arial" w:eastAsia="Times New Roman" w:hAnsi="Arial" w:cs="Arial"/>
              </w:rPr>
            </w:pPr>
            <w:r w:rsidRPr="00B654C0">
              <w:rPr>
                <w:rFonts w:ascii="Arial" w:eastAsia="Times New Roman" w:hAnsi="Arial" w:cs="Arial"/>
                <w:lang w:val="en-US"/>
              </w:rPr>
              <w:t xml:space="preserve">Next monitoring tests due and dates: </w:t>
            </w:r>
          </w:p>
        </w:tc>
        <w:tc>
          <w:tcPr>
            <w:tcW w:w="6595" w:type="dxa"/>
            <w:gridSpan w:val="2"/>
            <w:tcBorders>
              <w:right w:val="single" w:sz="4" w:space="0" w:color="auto"/>
            </w:tcBorders>
          </w:tcPr>
          <w:p w14:paraId="3187490D" w14:textId="77777777" w:rsidR="00CD5972" w:rsidRPr="002A2513" w:rsidRDefault="00CD5972" w:rsidP="00983B1D">
            <w:pPr>
              <w:rPr>
                <w:rFonts w:ascii="Arial" w:hAnsi="Arial" w:cs="Arial"/>
              </w:rPr>
            </w:pPr>
            <w:r w:rsidRPr="002A2513">
              <w:rPr>
                <w:rFonts w:ascii="Arial" w:hAnsi="Arial" w:cs="Arial"/>
              </w:rPr>
              <w:fldChar w:fldCharType="begin">
                <w:ffData>
                  <w:name w:val=""/>
                  <w:enabled/>
                  <w:calcOnExit w:val="0"/>
                  <w:textInput/>
                </w:ffData>
              </w:fldChar>
            </w:r>
            <w:r w:rsidRPr="002A2513">
              <w:rPr>
                <w:rFonts w:ascii="Arial" w:hAnsi="Arial" w:cs="Arial"/>
              </w:rPr>
              <w:instrText xml:space="preserve"> FORMTEXT </w:instrText>
            </w:r>
            <w:r w:rsidRPr="002A2513">
              <w:rPr>
                <w:rFonts w:ascii="Arial" w:hAnsi="Arial" w:cs="Arial"/>
              </w:rPr>
            </w:r>
            <w:r w:rsidRPr="002A2513">
              <w:rPr>
                <w:rFonts w:ascii="Arial" w:hAnsi="Arial" w:cs="Arial"/>
              </w:rPr>
              <w:fldChar w:fldCharType="separate"/>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rPr>
              <w:fldChar w:fldCharType="end"/>
            </w:r>
          </w:p>
        </w:tc>
      </w:tr>
      <w:tr w:rsidR="00CD5972" w:rsidRPr="002A2513" w14:paraId="4709C33A" w14:textId="77777777" w:rsidTr="00983B1D">
        <w:trPr>
          <w:trHeight w:val="418"/>
        </w:trPr>
        <w:tc>
          <w:tcPr>
            <w:tcW w:w="4815" w:type="dxa"/>
            <w:gridSpan w:val="2"/>
            <w:tcBorders>
              <w:right w:val="single" w:sz="4" w:space="0" w:color="auto"/>
            </w:tcBorders>
            <w:noWrap/>
          </w:tcPr>
          <w:p w14:paraId="5DC808E5" w14:textId="77777777" w:rsidR="00CD5972" w:rsidRPr="00B168C1" w:rsidRDefault="00CD5972" w:rsidP="00983B1D">
            <w:pPr>
              <w:rPr>
                <w:rFonts w:ascii="Arial" w:eastAsia="Times New Roman" w:hAnsi="Arial" w:cs="Arial"/>
              </w:rPr>
            </w:pPr>
            <w:r w:rsidRPr="00B654C0">
              <w:rPr>
                <w:rFonts w:ascii="Arial" w:eastAsia="Times New Roman" w:hAnsi="Arial" w:cs="Arial"/>
                <w:lang w:val="en-US"/>
              </w:rPr>
              <w:t>Specialist additional comments/advice:</w:t>
            </w:r>
          </w:p>
        </w:tc>
        <w:tc>
          <w:tcPr>
            <w:tcW w:w="6595" w:type="dxa"/>
            <w:gridSpan w:val="2"/>
            <w:tcBorders>
              <w:right w:val="single" w:sz="4" w:space="0" w:color="auto"/>
            </w:tcBorders>
          </w:tcPr>
          <w:p w14:paraId="5E0A2A68" w14:textId="77777777" w:rsidR="00CD5972" w:rsidRPr="002A2513" w:rsidRDefault="00CD5972" w:rsidP="00983B1D">
            <w:pPr>
              <w:rPr>
                <w:rFonts w:ascii="Arial" w:hAnsi="Arial" w:cs="Arial"/>
                <w:sz w:val="18"/>
                <w:szCs w:val="18"/>
              </w:rPr>
            </w:pPr>
            <w:r w:rsidRPr="002A2513">
              <w:rPr>
                <w:rFonts w:ascii="Arial" w:hAnsi="Arial" w:cs="Arial"/>
              </w:rPr>
              <w:fldChar w:fldCharType="begin">
                <w:ffData>
                  <w:name w:val=""/>
                  <w:enabled/>
                  <w:calcOnExit w:val="0"/>
                  <w:textInput/>
                </w:ffData>
              </w:fldChar>
            </w:r>
            <w:r w:rsidRPr="002A2513">
              <w:rPr>
                <w:rFonts w:ascii="Arial" w:hAnsi="Arial" w:cs="Arial"/>
              </w:rPr>
              <w:instrText xml:space="preserve"> FORMTEXT </w:instrText>
            </w:r>
            <w:r w:rsidRPr="002A2513">
              <w:rPr>
                <w:rFonts w:ascii="Arial" w:hAnsi="Arial" w:cs="Arial"/>
              </w:rPr>
            </w:r>
            <w:r w:rsidRPr="002A2513">
              <w:rPr>
                <w:rFonts w:ascii="Arial" w:hAnsi="Arial" w:cs="Arial"/>
              </w:rPr>
              <w:fldChar w:fldCharType="separate"/>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rPr>
              <w:fldChar w:fldCharType="end"/>
            </w:r>
          </w:p>
        </w:tc>
      </w:tr>
    </w:tbl>
    <w:p w14:paraId="5C93740A" w14:textId="77777777" w:rsidR="00CD5972" w:rsidRPr="00B25DFC" w:rsidRDefault="00CD5972" w:rsidP="00CD5972">
      <w:pPr>
        <w:spacing w:after="0" w:line="240" w:lineRule="auto"/>
        <w:rPr>
          <w:rFonts w:ascii="Arial" w:eastAsia="Times New Roman" w:hAnsi="Arial" w:cs="Arial"/>
          <w:b/>
          <w:lang w:val="en-US"/>
        </w:rPr>
      </w:pPr>
    </w:p>
    <w:tbl>
      <w:tblPr>
        <w:tblStyle w:val="TableGrid"/>
        <w:tblW w:w="11374" w:type="dxa"/>
        <w:tblInd w:w="-431" w:type="dxa"/>
        <w:tblLook w:val="04A0" w:firstRow="1" w:lastRow="0" w:firstColumn="1" w:lastColumn="0" w:noHBand="0" w:noVBand="1"/>
      </w:tblPr>
      <w:tblGrid>
        <w:gridCol w:w="5375"/>
        <w:gridCol w:w="270"/>
        <w:gridCol w:w="5729"/>
      </w:tblGrid>
      <w:tr w:rsidR="00CD5972" w14:paraId="73BDF511" w14:textId="77777777" w:rsidTr="00983B1D">
        <w:trPr>
          <w:trHeight w:val="672"/>
        </w:trPr>
        <w:tc>
          <w:tcPr>
            <w:tcW w:w="11374" w:type="dxa"/>
            <w:gridSpan w:val="3"/>
          </w:tcPr>
          <w:p w14:paraId="1FD79A06" w14:textId="77777777" w:rsidR="00CD5972" w:rsidRPr="00131AEC" w:rsidRDefault="00CD5972" w:rsidP="00983B1D">
            <w:pPr>
              <w:rPr>
                <w:rFonts w:ascii="Arial" w:hAnsi="Arial" w:cs="Arial"/>
                <w:b/>
                <w:color w:val="000000"/>
                <w:u w:val="single"/>
                <w:lang w:eastAsia="en-GB"/>
              </w:rPr>
            </w:pPr>
            <w:r w:rsidRPr="00131AEC">
              <w:rPr>
                <w:rFonts w:ascii="Arial" w:hAnsi="Arial" w:cs="Arial"/>
                <w:b/>
                <w:color w:val="000000"/>
                <w:u w:val="single"/>
                <w:lang w:eastAsia="en-GB"/>
              </w:rPr>
              <w:t>Specialist and patient agreement</w:t>
            </w:r>
          </w:p>
          <w:p w14:paraId="2D3C8B5B" w14:textId="77777777" w:rsidR="00CD5972" w:rsidRPr="000E0E99" w:rsidRDefault="00CD5972" w:rsidP="00983B1D">
            <w:pPr>
              <w:rPr>
                <w:rFonts w:ascii="Arial" w:hAnsi="Arial" w:cs="Arial"/>
                <w:b/>
                <w:color w:val="000000"/>
                <w:lang w:eastAsia="en-GB"/>
              </w:rPr>
            </w:pPr>
            <w:r w:rsidRPr="000E0E99">
              <w:rPr>
                <w:rFonts w:ascii="Arial" w:hAnsi="Arial" w:cs="Arial"/>
                <w:b/>
                <w:color w:val="000000"/>
                <w:lang w:eastAsia="en-GB"/>
              </w:rPr>
              <w:t xml:space="preserve">By signing </w:t>
            </w:r>
            <w:proofErr w:type="gramStart"/>
            <w:r w:rsidRPr="000E0E99">
              <w:rPr>
                <w:rFonts w:ascii="Arial" w:hAnsi="Arial" w:cs="Arial"/>
                <w:b/>
                <w:color w:val="000000"/>
                <w:lang w:eastAsia="en-GB"/>
              </w:rPr>
              <w:t>below</w:t>
            </w:r>
            <w:proofErr w:type="gramEnd"/>
            <w:r w:rsidRPr="000E0E99">
              <w:rPr>
                <w:rFonts w:ascii="Arial" w:hAnsi="Arial" w:cs="Arial"/>
                <w:b/>
                <w:color w:val="000000"/>
                <w:lang w:eastAsia="en-GB"/>
              </w:rPr>
              <w:t xml:space="preserve"> we accept:</w:t>
            </w:r>
          </w:p>
          <w:p w14:paraId="06BAFE39" w14:textId="77777777" w:rsidR="00CD5972" w:rsidRPr="00B42EA4" w:rsidRDefault="00CD5972" w:rsidP="00CD5972">
            <w:pPr>
              <w:numPr>
                <w:ilvl w:val="0"/>
                <w:numId w:val="2"/>
              </w:numPr>
              <w:spacing w:after="120"/>
              <w:jc w:val="both"/>
              <w:outlineLvl w:val="0"/>
              <w:rPr>
                <w:rFonts w:ascii="Arial" w:eastAsia="Times New Roman" w:hAnsi="Arial" w:cs="Arial"/>
                <w:lang w:val="en-US"/>
              </w:rPr>
            </w:pPr>
            <w:r>
              <w:rPr>
                <w:rFonts w:ascii="Arial" w:eastAsia="Times New Roman" w:hAnsi="Arial" w:cs="Arial"/>
                <w:lang w:val="en-US"/>
              </w:rPr>
              <w:t>T</w:t>
            </w:r>
            <w:r w:rsidRPr="00B42EA4">
              <w:rPr>
                <w:rFonts w:ascii="Arial" w:eastAsia="Times New Roman" w:hAnsi="Arial" w:cs="Arial"/>
                <w:lang w:val="en-US"/>
              </w:rPr>
              <w:t xml:space="preserve">he </w:t>
            </w:r>
            <w:r w:rsidRPr="00BD2343">
              <w:rPr>
                <w:rFonts w:ascii="Arial" w:eastAsia="Times New Roman" w:hAnsi="Arial" w:cs="Arial"/>
                <w:lang w:val="en-US"/>
              </w:rPr>
              <w:t xml:space="preserve">Herts and West Essex Area Prescribing Committee </w:t>
            </w:r>
            <w:hyperlink r:id="rId8" w:history="1">
              <w:r w:rsidRPr="00BD2343">
                <w:rPr>
                  <w:rStyle w:val="Hyperlink"/>
                  <w:rFonts w:ascii="Arial" w:eastAsia="Times New Roman" w:hAnsi="Arial" w:cs="Arial"/>
                  <w:lang w:val="en-US"/>
                </w:rPr>
                <w:t>shared care principles</w:t>
              </w:r>
            </w:hyperlink>
            <w:r w:rsidRPr="00BD2343">
              <w:rPr>
                <w:rFonts w:ascii="Arial" w:eastAsia="Times New Roman" w:hAnsi="Arial" w:cs="Arial"/>
                <w:lang w:val="en-US"/>
              </w:rPr>
              <w:t xml:space="preserve"> (HWE APC) and</w:t>
            </w:r>
          </w:p>
          <w:p w14:paraId="4EB79438" w14:textId="77777777" w:rsidR="00CD5972" w:rsidRPr="00131AEC" w:rsidRDefault="00CD5972" w:rsidP="00CD5972">
            <w:pPr>
              <w:numPr>
                <w:ilvl w:val="0"/>
                <w:numId w:val="2"/>
              </w:numPr>
              <w:spacing w:after="120"/>
              <w:jc w:val="both"/>
              <w:outlineLvl w:val="0"/>
              <w:rPr>
                <w:rFonts w:ascii="Arial" w:eastAsia="Times New Roman" w:hAnsi="Arial" w:cs="Arial"/>
                <w:b/>
                <w:lang w:val="en-US"/>
              </w:rPr>
            </w:pPr>
            <w:r>
              <w:rPr>
                <w:rFonts w:ascii="Arial" w:eastAsia="Times New Roman" w:hAnsi="Arial" w:cs="Arial"/>
                <w:lang w:val="en-US"/>
              </w:rPr>
              <w:t>T</w:t>
            </w:r>
            <w:r w:rsidRPr="00B42EA4">
              <w:rPr>
                <w:rFonts w:ascii="Arial" w:eastAsia="Times New Roman" w:hAnsi="Arial" w:cs="Arial"/>
                <w:lang w:val="en-US"/>
              </w:rPr>
              <w:t>he requirements and responsibilities defined in this drug specific shared care protocol</w:t>
            </w:r>
          </w:p>
        </w:tc>
      </w:tr>
      <w:tr w:rsidR="00CD5972" w14:paraId="4A2D0AE8" w14:textId="77777777" w:rsidTr="00983B1D">
        <w:trPr>
          <w:trHeight w:val="461"/>
        </w:trPr>
        <w:tc>
          <w:tcPr>
            <w:tcW w:w="5375" w:type="dxa"/>
          </w:tcPr>
          <w:p w14:paraId="596F8D60" w14:textId="77777777" w:rsidR="00CD5972" w:rsidRPr="00B654C0" w:rsidRDefault="00CD5972" w:rsidP="00983B1D">
            <w:pPr>
              <w:rPr>
                <w:rFonts w:ascii="Arial" w:hAnsi="Arial" w:cs="Arial"/>
                <w:bCs/>
                <w:color w:val="000000"/>
                <w:lang w:eastAsia="en-GB"/>
              </w:rPr>
            </w:pPr>
            <w:r w:rsidRPr="00B654C0">
              <w:rPr>
                <w:rFonts w:ascii="Arial" w:hAnsi="Arial" w:cs="Arial"/>
                <w:bCs/>
                <w:color w:val="000000"/>
                <w:lang w:eastAsia="en-GB"/>
              </w:rPr>
              <w:t>Specialist name: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tcPr>
          <w:p w14:paraId="278F93FD" w14:textId="77777777" w:rsidR="00CD5972" w:rsidRPr="00B654C0" w:rsidRDefault="00CD5972" w:rsidP="00983B1D">
            <w:pPr>
              <w:rPr>
                <w:rFonts w:ascii="Arial" w:hAnsi="Arial" w:cs="Arial"/>
                <w:bCs/>
                <w:color w:val="000000"/>
                <w:lang w:eastAsia="en-GB"/>
              </w:rPr>
            </w:pPr>
            <w:r w:rsidRPr="00B654C0">
              <w:rPr>
                <w:rFonts w:ascii="Arial" w:hAnsi="Arial" w:cs="Arial"/>
                <w:bCs/>
                <w:color w:val="000000"/>
                <w:lang w:eastAsia="en-GB"/>
              </w:rPr>
              <w:t xml:space="preserve">Specialist signature: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r w:rsidRPr="00B654C0">
              <w:rPr>
                <w:rFonts w:ascii="Arial" w:hAnsi="Arial" w:cs="Arial"/>
                <w:bCs/>
                <w:color w:val="000000"/>
                <w:lang w:eastAsia="en-GB"/>
              </w:rPr>
              <w:t xml:space="preserve">                                       </w:t>
            </w:r>
          </w:p>
        </w:tc>
      </w:tr>
      <w:tr w:rsidR="00CD5972" w14:paraId="5503EB2C" w14:textId="77777777" w:rsidTr="00983B1D">
        <w:trPr>
          <w:trHeight w:val="461"/>
        </w:trPr>
        <w:tc>
          <w:tcPr>
            <w:tcW w:w="5375" w:type="dxa"/>
          </w:tcPr>
          <w:p w14:paraId="3D083063" w14:textId="77777777" w:rsidR="00CD5972" w:rsidRPr="00B654C0" w:rsidRDefault="00CD5972" w:rsidP="00983B1D">
            <w:pPr>
              <w:rPr>
                <w:rFonts w:ascii="Arial" w:hAnsi="Arial" w:cs="Arial"/>
                <w:bCs/>
                <w:color w:val="000000"/>
                <w:lang w:eastAsia="en-GB"/>
              </w:rPr>
            </w:pPr>
            <w:r w:rsidRPr="00B654C0">
              <w:rPr>
                <w:rFonts w:ascii="Arial" w:hAnsi="Arial" w:cs="Arial"/>
                <w:bCs/>
                <w:color w:val="000000"/>
                <w:lang w:eastAsia="en-GB"/>
              </w:rPr>
              <w:t>Designation:</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tcPr>
          <w:p w14:paraId="7E351217" w14:textId="77777777" w:rsidR="00CD5972" w:rsidRPr="00B654C0" w:rsidRDefault="00CD5972" w:rsidP="00983B1D">
            <w:pPr>
              <w:rPr>
                <w:rFonts w:ascii="Arial" w:hAnsi="Arial" w:cs="Arial"/>
                <w:bCs/>
                <w:color w:val="000000"/>
                <w:lang w:eastAsia="en-GB"/>
              </w:rPr>
            </w:pPr>
            <w:r w:rsidRPr="00B654C0">
              <w:rPr>
                <w:rFonts w:ascii="Arial" w:hAnsi="Arial" w:cs="Arial"/>
                <w:bCs/>
                <w:color w:val="000000"/>
                <w:lang w:eastAsia="en-GB"/>
              </w:rPr>
              <w:t>Date: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r>
      <w:tr w:rsidR="00CD5972" w14:paraId="6B8B9D3D" w14:textId="77777777" w:rsidTr="00983B1D">
        <w:trPr>
          <w:trHeight w:val="360"/>
        </w:trPr>
        <w:tc>
          <w:tcPr>
            <w:tcW w:w="5375" w:type="dxa"/>
          </w:tcPr>
          <w:p w14:paraId="1261E9B4" w14:textId="77777777" w:rsidR="00CD5972" w:rsidRPr="00B654C0" w:rsidRDefault="00CD5972" w:rsidP="00983B1D">
            <w:pPr>
              <w:rPr>
                <w:rFonts w:ascii="Arial" w:hAnsi="Arial" w:cs="Arial"/>
                <w:bCs/>
                <w:color w:val="000000"/>
                <w:lang w:eastAsia="en-GB"/>
              </w:rPr>
            </w:pPr>
            <w:r w:rsidRPr="00B654C0">
              <w:rPr>
                <w:rFonts w:ascii="Arial" w:hAnsi="Arial" w:cs="Arial"/>
                <w:bCs/>
                <w:color w:val="000000"/>
                <w:lang w:eastAsia="en-GB"/>
              </w:rPr>
              <w:t xml:space="preserve">Direct telephone: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vMerge w:val="restart"/>
          </w:tcPr>
          <w:p w14:paraId="514F5563" w14:textId="77777777" w:rsidR="00CD5972" w:rsidRPr="00B654C0" w:rsidRDefault="00CD5972" w:rsidP="00983B1D">
            <w:pPr>
              <w:rPr>
                <w:rFonts w:ascii="Arial" w:hAnsi="Arial" w:cs="Arial"/>
                <w:bCs/>
                <w:color w:val="000000"/>
                <w:lang w:eastAsia="en-GB"/>
              </w:rPr>
            </w:pPr>
            <w:r w:rsidRPr="00B654C0">
              <w:rPr>
                <w:rFonts w:ascii="Arial" w:hAnsi="Arial" w:cs="Arial"/>
                <w:bCs/>
                <w:color w:val="000000"/>
                <w:lang w:eastAsia="en-GB"/>
              </w:rPr>
              <w:t>Patient signature</w:t>
            </w:r>
            <w:r w:rsidRPr="00B654C0">
              <w:rPr>
                <w:rFonts w:ascii="Arial" w:hAnsi="Arial" w:cs="Arial"/>
                <w:bCs/>
              </w:rPr>
              <w:t xml:space="preserve"> or specialist confirmation of patient agreement to shared care arrangement</w:t>
            </w:r>
            <w:r w:rsidRPr="00B654C0">
              <w:rPr>
                <w:rFonts w:ascii="Arial" w:hAnsi="Arial" w:cs="Arial"/>
                <w:bCs/>
                <w:color w:val="000000"/>
                <w:lang w:eastAsia="en-GB"/>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r w:rsidRPr="00B654C0">
              <w:rPr>
                <w:rFonts w:ascii="Arial" w:hAnsi="Arial" w:cs="Arial"/>
                <w:bCs/>
                <w:color w:val="000000"/>
                <w:lang w:eastAsia="en-GB"/>
              </w:rPr>
              <w:t xml:space="preserve">                                           </w:t>
            </w:r>
          </w:p>
        </w:tc>
      </w:tr>
      <w:tr w:rsidR="00CD5972" w14:paraId="1E4E0149" w14:textId="77777777" w:rsidTr="00983B1D">
        <w:trPr>
          <w:trHeight w:val="360"/>
        </w:trPr>
        <w:tc>
          <w:tcPr>
            <w:tcW w:w="5375" w:type="dxa"/>
          </w:tcPr>
          <w:p w14:paraId="661C2B0A" w14:textId="77777777" w:rsidR="00CD5972" w:rsidRPr="00B654C0" w:rsidRDefault="00CD5972" w:rsidP="00983B1D">
            <w:pPr>
              <w:contextualSpacing/>
              <w:rPr>
                <w:rFonts w:ascii="Arial" w:eastAsia="Times New Roman" w:hAnsi="Arial" w:cs="Arial"/>
                <w:bCs/>
                <w:lang w:val="en-US"/>
              </w:rPr>
            </w:pPr>
            <w:r w:rsidRPr="00B654C0">
              <w:rPr>
                <w:rFonts w:ascii="Arial" w:eastAsia="Times New Roman" w:hAnsi="Arial" w:cs="Arial"/>
                <w:bCs/>
                <w:lang w:val="en-US"/>
              </w:rPr>
              <w:t xml:space="preserve">Provider trust: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vMerge/>
          </w:tcPr>
          <w:p w14:paraId="61ABFE77" w14:textId="77777777" w:rsidR="00CD5972" w:rsidRPr="00B654C0" w:rsidRDefault="00CD5972" w:rsidP="00983B1D">
            <w:pPr>
              <w:rPr>
                <w:rFonts w:ascii="Arial" w:hAnsi="Arial" w:cs="Arial"/>
                <w:bCs/>
                <w:color w:val="000000"/>
                <w:lang w:eastAsia="en-GB"/>
              </w:rPr>
            </w:pPr>
          </w:p>
        </w:tc>
      </w:tr>
      <w:tr w:rsidR="00CD5972" w14:paraId="44962601" w14:textId="77777777" w:rsidTr="00983B1D">
        <w:trPr>
          <w:trHeight w:val="461"/>
        </w:trPr>
        <w:tc>
          <w:tcPr>
            <w:tcW w:w="5375" w:type="dxa"/>
          </w:tcPr>
          <w:p w14:paraId="31941022" w14:textId="77777777" w:rsidR="00CD5972" w:rsidRPr="00B654C0" w:rsidRDefault="00CD5972" w:rsidP="00983B1D">
            <w:pPr>
              <w:rPr>
                <w:rFonts w:ascii="Arial" w:hAnsi="Arial" w:cs="Arial"/>
                <w:bCs/>
                <w:color w:val="000000"/>
                <w:lang w:eastAsia="en-GB"/>
              </w:rPr>
            </w:pPr>
            <w:r w:rsidRPr="00B654C0">
              <w:rPr>
                <w:rFonts w:ascii="Arial" w:hAnsi="Arial" w:cs="Arial"/>
                <w:bCs/>
                <w:color w:val="000000"/>
                <w:lang w:eastAsia="en-GB"/>
              </w:rPr>
              <w:t xml:space="preserve">Email/ Shared care email for use by GP: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tcPr>
          <w:p w14:paraId="183BAE30" w14:textId="77777777" w:rsidR="00CD5972" w:rsidRPr="00B654C0" w:rsidRDefault="00CD5972" w:rsidP="00983B1D">
            <w:pPr>
              <w:rPr>
                <w:rFonts w:ascii="Arial" w:hAnsi="Arial" w:cs="Arial"/>
                <w:bCs/>
                <w:color w:val="000000"/>
                <w:lang w:eastAsia="en-GB"/>
              </w:rPr>
            </w:pPr>
            <w:r w:rsidRPr="00B654C0">
              <w:rPr>
                <w:rFonts w:ascii="Arial" w:hAnsi="Arial" w:cs="Arial"/>
                <w:bCs/>
                <w:color w:val="000000"/>
                <w:lang w:eastAsia="en-GB"/>
              </w:rPr>
              <w:t>Date: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r>
      <w:tr w:rsidR="00CD5972" w14:paraId="3248265B" w14:textId="77777777" w:rsidTr="00983B1D">
        <w:trPr>
          <w:trHeight w:val="147"/>
        </w:trPr>
        <w:tc>
          <w:tcPr>
            <w:tcW w:w="11374" w:type="dxa"/>
            <w:gridSpan w:val="3"/>
          </w:tcPr>
          <w:p w14:paraId="4F3CC18A" w14:textId="77777777" w:rsidR="00CD5972" w:rsidRDefault="00CD5972" w:rsidP="00983B1D">
            <w:pPr>
              <w:contextualSpacing/>
              <w:jc w:val="both"/>
              <w:rPr>
                <w:rFonts w:ascii="Arial" w:hAnsi="Arial" w:cs="Arial"/>
                <w:b/>
                <w:u w:val="single"/>
              </w:rPr>
            </w:pPr>
            <w:r w:rsidRPr="000E0E99">
              <w:rPr>
                <w:rFonts w:ascii="Arial" w:hAnsi="Arial" w:cs="Arial"/>
                <w:b/>
                <w:u w:val="single"/>
              </w:rPr>
              <w:t>GP response to shared care</w:t>
            </w:r>
          </w:p>
          <w:p w14:paraId="68D9A86B" w14:textId="77777777" w:rsidR="00CD5972" w:rsidRPr="00B654C0" w:rsidRDefault="00CD5972" w:rsidP="00983B1D">
            <w:pPr>
              <w:contextualSpacing/>
              <w:jc w:val="both"/>
              <w:rPr>
                <w:rFonts w:ascii="Arial" w:hAnsi="Arial" w:cs="Arial"/>
                <w:b/>
                <w:u w:val="single"/>
              </w:rPr>
            </w:pPr>
          </w:p>
          <w:p w14:paraId="011EF02F" w14:textId="77777777" w:rsidR="00CD5972" w:rsidRPr="000E0E99" w:rsidRDefault="00CD5972" w:rsidP="00983B1D">
            <w:pPr>
              <w:contextualSpacing/>
              <w:rPr>
                <w:rFonts w:ascii="Arial" w:hAnsi="Arial" w:cs="Arial"/>
                <w:b/>
              </w:rPr>
            </w:pPr>
            <w:r w:rsidRPr="000E0E99">
              <w:rPr>
                <w:rFonts w:ascii="Arial" w:hAnsi="Arial" w:cs="Arial"/>
                <w:b/>
              </w:rPr>
              <w:t xml:space="preserve">Please return to specialist </w:t>
            </w:r>
            <w:r w:rsidRPr="000E0E99">
              <w:rPr>
                <w:rFonts w:ascii="Arial" w:hAnsi="Arial" w:cs="Arial"/>
                <w:b/>
                <w:u w:val="single"/>
              </w:rPr>
              <w:t>within two weeks</w:t>
            </w:r>
            <w:r w:rsidRPr="000E0E99">
              <w:rPr>
                <w:rFonts w:ascii="Arial" w:hAnsi="Arial" w:cs="Arial"/>
                <w:b/>
              </w:rPr>
              <w:t xml:space="preserve"> of receipt of request to share care.</w:t>
            </w:r>
          </w:p>
          <w:p w14:paraId="1AF0F05A" w14:textId="77777777" w:rsidR="00CD5972" w:rsidRPr="00B654C0" w:rsidRDefault="00CD5972" w:rsidP="00983B1D">
            <w:pPr>
              <w:spacing w:after="120"/>
              <w:contextualSpacing/>
              <w:rPr>
                <w:rFonts w:ascii="Arial" w:hAnsi="Arial" w:cs="Times New Roman"/>
                <w:b/>
                <w:i/>
              </w:rPr>
            </w:pPr>
            <w:r w:rsidRPr="000E0E99">
              <w:rPr>
                <w:rFonts w:ascii="Arial" w:hAnsi="Arial"/>
                <w:b/>
                <w:i/>
              </w:rPr>
              <w:t>This form is to be completed by the GP who is requested to share care.</w:t>
            </w:r>
          </w:p>
          <w:p w14:paraId="284165CB" w14:textId="77777777" w:rsidR="00CD5972" w:rsidRPr="000E0E99" w:rsidRDefault="00CD5972" w:rsidP="00983B1D">
            <w:pPr>
              <w:contextualSpacing/>
              <w:rPr>
                <w:rFonts w:ascii="Arial" w:hAnsi="Arial" w:cs="Arial"/>
              </w:rPr>
            </w:pPr>
            <w:r w:rsidRPr="000E0E99">
              <w:rPr>
                <w:rFonts w:ascii="Arial" w:hAnsi="Arial" w:cs="Arial"/>
              </w:rPr>
              <w:t xml:space="preserve">I agree to accept shared care for this patient as set out in this shared care protocol and APC </w:t>
            </w:r>
            <w:hyperlink r:id="rId9" w:history="1">
              <w:r w:rsidRPr="00BD2343">
                <w:rPr>
                  <w:rStyle w:val="Hyperlink"/>
                  <w:rFonts w:ascii="Arial" w:hAnsi="Arial" w:cs="Arial"/>
                </w:rPr>
                <w:t>shared care</w:t>
              </w:r>
            </w:hyperlink>
            <w:r w:rsidRPr="00BD2343">
              <w:rPr>
                <w:rFonts w:ascii="Arial" w:hAnsi="Arial" w:cs="Arial"/>
              </w:rPr>
              <w:t xml:space="preserve"> </w:t>
            </w:r>
            <w:r w:rsidRPr="000E0E99">
              <w:rPr>
                <w:rFonts w:ascii="Arial" w:hAnsi="Arial" w:cs="Arial"/>
              </w:rPr>
              <w:t>principles</w:t>
            </w:r>
            <w:r>
              <w:rPr>
                <w:rFonts w:ascii="Arial" w:hAnsi="Arial" w:cs="Arial"/>
              </w:rPr>
              <w:t xml:space="preserve"> </w:t>
            </w:r>
            <w:r w:rsidRPr="000E0E99">
              <w:rPr>
                <w:rFonts w:ascii="Arial" w:hAnsi="Arial" w:cs="Arial"/>
                <w:color w:val="FF0000"/>
              </w:rPr>
              <w:t xml:space="preserve">  </w:t>
            </w:r>
            <w:r w:rsidRPr="000E0E99">
              <w:rPr>
                <w:rFonts w:ascii="Arial" w:hAnsi="Arial" w:cs="Arial"/>
              </w:rPr>
              <w:fldChar w:fldCharType="begin">
                <w:ffData>
                  <w:name w:val="Check12"/>
                  <w:enabled/>
                  <w:calcOnExit w:val="0"/>
                  <w:checkBox>
                    <w:sizeAuto/>
                    <w:default w:val="0"/>
                  </w:checkBox>
                </w:ffData>
              </w:fldChar>
            </w:r>
            <w:r w:rsidRPr="000E0E99">
              <w:rPr>
                <w:rFonts w:ascii="Arial" w:hAnsi="Arial" w:cs="Arial"/>
              </w:rPr>
              <w:instrText xml:space="preserve"> FORMCHECKBOX </w:instrText>
            </w:r>
            <w:r w:rsidR="00DD236B">
              <w:rPr>
                <w:rFonts w:ascii="Arial" w:hAnsi="Arial" w:cs="Arial"/>
              </w:rPr>
            </w:r>
            <w:r w:rsidR="00DD236B">
              <w:rPr>
                <w:rFonts w:ascii="Arial" w:hAnsi="Arial" w:cs="Arial"/>
              </w:rPr>
              <w:fldChar w:fldCharType="separate"/>
            </w:r>
            <w:r w:rsidRPr="000E0E99">
              <w:rPr>
                <w:rFonts w:ascii="Arial" w:hAnsi="Arial" w:cs="Arial"/>
              </w:rPr>
              <w:fldChar w:fldCharType="end"/>
            </w:r>
          </w:p>
          <w:p w14:paraId="6FEAEB75" w14:textId="77777777" w:rsidR="00CD5972" w:rsidRPr="000E0E99" w:rsidRDefault="00CD5972" w:rsidP="00983B1D">
            <w:pPr>
              <w:spacing w:after="120"/>
              <w:contextualSpacing/>
              <w:rPr>
                <w:rFonts w:ascii="Arial" w:hAnsi="Arial" w:cs="Arial"/>
              </w:rPr>
            </w:pPr>
            <w:r w:rsidRPr="000E0E99">
              <w:rPr>
                <w:rFonts w:ascii="Arial" w:hAnsi="Arial" w:cs="Arial"/>
              </w:rPr>
              <w:t xml:space="preserve">I do not accept shared care for this patient </w:t>
            </w:r>
            <w:r w:rsidRPr="000E0E99">
              <w:rPr>
                <w:rFonts w:ascii="Arial" w:hAnsi="Arial" w:cs="Arial"/>
              </w:rPr>
              <w:fldChar w:fldCharType="begin">
                <w:ffData>
                  <w:name w:val="Check12"/>
                  <w:enabled/>
                  <w:calcOnExit w:val="0"/>
                  <w:checkBox>
                    <w:sizeAuto/>
                    <w:default w:val="0"/>
                  </w:checkBox>
                </w:ffData>
              </w:fldChar>
            </w:r>
            <w:r w:rsidRPr="000E0E99">
              <w:rPr>
                <w:rFonts w:ascii="Arial" w:hAnsi="Arial" w:cs="Arial"/>
              </w:rPr>
              <w:instrText xml:space="preserve"> FORMCHECKBOX </w:instrText>
            </w:r>
            <w:r w:rsidR="00DD236B">
              <w:rPr>
                <w:rFonts w:ascii="Arial" w:hAnsi="Arial" w:cs="Arial"/>
              </w:rPr>
            </w:r>
            <w:r w:rsidR="00DD236B">
              <w:rPr>
                <w:rFonts w:ascii="Arial" w:hAnsi="Arial" w:cs="Arial"/>
              </w:rPr>
              <w:fldChar w:fldCharType="separate"/>
            </w:r>
            <w:r w:rsidRPr="000E0E99">
              <w:rPr>
                <w:rFonts w:ascii="Arial" w:hAnsi="Arial" w:cs="Arial"/>
              </w:rPr>
              <w:fldChar w:fldCharType="end"/>
            </w:r>
          </w:p>
          <w:p w14:paraId="2257CD5F" w14:textId="77777777" w:rsidR="00CD5972" w:rsidRPr="009E68B2" w:rsidRDefault="00CD5972" w:rsidP="00983B1D">
            <w:pPr>
              <w:contextualSpacing/>
              <w:rPr>
                <w:rFonts w:ascii="Arial" w:hAnsi="Arial" w:cs="Arial"/>
                <w:b/>
              </w:rPr>
            </w:pPr>
            <w:bookmarkStart w:id="2" w:name="_Hlk196998877"/>
            <w:r w:rsidRPr="000E0E99">
              <w:rPr>
                <w:rFonts w:ascii="Arial" w:hAnsi="Arial" w:cs="Arial"/>
              </w:rPr>
              <w:t>My reason(s) for not prescribing are given below</w:t>
            </w:r>
            <w:r>
              <w:rPr>
                <w:rFonts w:ascii="Arial" w:hAnsi="Arial" w:cs="Arial"/>
              </w:rPr>
              <w:t xml:space="preserve"> (refer to GP considerations for shared care at end of protocol)</w:t>
            </w:r>
            <w:r w:rsidRPr="000E0E99">
              <w:rPr>
                <w:rFonts w:ascii="Arial" w:hAnsi="Arial" w:cs="Arial"/>
              </w:rPr>
              <w:t>:</w:t>
            </w:r>
            <w:r w:rsidRPr="00D56106">
              <w:rPr>
                <w:rFonts w:ascii="Arial" w:hAnsi="Arial" w:cs="Arial"/>
                <w:b/>
              </w:rPr>
              <w:t xml:space="preserve"> </w:t>
            </w:r>
            <w:r w:rsidRPr="00D56106">
              <w:rPr>
                <w:rFonts w:ascii="Arial" w:hAnsi="Arial" w:cs="Arial"/>
                <w:b/>
              </w:rPr>
              <w:fldChar w:fldCharType="begin">
                <w:ffData>
                  <w:name w:val="Text7"/>
                  <w:enabled/>
                  <w:calcOnExit w:val="0"/>
                  <w:textInput/>
                </w:ffData>
              </w:fldChar>
            </w:r>
            <w:r w:rsidRPr="00D56106">
              <w:rPr>
                <w:rFonts w:ascii="Arial" w:hAnsi="Arial" w:cs="Arial"/>
                <w:b/>
              </w:rPr>
              <w:instrText xml:space="preserve"> FORMTEXT </w:instrText>
            </w:r>
            <w:r w:rsidRPr="00D56106">
              <w:rPr>
                <w:rFonts w:ascii="Arial" w:hAnsi="Arial" w:cs="Arial"/>
                <w:b/>
              </w:rPr>
            </w:r>
            <w:r w:rsidRPr="00D56106">
              <w:rPr>
                <w:rFonts w:ascii="Arial" w:hAnsi="Arial" w:cs="Arial"/>
                <w:b/>
              </w:rPr>
              <w:fldChar w:fldCharType="separate"/>
            </w:r>
            <w:r w:rsidRPr="00D56106">
              <w:rPr>
                <w:rFonts w:ascii="Arial" w:hAnsi="Arial" w:cs="Arial"/>
                <w:b/>
              </w:rPr>
              <w:t> </w:t>
            </w:r>
            <w:r w:rsidRPr="00D56106">
              <w:rPr>
                <w:rFonts w:ascii="Arial" w:hAnsi="Arial" w:cs="Arial"/>
                <w:b/>
              </w:rPr>
              <w:t> </w:t>
            </w:r>
            <w:r w:rsidRPr="00D56106">
              <w:rPr>
                <w:rFonts w:ascii="Arial" w:hAnsi="Arial" w:cs="Arial"/>
                <w:b/>
              </w:rPr>
              <w:t> </w:t>
            </w:r>
            <w:r w:rsidRPr="00D56106">
              <w:rPr>
                <w:rFonts w:ascii="Arial" w:hAnsi="Arial" w:cs="Arial"/>
                <w:b/>
              </w:rPr>
              <w:t> </w:t>
            </w:r>
            <w:r w:rsidRPr="00D56106">
              <w:rPr>
                <w:rFonts w:ascii="Arial" w:hAnsi="Arial" w:cs="Arial"/>
                <w:b/>
              </w:rPr>
              <w:t> </w:t>
            </w:r>
            <w:r w:rsidRPr="00D56106">
              <w:rPr>
                <w:rFonts w:ascii="Arial" w:hAnsi="Arial" w:cs="Arial"/>
                <w:b/>
              </w:rPr>
              <w:fldChar w:fldCharType="end"/>
            </w:r>
          </w:p>
          <w:bookmarkEnd w:id="2"/>
          <w:p w14:paraId="1D6E79EC" w14:textId="77777777" w:rsidR="00CD5972" w:rsidRPr="000E0E99" w:rsidRDefault="00CD5972" w:rsidP="00983B1D">
            <w:pPr>
              <w:contextualSpacing/>
              <w:rPr>
                <w:rFonts w:ascii="Arial" w:hAnsi="Arial" w:cs="Arial"/>
              </w:rPr>
            </w:pPr>
          </w:p>
        </w:tc>
      </w:tr>
      <w:tr w:rsidR="00CD5972" w14:paraId="34EA0429" w14:textId="77777777" w:rsidTr="00983B1D">
        <w:trPr>
          <w:trHeight w:val="462"/>
        </w:trPr>
        <w:tc>
          <w:tcPr>
            <w:tcW w:w="5645" w:type="dxa"/>
            <w:gridSpan w:val="2"/>
          </w:tcPr>
          <w:p w14:paraId="14F43FD0" w14:textId="77777777" w:rsidR="00CD5972" w:rsidRPr="00B654C0" w:rsidRDefault="00CD5972" w:rsidP="00983B1D">
            <w:pPr>
              <w:contextualSpacing/>
              <w:rPr>
                <w:rFonts w:ascii="Arial" w:hAnsi="Arial" w:cs="Arial"/>
                <w:bCs/>
              </w:rPr>
            </w:pPr>
            <w:r w:rsidRPr="00B654C0">
              <w:rPr>
                <w:rFonts w:ascii="Arial" w:hAnsi="Arial" w:cs="Arial"/>
                <w:bCs/>
              </w:rPr>
              <w:t>GP name: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729" w:type="dxa"/>
            <w:vMerge w:val="restart"/>
          </w:tcPr>
          <w:p w14:paraId="7940BE5D" w14:textId="77777777" w:rsidR="00CD5972" w:rsidRDefault="00CD5972" w:rsidP="00983B1D">
            <w:pPr>
              <w:contextualSpacing/>
              <w:jc w:val="both"/>
              <w:rPr>
                <w:rFonts w:ascii="Arial" w:hAnsi="Arial" w:cs="Arial"/>
                <w:bCs/>
                <w:u w:val="single"/>
              </w:rPr>
            </w:pPr>
            <w:r w:rsidRPr="00B654C0">
              <w:rPr>
                <w:rFonts w:ascii="Arial" w:hAnsi="Arial" w:cs="Arial"/>
                <w:bCs/>
                <w:u w:val="single"/>
              </w:rPr>
              <w:t xml:space="preserve">Practice Address/Stamp: </w:t>
            </w:r>
          </w:p>
          <w:p w14:paraId="69FB8F6B" w14:textId="77777777" w:rsidR="00CD5972" w:rsidRDefault="00CD5972" w:rsidP="00983B1D">
            <w:pPr>
              <w:contextualSpacing/>
              <w:jc w:val="both"/>
              <w:rPr>
                <w:rFonts w:ascii="Arial" w:hAnsi="Arial" w:cs="Arial"/>
                <w:bCs/>
                <w:sz w:val="18"/>
                <w:szCs w:val="18"/>
              </w:rPr>
            </w:pP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p w14:paraId="61C95070" w14:textId="77777777" w:rsidR="00CD5972" w:rsidRPr="00CD5972" w:rsidRDefault="00CD5972" w:rsidP="00CD5972">
            <w:pPr>
              <w:rPr>
                <w:rFonts w:ascii="Arial" w:hAnsi="Arial" w:cs="Arial"/>
                <w:sz w:val="24"/>
                <w:szCs w:val="24"/>
              </w:rPr>
            </w:pPr>
          </w:p>
          <w:p w14:paraId="74CE1728" w14:textId="77777777" w:rsidR="00CD5972" w:rsidRPr="00CD5972" w:rsidRDefault="00CD5972" w:rsidP="00CD5972">
            <w:pPr>
              <w:rPr>
                <w:rFonts w:ascii="Arial" w:hAnsi="Arial" w:cs="Arial"/>
                <w:sz w:val="24"/>
                <w:szCs w:val="24"/>
              </w:rPr>
            </w:pPr>
          </w:p>
          <w:p w14:paraId="4746B8B7" w14:textId="77777777" w:rsidR="00CD5972" w:rsidRDefault="00CD5972" w:rsidP="00CD5972">
            <w:pPr>
              <w:rPr>
                <w:rFonts w:ascii="Arial" w:hAnsi="Arial" w:cs="Arial"/>
                <w:bCs/>
                <w:sz w:val="18"/>
                <w:szCs w:val="18"/>
              </w:rPr>
            </w:pPr>
          </w:p>
          <w:p w14:paraId="677A2197" w14:textId="77777777" w:rsidR="00CD5972" w:rsidRDefault="00CD5972" w:rsidP="00CD5972">
            <w:pPr>
              <w:rPr>
                <w:rFonts w:ascii="Arial" w:hAnsi="Arial" w:cs="Arial"/>
                <w:bCs/>
                <w:sz w:val="18"/>
                <w:szCs w:val="18"/>
              </w:rPr>
            </w:pPr>
          </w:p>
          <w:p w14:paraId="43D3F1A4" w14:textId="53677B71" w:rsidR="00CD5972" w:rsidRPr="00CD5972" w:rsidRDefault="00CD5972" w:rsidP="00CD5972">
            <w:pPr>
              <w:tabs>
                <w:tab w:val="left" w:pos="1690"/>
              </w:tabs>
              <w:rPr>
                <w:rFonts w:ascii="Arial" w:hAnsi="Arial" w:cs="Arial"/>
                <w:sz w:val="24"/>
                <w:szCs w:val="24"/>
              </w:rPr>
            </w:pPr>
            <w:r>
              <w:rPr>
                <w:rFonts w:ascii="Arial" w:hAnsi="Arial" w:cs="Arial"/>
                <w:sz w:val="24"/>
                <w:szCs w:val="24"/>
              </w:rPr>
              <w:tab/>
            </w:r>
          </w:p>
        </w:tc>
      </w:tr>
      <w:tr w:rsidR="00CD5972" w14:paraId="4154720D" w14:textId="77777777" w:rsidTr="00983B1D">
        <w:trPr>
          <w:trHeight w:val="462"/>
        </w:trPr>
        <w:tc>
          <w:tcPr>
            <w:tcW w:w="5645" w:type="dxa"/>
            <w:gridSpan w:val="2"/>
          </w:tcPr>
          <w:p w14:paraId="10AE5BBC" w14:textId="77777777" w:rsidR="00CD5972" w:rsidRPr="00B654C0" w:rsidRDefault="00CD5972" w:rsidP="00983B1D">
            <w:pPr>
              <w:contextualSpacing/>
              <w:rPr>
                <w:rFonts w:ascii="Arial" w:hAnsi="Arial" w:cs="Arial"/>
                <w:bCs/>
              </w:rPr>
            </w:pPr>
            <w:r w:rsidRPr="00B654C0">
              <w:rPr>
                <w:rFonts w:ascii="Arial" w:hAnsi="Arial" w:cs="Arial"/>
                <w:bCs/>
              </w:rPr>
              <w:t>Direct telephone number:</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729" w:type="dxa"/>
            <w:vMerge/>
          </w:tcPr>
          <w:p w14:paraId="0C01EFAD" w14:textId="77777777" w:rsidR="00CD5972" w:rsidRPr="00B654C0" w:rsidRDefault="00CD5972" w:rsidP="00983B1D">
            <w:pPr>
              <w:contextualSpacing/>
              <w:jc w:val="both"/>
              <w:rPr>
                <w:rFonts w:ascii="Arial" w:hAnsi="Arial" w:cs="Arial"/>
                <w:bCs/>
                <w:sz w:val="24"/>
                <w:szCs w:val="24"/>
                <w:u w:val="single"/>
              </w:rPr>
            </w:pPr>
          </w:p>
        </w:tc>
      </w:tr>
      <w:tr w:rsidR="00CD5972" w14:paraId="504400C6" w14:textId="77777777" w:rsidTr="00983B1D">
        <w:trPr>
          <w:trHeight w:val="462"/>
        </w:trPr>
        <w:tc>
          <w:tcPr>
            <w:tcW w:w="5645" w:type="dxa"/>
            <w:gridSpan w:val="2"/>
          </w:tcPr>
          <w:p w14:paraId="5FA82B05" w14:textId="77777777" w:rsidR="00CD5972" w:rsidRPr="00B654C0" w:rsidRDefault="00CD5972" w:rsidP="00983B1D">
            <w:pPr>
              <w:contextualSpacing/>
              <w:rPr>
                <w:rFonts w:ascii="Arial" w:hAnsi="Arial" w:cs="Arial"/>
                <w:bCs/>
              </w:rPr>
            </w:pPr>
            <w:r w:rsidRPr="00B654C0">
              <w:rPr>
                <w:rFonts w:ascii="Arial" w:hAnsi="Arial" w:cs="Arial"/>
                <w:bCs/>
              </w:rPr>
              <w:t>Email:</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729" w:type="dxa"/>
            <w:vMerge/>
          </w:tcPr>
          <w:p w14:paraId="518757E6" w14:textId="77777777" w:rsidR="00CD5972" w:rsidRPr="00B654C0" w:rsidRDefault="00CD5972" w:rsidP="00983B1D">
            <w:pPr>
              <w:contextualSpacing/>
              <w:jc w:val="both"/>
              <w:rPr>
                <w:rFonts w:ascii="Arial" w:hAnsi="Arial" w:cs="Arial"/>
                <w:bCs/>
                <w:sz w:val="24"/>
                <w:szCs w:val="24"/>
                <w:u w:val="single"/>
              </w:rPr>
            </w:pPr>
          </w:p>
        </w:tc>
      </w:tr>
      <w:tr w:rsidR="00CD5972" w14:paraId="0C83F8BB" w14:textId="77777777" w:rsidTr="00983B1D">
        <w:trPr>
          <w:trHeight w:val="462"/>
        </w:trPr>
        <w:tc>
          <w:tcPr>
            <w:tcW w:w="5645" w:type="dxa"/>
            <w:gridSpan w:val="2"/>
          </w:tcPr>
          <w:p w14:paraId="5BDE8D2F" w14:textId="77777777" w:rsidR="00CD5972" w:rsidRPr="00B654C0" w:rsidRDefault="00CD5972" w:rsidP="00983B1D">
            <w:pPr>
              <w:contextualSpacing/>
              <w:rPr>
                <w:rFonts w:ascii="Arial" w:hAnsi="Arial" w:cs="Arial"/>
                <w:bCs/>
              </w:rPr>
            </w:pPr>
            <w:r w:rsidRPr="00B654C0">
              <w:rPr>
                <w:rFonts w:ascii="Arial" w:hAnsi="Arial" w:cs="Arial"/>
                <w:bCs/>
              </w:rPr>
              <w:t>Date: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729" w:type="dxa"/>
          </w:tcPr>
          <w:p w14:paraId="03DB3B70" w14:textId="77777777" w:rsidR="00CD5972" w:rsidRPr="00B654C0" w:rsidRDefault="00CD5972" w:rsidP="00983B1D">
            <w:pPr>
              <w:contextualSpacing/>
              <w:rPr>
                <w:rFonts w:ascii="Arial" w:hAnsi="Arial" w:cs="Arial"/>
                <w:bCs/>
              </w:rPr>
            </w:pPr>
            <w:r w:rsidRPr="00B654C0">
              <w:rPr>
                <w:rFonts w:ascii="Arial" w:hAnsi="Arial" w:cs="Arial"/>
                <w:bCs/>
              </w:rPr>
              <w:t>GP Signature</w:t>
            </w:r>
            <w:r>
              <w:rPr>
                <w:rFonts w:ascii="Arial" w:hAnsi="Arial" w:cs="Arial"/>
                <w:bCs/>
              </w:rPr>
              <w:t>:</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r>
    </w:tbl>
    <w:p w14:paraId="5BE39162" w14:textId="77777777" w:rsidR="00E60DF5" w:rsidRPr="00E60DF5" w:rsidRDefault="00E60DF5" w:rsidP="00E60DF5">
      <w:pPr>
        <w:spacing w:after="0" w:line="240" w:lineRule="auto"/>
        <w:rPr>
          <w:rFonts w:ascii="Arial" w:eastAsia="Times New Roman" w:hAnsi="Arial" w:cs="Arial"/>
          <w:b/>
          <w:sz w:val="8"/>
          <w:szCs w:val="8"/>
          <w:lang w:eastAsia="en-GB"/>
        </w:rPr>
      </w:pPr>
    </w:p>
    <w:tbl>
      <w:tblPr>
        <w:tblW w:w="1090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3"/>
      </w:tblGrid>
      <w:tr w:rsidR="00E60DF5" w:rsidRPr="00E60DF5" w14:paraId="61541AAC" w14:textId="77777777" w:rsidTr="006443C5">
        <w:trPr>
          <w:trHeight w:val="632"/>
        </w:trPr>
        <w:tc>
          <w:tcPr>
            <w:tcW w:w="10903" w:type="dxa"/>
            <w:shd w:val="clear" w:color="auto" w:fill="auto"/>
          </w:tcPr>
          <w:p w14:paraId="444D51DD" w14:textId="77777777" w:rsidR="00F32762" w:rsidRDefault="00F32762" w:rsidP="00F32762">
            <w:pPr>
              <w:spacing w:after="0" w:line="240" w:lineRule="auto"/>
              <w:contextualSpacing/>
              <w:jc w:val="both"/>
              <w:rPr>
                <w:rFonts w:ascii="Arial" w:eastAsia="Times New Roman" w:hAnsi="Arial" w:cs="Arial"/>
                <w:b/>
                <w:bCs/>
                <w:szCs w:val="24"/>
                <w:lang w:val="en-US"/>
              </w:rPr>
            </w:pPr>
            <w:r w:rsidRPr="007615C2">
              <w:rPr>
                <w:rFonts w:ascii="Arial" w:eastAsia="Times New Roman" w:hAnsi="Arial" w:cs="Arial"/>
                <w:b/>
                <w:bCs/>
                <w:sz w:val="24"/>
                <w:szCs w:val="24"/>
                <w:u w:val="single"/>
                <w:lang w:val="en-US"/>
              </w:rPr>
              <w:lastRenderedPageBreak/>
              <w:t>Key Primary Care Information</w:t>
            </w:r>
            <w:r w:rsidRPr="007615C2">
              <w:rPr>
                <w:rFonts w:ascii="Arial" w:eastAsia="Times New Roman" w:hAnsi="Arial" w:cs="Arial"/>
                <w:b/>
                <w:bCs/>
                <w:sz w:val="24"/>
                <w:szCs w:val="24"/>
                <w:lang w:val="en-US"/>
              </w:rPr>
              <w:t xml:space="preserve"> </w:t>
            </w:r>
            <w:r w:rsidRPr="00C83EBD">
              <w:rPr>
                <w:rFonts w:ascii="Arial" w:eastAsia="Times New Roman" w:hAnsi="Arial" w:cs="Arial"/>
                <w:b/>
                <w:bCs/>
                <w:szCs w:val="24"/>
                <w:lang w:val="en-US"/>
              </w:rPr>
              <w:t>(refer to Full Shared Care Protocol for further information)</w:t>
            </w:r>
          </w:p>
          <w:p w14:paraId="654A6F63" w14:textId="77777777" w:rsidR="00F32762" w:rsidRDefault="00F32762" w:rsidP="00E60DF5">
            <w:pPr>
              <w:spacing w:after="0" w:line="240" w:lineRule="auto"/>
              <w:rPr>
                <w:rFonts w:ascii="Arial" w:eastAsia="Times New Roman" w:hAnsi="Arial" w:cs="Arial"/>
                <w:b/>
                <w:bCs/>
                <w:sz w:val="24"/>
                <w:szCs w:val="24"/>
                <w:lang w:eastAsia="en-GB"/>
              </w:rPr>
            </w:pPr>
          </w:p>
          <w:p w14:paraId="73A01C94" w14:textId="77777777" w:rsidR="00E60DF5" w:rsidRPr="00E60DF5" w:rsidRDefault="00E60DF5" w:rsidP="00E60DF5">
            <w:pPr>
              <w:spacing w:after="0" w:line="240" w:lineRule="auto"/>
              <w:rPr>
                <w:rFonts w:ascii="Arial" w:eastAsia="Times New Roman" w:hAnsi="Arial" w:cs="Arial"/>
                <w:b/>
                <w:bCs/>
                <w:sz w:val="24"/>
                <w:szCs w:val="24"/>
                <w:lang w:eastAsia="en-GB"/>
              </w:rPr>
            </w:pPr>
            <w:r w:rsidRPr="00E60DF5">
              <w:rPr>
                <w:rFonts w:ascii="Arial" w:eastAsia="Times New Roman" w:hAnsi="Arial" w:cs="Arial"/>
                <w:b/>
                <w:bCs/>
                <w:sz w:val="24"/>
                <w:szCs w:val="24"/>
                <w:lang w:eastAsia="en-GB"/>
              </w:rPr>
              <w:t>GP RESPONSIBILITIES</w:t>
            </w:r>
          </w:p>
          <w:p w14:paraId="096FFCD3"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 xml:space="preserve">Consider request to shared care arrangements and prompt completion. Email return of signed response to the specialist using the Shared Care Agreement Form </w:t>
            </w:r>
            <w:r>
              <w:rPr>
                <w:rFonts w:ascii="Arial" w:eastAsia="Times New Roman" w:hAnsi="Arial" w:cs="Arial"/>
                <w:b/>
                <w:bCs/>
                <w:lang w:eastAsia="en-GB"/>
              </w:rPr>
              <w:t>within 14 days</w:t>
            </w:r>
            <w:r>
              <w:rPr>
                <w:rFonts w:ascii="Arial" w:eastAsia="Times New Roman" w:hAnsi="Arial" w:cs="Arial"/>
                <w:bCs/>
                <w:lang w:eastAsia="en-GB"/>
              </w:rPr>
              <w:t xml:space="preserve"> of its receipt.</w:t>
            </w:r>
          </w:p>
          <w:p w14:paraId="2842D4FD"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 xml:space="preserve">If shared care accepted, prescribe methotrexate once patient is clinically stable in line with protocol. </w:t>
            </w:r>
          </w:p>
          <w:p w14:paraId="26F1B971"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 xml:space="preserve">Arrange, record and share ongoing monitoring. </w:t>
            </w:r>
          </w:p>
          <w:p w14:paraId="2263DB20"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 xml:space="preserve">Take appropriate action as per protocol and advised by specialist (see monitoring table), ensuring GP practice systems are in place to recall patients for monitoring blood tests. </w:t>
            </w:r>
          </w:p>
          <w:p w14:paraId="6BDA2181"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Re-iterate with patient that non-attendance for blood testing may lead to withdrawal of the medication. Further help and advice can be sought from the hospital specialist team.</w:t>
            </w:r>
          </w:p>
          <w:p w14:paraId="2A444BA0"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Ascertain the reason for non-completion of routine blood testing, if one test is missed.</w:t>
            </w:r>
          </w:p>
          <w:p w14:paraId="1915F30C"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 xml:space="preserve">Prompt notification to the hospital specialist of any significant and relevant changes in the patient’s condition, medication dose, or adverse reaction, according to the protocol and if the patient fails to attend for blood monitoring. </w:t>
            </w:r>
          </w:p>
          <w:p w14:paraId="7A19D67E"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Ensure no drug interactions with other medicines.</w:t>
            </w:r>
          </w:p>
          <w:p w14:paraId="4C469662"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Administer inactivated influenza vaccine annually unless otherwise advised by the initiating specialist.</w:t>
            </w:r>
          </w:p>
          <w:p w14:paraId="4B041C1F"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hAnsi="Arial" w:cs="Arial"/>
              </w:rPr>
              <w:t>Check patient has had ONE DOSE of pneumococcal vaccine. Administer a single dose of the pneumococcal vaccination (Pneumovax®) to all patients if previously not vaccinated.</w:t>
            </w:r>
          </w:p>
          <w:p w14:paraId="77B7A807"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 xml:space="preserve">For susceptible immunosuppressed individuals with significant exposure to chickenpox (varicella) or shingles (zoster), follow latest national guidance on post exposure prophylaxis and use of anti-virals or varicella zoster immunoglobulin (VZIG) </w:t>
            </w:r>
            <w:hyperlink r:id="rId10" w:history="1">
              <w:r>
                <w:rPr>
                  <w:rStyle w:val="Hyperlink"/>
                  <w:rFonts w:ascii="Arial" w:eastAsia="Times New Roman" w:hAnsi="Arial" w:cs="Arial"/>
                  <w:bCs/>
                  <w:lang w:eastAsia="en-GB"/>
                </w:rPr>
                <w:t>https://www.gov.uk/government/publications/varicella-zoster-immunoglobulin</w:t>
              </w:r>
            </w:hyperlink>
            <w:r>
              <w:rPr>
                <w:rFonts w:ascii="Arial" w:eastAsia="Times New Roman" w:hAnsi="Arial" w:cs="Arial"/>
                <w:bCs/>
                <w:lang w:eastAsia="en-GB"/>
              </w:rPr>
              <w:t>. Also inform specialist. Varicella zoster virus (VZV) serology can be obtained urgently (within 24 hours) on discussion with microbiology if required.</w:t>
            </w:r>
          </w:p>
          <w:p w14:paraId="5BB5FB6B"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Ask about oral ulceration, sore throat, unexplained rash or unusual bruising/bleeding at every consultation.</w:t>
            </w:r>
          </w:p>
          <w:p w14:paraId="6F7B20D8"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hAnsi="Arial" w:cs="Arial"/>
              </w:rPr>
              <w:t xml:space="preserve">Prescribe methotrexate (using multiples of the 2.5mg strength tablet only and clearly state the day of administration) and folic acid as advised by the specialist after the initial stabilisation period (usually 12 weeks) and only after blood test results have been reviewed (in line with the shared care protocol). Do not use the dosage instruction ‘as directed’ when prescribing; a specific dose must be applied to each prescription. </w:t>
            </w:r>
          </w:p>
          <w:p w14:paraId="61A7EAAA"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hAnsi="Arial" w:cs="Arial"/>
              </w:rPr>
              <w:t xml:space="preserve">Record blood test results and medicine dosages in the patient notes. Recording of on-going results and medicine dosages in the NPSA monitoring booklet is optional. For patients who are out-of-area (i.e. no common electronic results system), print results and give to patient. </w:t>
            </w:r>
          </w:p>
          <w:p w14:paraId="01E260B1"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Change dose or stop treatment in line with protocol and as advised by specialist.</w:t>
            </w:r>
          </w:p>
          <w:p w14:paraId="64A40D1D"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Organise urgent referral to the specialist team or A&amp;E if severe side effects or potential overdose is apparent.</w:t>
            </w:r>
          </w:p>
          <w:p w14:paraId="0497EED4"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Liaise with the initiating clinician if the medicine becomes less effective and patient complains of symptoms.</w:t>
            </w:r>
          </w:p>
          <w:p w14:paraId="3612F1D0" w14:textId="614F700F" w:rsidR="00452378" w:rsidRPr="00452378" w:rsidRDefault="00097D24" w:rsidP="00452378">
            <w:pPr>
              <w:numPr>
                <w:ilvl w:val="0"/>
                <w:numId w:val="28"/>
              </w:numPr>
              <w:spacing w:after="0" w:line="240" w:lineRule="auto"/>
              <w:rPr>
                <w:rFonts w:ascii="Arial" w:eastAsia="Times New Roman" w:hAnsi="Arial" w:cs="Arial"/>
                <w:bCs/>
                <w:lang w:eastAsia="en-GB"/>
              </w:rPr>
            </w:pPr>
            <w:r>
              <w:rPr>
                <w:rFonts w:ascii="Arial" w:hAnsi="Arial" w:cs="Arial"/>
              </w:rPr>
              <w:t>Ensure that all GP practice staff involved in the provision of this service have the relevant knowledge and skills.</w:t>
            </w:r>
          </w:p>
          <w:p w14:paraId="48638FA2" w14:textId="16E368D3" w:rsidR="0015736E" w:rsidRDefault="0015736E" w:rsidP="000C7F57">
            <w:pPr>
              <w:spacing w:after="0" w:line="240" w:lineRule="auto"/>
              <w:rPr>
                <w:rFonts w:ascii="Arial" w:eastAsia="Times New Roman" w:hAnsi="Arial" w:cs="Arial"/>
                <w:bCs/>
                <w:lang w:eastAsia="en-GB"/>
              </w:rPr>
            </w:pPr>
          </w:p>
          <w:p w14:paraId="7636099E" w14:textId="77777777" w:rsidR="006443C5" w:rsidRPr="00EB2DA4" w:rsidRDefault="006443C5" w:rsidP="006443C5">
            <w:pPr>
              <w:spacing w:after="0" w:line="240" w:lineRule="auto"/>
              <w:rPr>
                <w:rFonts w:ascii="Arial" w:eastAsia="Times New Roman" w:hAnsi="Arial" w:cs="Arial"/>
                <w:b/>
                <w:lang w:eastAsia="en-GB"/>
              </w:rPr>
            </w:pPr>
            <w:r w:rsidRPr="00EB2DA4">
              <w:rPr>
                <w:rFonts w:ascii="Arial" w:eastAsia="Times New Roman" w:hAnsi="Arial" w:cs="Arial"/>
                <w:b/>
                <w:lang w:eastAsia="en-GB"/>
              </w:rPr>
              <w:t>MONITORING ANDACTIONS TO BE TAKEN</w:t>
            </w:r>
          </w:p>
          <w:p w14:paraId="121BEB69" w14:textId="77777777" w:rsidR="006443C5" w:rsidRPr="00EB2DA4" w:rsidRDefault="006443C5" w:rsidP="006443C5">
            <w:pPr>
              <w:spacing w:after="0" w:line="240" w:lineRule="auto"/>
              <w:rPr>
                <w:rFonts w:ascii="Arial" w:eastAsia="Times New Roman" w:hAnsi="Arial" w:cs="Arial"/>
                <w:b/>
                <w:lang w:eastAsia="en-GB"/>
              </w:rPr>
            </w:pPr>
          </w:p>
          <w:p w14:paraId="5422DC1B" w14:textId="77777777" w:rsidR="006443C5" w:rsidRPr="00EB2DA4" w:rsidRDefault="006443C5" w:rsidP="006443C5">
            <w:pPr>
              <w:spacing w:after="0" w:line="240" w:lineRule="auto"/>
              <w:rPr>
                <w:rFonts w:ascii="Arial" w:eastAsia="Times New Roman" w:hAnsi="Arial" w:cs="Arial"/>
                <w:b/>
                <w:u w:val="single"/>
                <w:lang w:eastAsia="en-GB"/>
              </w:rPr>
            </w:pPr>
            <w:r w:rsidRPr="00EB2DA4">
              <w:rPr>
                <w:rFonts w:ascii="Arial" w:eastAsia="Times New Roman" w:hAnsi="Arial" w:cs="Arial"/>
                <w:b/>
                <w:u w:val="single"/>
                <w:lang w:eastAsia="en-GB"/>
              </w:rPr>
              <w:t>Monitoring Table – see GP monitoring highlighted in grey</w:t>
            </w:r>
            <w:r>
              <w:rPr>
                <w:rFonts w:ascii="Arial" w:eastAsia="Times New Roman" w:hAnsi="Arial" w:cs="Arial"/>
                <w:b/>
                <w:u w:val="single"/>
                <w:lang w:eastAsia="en-GB"/>
              </w:rPr>
              <w:t>.</w:t>
            </w:r>
          </w:p>
          <w:tbl>
            <w:tblPr>
              <w:tblpPr w:leftFromText="180" w:rightFromText="180" w:bottomFromText="200" w:vertAnchor="text" w:horzAnchor="margin" w:tblpXSpec="center" w:tblpY="278"/>
              <w:tblOverlap w:val="never"/>
              <w:tblW w:w="10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1560"/>
              <w:gridCol w:w="1134"/>
              <w:gridCol w:w="1134"/>
              <w:gridCol w:w="1418"/>
              <w:gridCol w:w="1466"/>
              <w:gridCol w:w="1521"/>
            </w:tblGrid>
            <w:tr w:rsidR="00097D24" w14:paraId="0F1CECF9" w14:textId="77777777" w:rsidTr="006443C5">
              <w:trPr>
                <w:trHeight w:val="699"/>
              </w:trPr>
              <w:tc>
                <w:tcPr>
                  <w:tcW w:w="3542" w:type="dxa"/>
                  <w:gridSpan w:val="2"/>
                  <w:tcBorders>
                    <w:top w:val="single" w:sz="4" w:space="0" w:color="auto"/>
                    <w:left w:val="single" w:sz="4" w:space="0" w:color="auto"/>
                    <w:bottom w:val="single" w:sz="4" w:space="0" w:color="auto"/>
                    <w:right w:val="single" w:sz="4" w:space="0" w:color="auto"/>
                  </w:tcBorders>
                  <w:hideMark/>
                </w:tcPr>
                <w:p w14:paraId="2C0B511B" w14:textId="77777777" w:rsidR="00097D24" w:rsidRDefault="00097D24" w:rsidP="00097D24">
                  <w:pPr>
                    <w:spacing w:after="0" w:line="240" w:lineRule="auto"/>
                    <w:rPr>
                      <w:rFonts w:ascii="Arial" w:hAnsi="Arial" w:cs="Arial"/>
                      <w:b/>
                      <w:sz w:val="20"/>
                      <w:szCs w:val="20"/>
                    </w:rPr>
                  </w:pPr>
                  <w:r>
                    <w:rPr>
                      <w:rFonts w:ascii="Arial" w:hAnsi="Arial" w:cs="Arial"/>
                      <w:b/>
                      <w:sz w:val="20"/>
                      <w:szCs w:val="20"/>
                    </w:rPr>
                    <w:t>Monitoring table</w:t>
                  </w:r>
                </w:p>
              </w:tc>
              <w:tc>
                <w:tcPr>
                  <w:tcW w:w="1134" w:type="dxa"/>
                  <w:tcBorders>
                    <w:top w:val="single" w:sz="4" w:space="0" w:color="auto"/>
                    <w:left w:val="single" w:sz="4" w:space="0" w:color="auto"/>
                    <w:bottom w:val="single" w:sz="4" w:space="0" w:color="auto"/>
                    <w:right w:val="single" w:sz="4" w:space="0" w:color="auto"/>
                  </w:tcBorders>
                  <w:hideMark/>
                </w:tcPr>
                <w:p w14:paraId="49334276" w14:textId="77777777" w:rsidR="00097D24" w:rsidRDefault="00097D24" w:rsidP="00097D24">
                  <w:pPr>
                    <w:spacing w:after="0" w:line="240" w:lineRule="auto"/>
                    <w:jc w:val="center"/>
                    <w:rPr>
                      <w:rFonts w:ascii="Arial" w:hAnsi="Arial" w:cs="Arial"/>
                      <w:b/>
                      <w:sz w:val="20"/>
                      <w:szCs w:val="20"/>
                    </w:rPr>
                  </w:pPr>
                  <w:r>
                    <w:rPr>
                      <w:rFonts w:ascii="Arial" w:hAnsi="Arial" w:cs="Arial"/>
                      <w:b/>
                      <w:sz w:val="20"/>
                      <w:szCs w:val="20"/>
                    </w:rPr>
                    <w:t>Hospital specialist</w:t>
                  </w:r>
                </w:p>
              </w:tc>
              <w:tc>
                <w:tcPr>
                  <w:tcW w:w="1134" w:type="dxa"/>
                  <w:tcBorders>
                    <w:top w:val="single" w:sz="4" w:space="0" w:color="auto"/>
                    <w:left w:val="single" w:sz="4" w:space="0" w:color="auto"/>
                    <w:bottom w:val="single" w:sz="4" w:space="0" w:color="auto"/>
                    <w:right w:val="single" w:sz="4" w:space="0" w:color="auto"/>
                  </w:tcBorders>
                  <w:hideMark/>
                </w:tcPr>
                <w:p w14:paraId="4E8997E9" w14:textId="77777777" w:rsidR="00097D24" w:rsidRDefault="00097D24" w:rsidP="00097D24">
                  <w:pPr>
                    <w:spacing w:after="0" w:line="240" w:lineRule="auto"/>
                    <w:jc w:val="center"/>
                    <w:rPr>
                      <w:rFonts w:ascii="Arial" w:hAnsi="Arial" w:cs="Arial"/>
                      <w:b/>
                      <w:sz w:val="20"/>
                      <w:szCs w:val="20"/>
                    </w:rPr>
                  </w:pPr>
                  <w:r>
                    <w:rPr>
                      <w:rFonts w:ascii="Arial" w:hAnsi="Arial" w:cs="Arial"/>
                      <w:b/>
                      <w:sz w:val="20"/>
                      <w:szCs w:val="20"/>
                    </w:rPr>
                    <w:t>Hospital specialist</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14:paraId="0F95A6D4" w14:textId="77777777" w:rsidR="00097D24" w:rsidRDefault="00097D24" w:rsidP="00097D24">
                  <w:pPr>
                    <w:spacing w:after="0" w:line="240" w:lineRule="auto"/>
                    <w:jc w:val="center"/>
                    <w:rPr>
                      <w:rFonts w:ascii="Arial" w:hAnsi="Arial" w:cs="Arial"/>
                      <w:b/>
                      <w:sz w:val="20"/>
                      <w:szCs w:val="20"/>
                    </w:rPr>
                  </w:pPr>
                  <w:r>
                    <w:rPr>
                      <w:rFonts w:ascii="Arial" w:hAnsi="Arial" w:cs="Arial"/>
                      <w:b/>
                      <w:sz w:val="20"/>
                      <w:szCs w:val="20"/>
                    </w:rPr>
                    <w:t>Hospital specialist / GP</w:t>
                  </w:r>
                </w:p>
              </w:tc>
              <w:tc>
                <w:tcPr>
                  <w:tcW w:w="1466" w:type="dxa"/>
                  <w:tcBorders>
                    <w:top w:val="single" w:sz="4" w:space="0" w:color="auto"/>
                    <w:left w:val="single" w:sz="4" w:space="0" w:color="auto"/>
                    <w:bottom w:val="single" w:sz="4" w:space="0" w:color="auto"/>
                    <w:right w:val="single" w:sz="4" w:space="0" w:color="auto"/>
                  </w:tcBorders>
                  <w:shd w:val="clear" w:color="auto" w:fill="D9D9D9"/>
                  <w:hideMark/>
                </w:tcPr>
                <w:p w14:paraId="7B2DDD0B" w14:textId="77777777" w:rsidR="00097D24" w:rsidRDefault="00097D24" w:rsidP="00097D24">
                  <w:pPr>
                    <w:spacing w:after="0" w:line="240" w:lineRule="auto"/>
                    <w:jc w:val="center"/>
                    <w:rPr>
                      <w:rFonts w:ascii="Arial" w:hAnsi="Arial" w:cs="Arial"/>
                      <w:b/>
                      <w:sz w:val="20"/>
                      <w:szCs w:val="20"/>
                    </w:rPr>
                  </w:pPr>
                  <w:r>
                    <w:rPr>
                      <w:rFonts w:ascii="Arial" w:hAnsi="Arial" w:cs="Arial"/>
                      <w:b/>
                      <w:sz w:val="20"/>
                      <w:szCs w:val="20"/>
                    </w:rPr>
                    <w:t>GP</w:t>
                  </w:r>
                </w:p>
              </w:tc>
              <w:tc>
                <w:tcPr>
                  <w:tcW w:w="1521" w:type="dxa"/>
                  <w:tcBorders>
                    <w:top w:val="single" w:sz="4" w:space="0" w:color="auto"/>
                    <w:left w:val="single" w:sz="4" w:space="0" w:color="auto"/>
                    <w:bottom w:val="single" w:sz="4" w:space="0" w:color="auto"/>
                    <w:right w:val="single" w:sz="4" w:space="0" w:color="auto"/>
                  </w:tcBorders>
                  <w:hideMark/>
                </w:tcPr>
                <w:p w14:paraId="2985DA85" w14:textId="77777777" w:rsidR="00097D24" w:rsidRDefault="00097D24" w:rsidP="00097D24">
                  <w:pPr>
                    <w:spacing w:after="0" w:line="240" w:lineRule="auto"/>
                    <w:jc w:val="center"/>
                    <w:rPr>
                      <w:rFonts w:ascii="Arial" w:hAnsi="Arial" w:cs="Arial"/>
                      <w:b/>
                      <w:sz w:val="20"/>
                      <w:szCs w:val="20"/>
                    </w:rPr>
                  </w:pPr>
                  <w:r>
                    <w:rPr>
                      <w:rFonts w:ascii="Arial" w:hAnsi="Arial" w:cs="Arial"/>
                      <w:b/>
                      <w:sz w:val="20"/>
                      <w:szCs w:val="20"/>
                    </w:rPr>
                    <w:t>Hospital specialist</w:t>
                  </w:r>
                </w:p>
              </w:tc>
            </w:tr>
            <w:tr w:rsidR="00097D24" w14:paraId="3D6CAC50" w14:textId="77777777" w:rsidTr="006443C5">
              <w:trPr>
                <w:trHeight w:val="562"/>
              </w:trPr>
              <w:tc>
                <w:tcPr>
                  <w:tcW w:w="1982" w:type="dxa"/>
                  <w:tcBorders>
                    <w:top w:val="single" w:sz="4" w:space="0" w:color="auto"/>
                    <w:left w:val="single" w:sz="4" w:space="0" w:color="auto"/>
                    <w:bottom w:val="single" w:sz="4" w:space="0" w:color="auto"/>
                    <w:right w:val="single" w:sz="4" w:space="0" w:color="auto"/>
                  </w:tcBorders>
                </w:tcPr>
                <w:p w14:paraId="63BBB8F6" w14:textId="77777777" w:rsidR="00097D24" w:rsidRDefault="00097D24" w:rsidP="00097D24">
                  <w:pPr>
                    <w:spacing w:after="0" w:line="240" w:lineRule="auto"/>
                    <w:jc w:val="center"/>
                    <w:rPr>
                      <w:rFonts w:ascii="Arial" w:hAnsi="Arial" w:cs="Arial"/>
                      <w:b/>
                      <w:sz w:val="18"/>
                      <w:szCs w:val="18"/>
                    </w:rPr>
                  </w:pPr>
                </w:p>
                <w:p w14:paraId="33B3B186" w14:textId="77777777" w:rsidR="00097D24" w:rsidRDefault="00097D24" w:rsidP="00097D24">
                  <w:pPr>
                    <w:spacing w:after="0" w:line="240" w:lineRule="auto"/>
                    <w:jc w:val="center"/>
                    <w:rPr>
                      <w:rFonts w:ascii="Arial" w:hAnsi="Arial" w:cs="Arial"/>
                      <w:b/>
                      <w:sz w:val="18"/>
                      <w:szCs w:val="18"/>
                    </w:rPr>
                  </w:pPr>
                  <w:r>
                    <w:rPr>
                      <w:rFonts w:ascii="Arial" w:hAnsi="Arial" w:cs="Arial"/>
                      <w:b/>
                      <w:sz w:val="18"/>
                      <w:szCs w:val="18"/>
                    </w:rPr>
                    <w:t>Test</w:t>
                  </w:r>
                </w:p>
              </w:tc>
              <w:tc>
                <w:tcPr>
                  <w:tcW w:w="1560" w:type="dxa"/>
                  <w:tcBorders>
                    <w:top w:val="single" w:sz="4" w:space="0" w:color="auto"/>
                    <w:left w:val="single" w:sz="4" w:space="0" w:color="auto"/>
                    <w:bottom w:val="single" w:sz="4" w:space="0" w:color="auto"/>
                    <w:right w:val="single" w:sz="4" w:space="0" w:color="auto"/>
                  </w:tcBorders>
                </w:tcPr>
                <w:p w14:paraId="0FAE3AB3" w14:textId="77777777" w:rsidR="00097D24" w:rsidRDefault="00097D24" w:rsidP="00097D24">
                  <w:pPr>
                    <w:spacing w:after="0" w:line="240" w:lineRule="auto"/>
                    <w:jc w:val="center"/>
                    <w:rPr>
                      <w:rFonts w:ascii="Arial" w:hAnsi="Arial" w:cs="Arial"/>
                      <w:b/>
                      <w:sz w:val="18"/>
                      <w:szCs w:val="18"/>
                    </w:rPr>
                  </w:pPr>
                </w:p>
                <w:p w14:paraId="2A0E906A" w14:textId="77777777" w:rsidR="00097D24" w:rsidRDefault="00097D24" w:rsidP="00097D24">
                  <w:pPr>
                    <w:spacing w:after="0" w:line="240" w:lineRule="auto"/>
                    <w:jc w:val="center"/>
                    <w:rPr>
                      <w:rFonts w:ascii="Arial" w:hAnsi="Arial" w:cs="Arial"/>
                      <w:b/>
                      <w:sz w:val="18"/>
                      <w:szCs w:val="18"/>
                    </w:rPr>
                  </w:pPr>
                  <w:r>
                    <w:rPr>
                      <w:rFonts w:ascii="Arial" w:hAnsi="Arial" w:cs="Arial"/>
                      <w:b/>
                      <w:sz w:val="18"/>
                      <w:szCs w:val="18"/>
                    </w:rPr>
                    <w:t>Indication</w:t>
                  </w:r>
                </w:p>
              </w:tc>
              <w:tc>
                <w:tcPr>
                  <w:tcW w:w="1134" w:type="dxa"/>
                  <w:tcBorders>
                    <w:top w:val="single" w:sz="4" w:space="0" w:color="auto"/>
                    <w:left w:val="single" w:sz="4" w:space="0" w:color="auto"/>
                    <w:bottom w:val="single" w:sz="4" w:space="0" w:color="auto"/>
                    <w:right w:val="single" w:sz="4" w:space="0" w:color="auto"/>
                  </w:tcBorders>
                  <w:hideMark/>
                </w:tcPr>
                <w:p w14:paraId="0BC6EC81" w14:textId="77777777" w:rsidR="00097D24" w:rsidRDefault="00097D24" w:rsidP="00097D24">
                  <w:pPr>
                    <w:spacing w:after="0" w:line="240" w:lineRule="auto"/>
                    <w:jc w:val="center"/>
                    <w:rPr>
                      <w:rFonts w:ascii="Arial" w:hAnsi="Arial" w:cs="Arial"/>
                      <w:b/>
                      <w:sz w:val="18"/>
                      <w:szCs w:val="18"/>
                    </w:rPr>
                  </w:pPr>
                  <w:r>
                    <w:rPr>
                      <w:rFonts w:ascii="Arial" w:hAnsi="Arial" w:cs="Arial"/>
                      <w:b/>
                      <w:sz w:val="18"/>
                      <w:szCs w:val="18"/>
                    </w:rPr>
                    <w:t>Pre-treatment baseline</w:t>
                  </w:r>
                </w:p>
              </w:tc>
              <w:tc>
                <w:tcPr>
                  <w:tcW w:w="1134" w:type="dxa"/>
                  <w:tcBorders>
                    <w:top w:val="single" w:sz="4" w:space="0" w:color="auto"/>
                    <w:left w:val="single" w:sz="4" w:space="0" w:color="auto"/>
                    <w:bottom w:val="single" w:sz="4" w:space="0" w:color="auto"/>
                    <w:right w:val="single" w:sz="4" w:space="0" w:color="auto"/>
                  </w:tcBorders>
                  <w:hideMark/>
                </w:tcPr>
                <w:p w14:paraId="696BDAF7" w14:textId="77777777" w:rsidR="00097D24" w:rsidRDefault="00097D24" w:rsidP="00097D24">
                  <w:pPr>
                    <w:spacing w:after="0" w:line="240" w:lineRule="auto"/>
                    <w:jc w:val="center"/>
                    <w:rPr>
                      <w:rFonts w:ascii="Arial" w:hAnsi="Arial" w:cs="Arial"/>
                      <w:b/>
                      <w:sz w:val="18"/>
                      <w:szCs w:val="18"/>
                    </w:rPr>
                  </w:pPr>
                  <w:r>
                    <w:rPr>
                      <w:rFonts w:ascii="Arial" w:hAnsi="Arial" w:cs="Arial"/>
                      <w:b/>
                      <w:sz w:val="18"/>
                      <w:szCs w:val="18"/>
                    </w:rPr>
                    <w:t>During treatment initiation</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14:paraId="69BC2838" w14:textId="77777777" w:rsidR="00097D24" w:rsidRDefault="00097D24" w:rsidP="00097D24">
                  <w:pPr>
                    <w:spacing w:after="0" w:line="240" w:lineRule="auto"/>
                    <w:jc w:val="center"/>
                    <w:rPr>
                      <w:rFonts w:ascii="Arial" w:hAnsi="Arial" w:cs="Arial"/>
                      <w:b/>
                      <w:sz w:val="18"/>
                      <w:szCs w:val="18"/>
                    </w:rPr>
                  </w:pPr>
                  <w:r>
                    <w:rPr>
                      <w:rFonts w:ascii="Arial" w:hAnsi="Arial" w:cs="Arial"/>
                      <w:b/>
                      <w:sz w:val="18"/>
                      <w:szCs w:val="18"/>
                    </w:rPr>
                    <w:t>Following treatment initiation</w:t>
                  </w:r>
                </w:p>
              </w:tc>
              <w:tc>
                <w:tcPr>
                  <w:tcW w:w="1466" w:type="dxa"/>
                  <w:tcBorders>
                    <w:top w:val="single" w:sz="4" w:space="0" w:color="auto"/>
                    <w:left w:val="single" w:sz="4" w:space="0" w:color="auto"/>
                    <w:bottom w:val="single" w:sz="4" w:space="0" w:color="auto"/>
                    <w:right w:val="single" w:sz="4" w:space="0" w:color="auto"/>
                  </w:tcBorders>
                  <w:shd w:val="clear" w:color="auto" w:fill="D9D9D9"/>
                  <w:hideMark/>
                </w:tcPr>
                <w:p w14:paraId="725FDB29" w14:textId="77777777" w:rsidR="00097D24" w:rsidRDefault="00097D24" w:rsidP="00097D24">
                  <w:pPr>
                    <w:spacing w:after="0" w:line="240" w:lineRule="auto"/>
                    <w:jc w:val="center"/>
                    <w:rPr>
                      <w:rFonts w:ascii="Arial" w:hAnsi="Arial" w:cs="Arial"/>
                      <w:b/>
                      <w:sz w:val="18"/>
                      <w:szCs w:val="18"/>
                    </w:rPr>
                  </w:pPr>
                  <w:r>
                    <w:rPr>
                      <w:rFonts w:ascii="Arial" w:hAnsi="Arial" w:cs="Arial"/>
                      <w:b/>
                      <w:sz w:val="18"/>
                      <w:szCs w:val="18"/>
                    </w:rPr>
                    <w:t xml:space="preserve">Ongoing </w:t>
                  </w:r>
                </w:p>
              </w:tc>
              <w:tc>
                <w:tcPr>
                  <w:tcW w:w="1521" w:type="dxa"/>
                  <w:tcBorders>
                    <w:top w:val="single" w:sz="4" w:space="0" w:color="auto"/>
                    <w:left w:val="single" w:sz="4" w:space="0" w:color="auto"/>
                    <w:bottom w:val="single" w:sz="4" w:space="0" w:color="auto"/>
                    <w:right w:val="single" w:sz="4" w:space="0" w:color="auto"/>
                  </w:tcBorders>
                  <w:hideMark/>
                </w:tcPr>
                <w:p w14:paraId="6267A688" w14:textId="77777777" w:rsidR="00097D24" w:rsidRDefault="00097D24" w:rsidP="00097D24">
                  <w:pPr>
                    <w:spacing w:after="0" w:line="240" w:lineRule="auto"/>
                    <w:jc w:val="center"/>
                    <w:rPr>
                      <w:rFonts w:ascii="Arial" w:hAnsi="Arial" w:cs="Arial"/>
                      <w:b/>
                      <w:sz w:val="18"/>
                      <w:szCs w:val="18"/>
                    </w:rPr>
                  </w:pPr>
                  <w:r>
                    <w:rPr>
                      <w:rFonts w:ascii="Arial" w:hAnsi="Arial" w:cs="Arial"/>
                      <w:b/>
                      <w:sz w:val="18"/>
                      <w:szCs w:val="18"/>
                    </w:rPr>
                    <w:t>Annual review</w:t>
                  </w:r>
                </w:p>
              </w:tc>
            </w:tr>
            <w:tr w:rsidR="00097D24" w14:paraId="51FEFC4F" w14:textId="77777777" w:rsidTr="006443C5">
              <w:trPr>
                <w:trHeight w:val="276"/>
              </w:trPr>
              <w:tc>
                <w:tcPr>
                  <w:tcW w:w="1982" w:type="dxa"/>
                  <w:tcBorders>
                    <w:top w:val="single" w:sz="4" w:space="0" w:color="auto"/>
                    <w:left w:val="single" w:sz="4" w:space="0" w:color="auto"/>
                    <w:bottom w:val="single" w:sz="4" w:space="0" w:color="auto"/>
                    <w:right w:val="single" w:sz="4" w:space="0" w:color="auto"/>
                  </w:tcBorders>
                </w:tcPr>
                <w:p w14:paraId="0D1B4B0A" w14:textId="77777777" w:rsidR="00097D24" w:rsidRDefault="00097D24" w:rsidP="00097D24">
                  <w:pPr>
                    <w:spacing w:after="0" w:line="240" w:lineRule="auto"/>
                    <w:rPr>
                      <w:rFonts w:ascii="Arial" w:hAnsi="Arial" w:cs="Arial"/>
                      <w:sz w:val="18"/>
                      <w:szCs w:val="18"/>
                    </w:rPr>
                  </w:pPr>
                  <w:r>
                    <w:rPr>
                      <w:rFonts w:ascii="Arial" w:hAnsi="Arial" w:cs="Arial"/>
                      <w:sz w:val="18"/>
                      <w:szCs w:val="18"/>
                    </w:rPr>
                    <w:t>FBC</w:t>
                  </w:r>
                </w:p>
                <w:p w14:paraId="6B1A672B" w14:textId="77777777" w:rsidR="00097D24" w:rsidRDefault="00097D24" w:rsidP="00097D24">
                  <w:pPr>
                    <w:spacing w:after="0" w:line="240" w:lineRule="auto"/>
                    <w:rPr>
                      <w:rFonts w:ascii="Arial" w:hAnsi="Arial" w:cs="Arial"/>
                      <w:sz w:val="18"/>
                      <w:szCs w:val="18"/>
                    </w:rPr>
                  </w:pPr>
                  <w:r>
                    <w:rPr>
                      <w:rFonts w:ascii="Arial" w:hAnsi="Arial" w:cs="Arial"/>
                      <w:sz w:val="18"/>
                      <w:szCs w:val="18"/>
                    </w:rPr>
                    <w:t xml:space="preserve">U&amp;E </w:t>
                  </w:r>
                </w:p>
                <w:p w14:paraId="6EF4C0B9" w14:textId="77777777" w:rsidR="00097D24" w:rsidRDefault="00097D24" w:rsidP="00097D24">
                  <w:pPr>
                    <w:spacing w:after="0" w:line="240" w:lineRule="auto"/>
                    <w:rPr>
                      <w:rFonts w:ascii="Arial" w:hAnsi="Arial" w:cs="Arial"/>
                      <w:sz w:val="18"/>
                      <w:szCs w:val="18"/>
                    </w:rPr>
                  </w:pPr>
                  <w:r>
                    <w:rPr>
                      <w:rFonts w:ascii="Arial" w:hAnsi="Arial" w:cs="Arial"/>
                      <w:sz w:val="18"/>
                      <w:szCs w:val="18"/>
                    </w:rPr>
                    <w:t>eGFR</w:t>
                  </w:r>
                </w:p>
                <w:p w14:paraId="3E926CD2" w14:textId="77777777" w:rsidR="00097D24" w:rsidRDefault="00097D24" w:rsidP="00097D24">
                  <w:pPr>
                    <w:spacing w:after="0" w:line="240" w:lineRule="auto"/>
                    <w:rPr>
                      <w:rFonts w:ascii="Arial" w:hAnsi="Arial" w:cs="Arial"/>
                      <w:sz w:val="18"/>
                      <w:szCs w:val="18"/>
                    </w:rPr>
                  </w:pPr>
                  <w:r>
                    <w:rPr>
                      <w:rFonts w:ascii="Arial" w:hAnsi="Arial" w:cs="Arial"/>
                      <w:sz w:val="18"/>
                      <w:szCs w:val="18"/>
                    </w:rPr>
                    <w:t>LFTs</w:t>
                  </w:r>
                </w:p>
                <w:p w14:paraId="1265989F" w14:textId="77777777" w:rsidR="00097D24" w:rsidRDefault="00097D24" w:rsidP="00097D24">
                  <w:pPr>
                    <w:spacing w:after="0" w:line="240" w:lineRule="auto"/>
                    <w:rPr>
                      <w:rFonts w:ascii="Arial" w:hAnsi="Arial" w:cs="Arial"/>
                      <w:sz w:val="18"/>
                      <w:szCs w:val="18"/>
                    </w:rPr>
                  </w:pPr>
                  <w:r>
                    <w:rPr>
                      <w:rFonts w:ascii="Arial" w:hAnsi="Arial" w:cs="Arial"/>
                      <w:sz w:val="18"/>
                      <w:szCs w:val="18"/>
                    </w:rPr>
                    <w:t xml:space="preserve">Albumin </w:t>
                  </w:r>
                </w:p>
                <w:p w14:paraId="5E9CC78E" w14:textId="77777777" w:rsidR="00097D24" w:rsidRDefault="00097D24" w:rsidP="00097D24">
                  <w:pPr>
                    <w:spacing w:after="0" w:line="240" w:lineRule="auto"/>
                    <w:rPr>
                      <w:rFonts w:ascii="Arial" w:hAnsi="Arial" w:cs="Arial"/>
                      <w:sz w:val="18"/>
                      <w:szCs w:val="18"/>
                    </w:rPr>
                  </w:pPr>
                </w:p>
                <w:p w14:paraId="3FA06A7A" w14:textId="77777777" w:rsidR="00097D24" w:rsidRDefault="00097D24" w:rsidP="00097D24">
                  <w:pPr>
                    <w:spacing w:after="0" w:line="240" w:lineRule="auto"/>
                    <w:rPr>
                      <w:rFonts w:ascii="Arial" w:hAnsi="Arial" w:cs="Arial"/>
                      <w:sz w:val="18"/>
                      <w:szCs w:val="18"/>
                    </w:rPr>
                  </w:pPr>
                  <w:r>
                    <w:rPr>
                      <w:rFonts w:ascii="Arial" w:hAnsi="Arial" w:cs="Arial"/>
                      <w:sz w:val="18"/>
                      <w:szCs w:val="18"/>
                    </w:rPr>
                    <w:t>*</w:t>
                  </w:r>
                </w:p>
                <w:p w14:paraId="0821A6A3" w14:textId="77777777" w:rsidR="00097D24" w:rsidRDefault="00097D24" w:rsidP="00097D24">
                  <w:pPr>
                    <w:spacing w:after="0" w:line="240" w:lineRule="auto"/>
                    <w:rPr>
                      <w:rFonts w:ascii="Arial" w:hAnsi="Arial" w:cs="Arial"/>
                      <w:sz w:val="18"/>
                      <w:szCs w:val="18"/>
                    </w:rPr>
                  </w:pPr>
                  <w:r>
                    <w:rPr>
                      <w:rFonts w:ascii="Arial" w:hAnsi="Arial" w:cs="Arial"/>
                      <w:sz w:val="18"/>
                      <w:szCs w:val="18"/>
                    </w:rPr>
                    <w:lastRenderedPageBreak/>
                    <w:t>**</w:t>
                  </w:r>
                </w:p>
              </w:tc>
              <w:tc>
                <w:tcPr>
                  <w:tcW w:w="1560" w:type="dxa"/>
                  <w:tcBorders>
                    <w:top w:val="single" w:sz="4" w:space="0" w:color="auto"/>
                    <w:left w:val="single" w:sz="4" w:space="0" w:color="auto"/>
                    <w:bottom w:val="single" w:sz="4" w:space="0" w:color="auto"/>
                    <w:right w:val="single" w:sz="4" w:space="0" w:color="auto"/>
                  </w:tcBorders>
                  <w:hideMark/>
                </w:tcPr>
                <w:p w14:paraId="0E02664D"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lastRenderedPageBreak/>
                    <w:t>Baseline</w:t>
                  </w:r>
                </w:p>
                <w:p w14:paraId="0D1B5C76"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assessment</w:t>
                  </w:r>
                </w:p>
                <w:p w14:paraId="6DB6CF17"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and for</w:t>
                  </w:r>
                </w:p>
                <w:p w14:paraId="1933965A"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drug toxicity monitoring</w:t>
                  </w:r>
                </w:p>
              </w:tc>
              <w:tc>
                <w:tcPr>
                  <w:tcW w:w="1134" w:type="dxa"/>
                  <w:tcBorders>
                    <w:top w:val="single" w:sz="4" w:space="0" w:color="auto"/>
                    <w:left w:val="single" w:sz="4" w:space="0" w:color="auto"/>
                    <w:bottom w:val="single" w:sz="4" w:space="0" w:color="auto"/>
                    <w:right w:val="single" w:sz="4" w:space="0" w:color="auto"/>
                  </w:tcBorders>
                </w:tcPr>
                <w:p w14:paraId="6B1BAADF" w14:textId="77777777" w:rsidR="00097D24" w:rsidRDefault="00097D24" w:rsidP="00097D24">
                  <w:pPr>
                    <w:spacing w:after="0" w:line="240" w:lineRule="auto"/>
                    <w:jc w:val="center"/>
                    <w:rPr>
                      <w:rFonts w:ascii="Arial" w:hAnsi="Arial" w:cs="Arial"/>
                      <w:b/>
                      <w:sz w:val="18"/>
                      <w:szCs w:val="18"/>
                    </w:rPr>
                  </w:pPr>
                </w:p>
                <w:p w14:paraId="1F772559" w14:textId="77777777" w:rsidR="00097D24" w:rsidRDefault="00097D24" w:rsidP="00097D24">
                  <w:pPr>
                    <w:spacing w:after="0" w:line="240" w:lineRule="auto"/>
                    <w:jc w:val="center"/>
                    <w:rPr>
                      <w:rFonts w:ascii="Arial" w:hAnsi="Arial" w:cs="Arial"/>
                      <w:b/>
                      <w:sz w:val="18"/>
                      <w:szCs w:val="18"/>
                    </w:rPr>
                  </w:pPr>
                  <w:r>
                    <w:rPr>
                      <w:rFonts w:ascii="Arial" w:hAnsi="Arial" w:cs="Arial"/>
                      <w:sz w:val="18"/>
                      <w:szCs w:val="18"/>
                    </w:rPr>
                    <w:sym w:font="Wingdings" w:char="F0FC"/>
                  </w:r>
                </w:p>
              </w:tc>
              <w:tc>
                <w:tcPr>
                  <w:tcW w:w="1134" w:type="dxa"/>
                  <w:tcBorders>
                    <w:top w:val="single" w:sz="4" w:space="0" w:color="auto"/>
                    <w:left w:val="single" w:sz="4" w:space="0" w:color="auto"/>
                    <w:bottom w:val="single" w:sz="4" w:space="0" w:color="auto"/>
                    <w:right w:val="single" w:sz="4" w:space="0" w:color="auto"/>
                  </w:tcBorders>
                </w:tcPr>
                <w:p w14:paraId="38E09662" w14:textId="77777777" w:rsidR="00097D24" w:rsidRDefault="00097D24" w:rsidP="00097D24">
                  <w:pPr>
                    <w:spacing w:after="0" w:line="240" w:lineRule="auto"/>
                    <w:jc w:val="center"/>
                    <w:rPr>
                      <w:rFonts w:ascii="Arial" w:hAnsi="Arial" w:cs="Arial"/>
                      <w:b/>
                      <w:sz w:val="18"/>
                      <w:szCs w:val="18"/>
                      <w:u w:val="single"/>
                    </w:rPr>
                  </w:pPr>
                  <w:r>
                    <w:rPr>
                      <w:rFonts w:ascii="Arial" w:hAnsi="Arial" w:cs="Arial"/>
                      <w:b/>
                      <w:sz w:val="18"/>
                      <w:szCs w:val="18"/>
                      <w:u w:val="single"/>
                    </w:rPr>
                    <w:t>Phase I</w:t>
                  </w:r>
                </w:p>
                <w:p w14:paraId="1AF5F948"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Every 2 weeks until on stable dose for 6 weeks</w:t>
                  </w:r>
                </w:p>
                <w:p w14:paraId="6969042A" w14:textId="77777777" w:rsidR="00097D24" w:rsidRDefault="00097D24" w:rsidP="00097D24">
                  <w:pPr>
                    <w:spacing w:after="0" w:line="240" w:lineRule="auto"/>
                    <w:jc w:val="center"/>
                    <w:rPr>
                      <w:rFonts w:ascii="Arial" w:hAnsi="Arial" w:cs="Arial"/>
                      <w:sz w:val="18"/>
                      <w:szCs w:val="18"/>
                    </w:rPr>
                  </w:pPr>
                </w:p>
                <w:p w14:paraId="7CD1A442" w14:textId="77777777" w:rsidR="00097D24" w:rsidRDefault="00097D24" w:rsidP="00097D24">
                  <w:pPr>
                    <w:spacing w:after="0" w:line="240" w:lineRule="auto"/>
                    <w:jc w:val="center"/>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14:paraId="1197727D" w14:textId="77777777" w:rsidR="00097D24" w:rsidRDefault="00097D24" w:rsidP="00097D24">
                  <w:pPr>
                    <w:spacing w:after="0" w:line="240" w:lineRule="auto"/>
                    <w:jc w:val="center"/>
                    <w:rPr>
                      <w:rFonts w:ascii="Arial" w:hAnsi="Arial" w:cs="Arial"/>
                      <w:b/>
                      <w:sz w:val="18"/>
                      <w:szCs w:val="18"/>
                      <w:u w:val="single"/>
                    </w:rPr>
                  </w:pPr>
                  <w:r>
                    <w:rPr>
                      <w:rFonts w:ascii="Arial" w:hAnsi="Arial" w:cs="Arial"/>
                      <w:b/>
                      <w:sz w:val="18"/>
                      <w:szCs w:val="18"/>
                      <w:u w:val="single"/>
                    </w:rPr>
                    <w:lastRenderedPageBreak/>
                    <w:t>Phase II</w:t>
                  </w:r>
                </w:p>
                <w:p w14:paraId="7A0FD849"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Every 4 weeks for next 12 weeks</w:t>
                  </w:r>
                </w:p>
                <w:p w14:paraId="75FA4E7D" w14:textId="77777777" w:rsidR="00A20476" w:rsidRPr="00A20476" w:rsidRDefault="00A20476" w:rsidP="00A20476">
                  <w:pPr>
                    <w:spacing w:after="0" w:line="240" w:lineRule="auto"/>
                    <w:jc w:val="center"/>
                    <w:rPr>
                      <w:rFonts w:ascii="Arial" w:hAnsi="Arial" w:cs="Arial"/>
                      <w:sz w:val="18"/>
                      <w:szCs w:val="18"/>
                    </w:rPr>
                  </w:pPr>
                  <w:r w:rsidRPr="00A20476">
                    <w:rPr>
                      <w:rFonts w:ascii="Arial" w:hAnsi="Arial" w:cs="Arial"/>
                      <w:sz w:val="18"/>
                      <w:szCs w:val="18"/>
                    </w:rPr>
                    <w:t xml:space="preserve">Hospital specialist will undertake the </w:t>
                  </w:r>
                  <w:r w:rsidRPr="00A20476">
                    <w:rPr>
                      <w:rFonts w:ascii="Arial" w:hAnsi="Arial" w:cs="Arial"/>
                      <w:sz w:val="18"/>
                      <w:szCs w:val="18"/>
                    </w:rPr>
                    <w:lastRenderedPageBreak/>
                    <w:t>first 4-week test</w:t>
                  </w:r>
                </w:p>
                <w:p w14:paraId="1EA1FE49" w14:textId="77777777" w:rsidR="00A20476" w:rsidRPr="00A20476" w:rsidRDefault="00A20476" w:rsidP="00A20476">
                  <w:pPr>
                    <w:spacing w:after="0" w:line="240" w:lineRule="auto"/>
                    <w:jc w:val="center"/>
                    <w:rPr>
                      <w:rFonts w:ascii="Arial" w:hAnsi="Arial" w:cs="Arial"/>
                      <w:sz w:val="18"/>
                      <w:szCs w:val="18"/>
                    </w:rPr>
                  </w:pPr>
                </w:p>
                <w:p w14:paraId="4CE94F2C" w14:textId="47A4E726" w:rsidR="00097D24" w:rsidRDefault="00A20476" w:rsidP="00A20476">
                  <w:pPr>
                    <w:spacing w:after="0" w:line="240" w:lineRule="auto"/>
                    <w:jc w:val="center"/>
                    <w:rPr>
                      <w:rFonts w:ascii="Arial" w:hAnsi="Arial" w:cs="Arial"/>
                      <w:sz w:val="18"/>
                      <w:szCs w:val="18"/>
                    </w:rPr>
                  </w:pPr>
                  <w:r w:rsidRPr="00A20476">
                    <w:rPr>
                      <w:rFonts w:ascii="Arial" w:hAnsi="Arial" w:cs="Arial"/>
                      <w:sz w:val="18"/>
                      <w:szCs w:val="18"/>
                    </w:rPr>
                    <w:t>GP will undertake the second and third 4-week test</w:t>
                  </w:r>
                </w:p>
              </w:tc>
              <w:tc>
                <w:tcPr>
                  <w:tcW w:w="1466" w:type="dxa"/>
                  <w:tcBorders>
                    <w:top w:val="single" w:sz="4" w:space="0" w:color="auto"/>
                    <w:left w:val="single" w:sz="4" w:space="0" w:color="auto"/>
                    <w:bottom w:val="single" w:sz="4" w:space="0" w:color="auto"/>
                    <w:right w:val="single" w:sz="4" w:space="0" w:color="auto"/>
                  </w:tcBorders>
                  <w:shd w:val="clear" w:color="auto" w:fill="D9D9D9"/>
                  <w:hideMark/>
                </w:tcPr>
                <w:p w14:paraId="2D8F1F21" w14:textId="77777777" w:rsidR="00097D24" w:rsidRDefault="00097D24" w:rsidP="00097D24">
                  <w:pPr>
                    <w:spacing w:after="0" w:line="240" w:lineRule="auto"/>
                    <w:jc w:val="center"/>
                    <w:rPr>
                      <w:rFonts w:ascii="Arial" w:hAnsi="Arial" w:cs="Arial"/>
                      <w:b/>
                      <w:sz w:val="18"/>
                      <w:szCs w:val="18"/>
                      <w:u w:val="single"/>
                    </w:rPr>
                  </w:pPr>
                  <w:r>
                    <w:rPr>
                      <w:rFonts w:ascii="Arial" w:hAnsi="Arial" w:cs="Arial"/>
                      <w:b/>
                      <w:sz w:val="18"/>
                      <w:szCs w:val="18"/>
                      <w:u w:val="single"/>
                    </w:rPr>
                    <w:lastRenderedPageBreak/>
                    <w:t>Phase III</w:t>
                  </w:r>
                </w:p>
                <w:p w14:paraId="66AA0E27"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 xml:space="preserve">At least every 12 weeks unless indicated otherwise by specialist (e.g. </w:t>
                  </w:r>
                  <w:r>
                    <w:rPr>
                      <w:rFonts w:ascii="Arial" w:hAnsi="Arial" w:cs="Arial"/>
                      <w:sz w:val="18"/>
                      <w:szCs w:val="18"/>
                    </w:rPr>
                    <w:lastRenderedPageBreak/>
                    <w:t>in patients with high risk of toxicity)</w:t>
                  </w:r>
                </w:p>
              </w:tc>
              <w:tc>
                <w:tcPr>
                  <w:tcW w:w="1521" w:type="dxa"/>
                  <w:tcBorders>
                    <w:top w:val="single" w:sz="4" w:space="0" w:color="auto"/>
                    <w:left w:val="single" w:sz="4" w:space="0" w:color="auto"/>
                    <w:bottom w:val="single" w:sz="4" w:space="0" w:color="auto"/>
                    <w:right w:val="single" w:sz="4" w:space="0" w:color="auto"/>
                  </w:tcBorders>
                  <w:hideMark/>
                </w:tcPr>
                <w:p w14:paraId="24EDCDDA"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lastRenderedPageBreak/>
                    <w:t>As part of routine clinical review or more frequently if indicated</w:t>
                  </w:r>
                </w:p>
              </w:tc>
            </w:tr>
            <w:tr w:rsidR="00097D24" w14:paraId="7CB64C7C" w14:textId="77777777" w:rsidTr="006443C5">
              <w:trPr>
                <w:trHeight w:val="276"/>
              </w:trPr>
              <w:tc>
                <w:tcPr>
                  <w:tcW w:w="1982" w:type="dxa"/>
                  <w:tcBorders>
                    <w:top w:val="single" w:sz="4" w:space="0" w:color="auto"/>
                    <w:left w:val="single" w:sz="4" w:space="0" w:color="auto"/>
                    <w:bottom w:val="single" w:sz="4" w:space="0" w:color="auto"/>
                    <w:right w:val="single" w:sz="4" w:space="0" w:color="auto"/>
                  </w:tcBorders>
                  <w:hideMark/>
                </w:tcPr>
                <w:p w14:paraId="3E2253EB" w14:textId="77777777" w:rsidR="00097D24" w:rsidRDefault="00097D24" w:rsidP="00097D24">
                  <w:pPr>
                    <w:spacing w:after="0" w:line="240" w:lineRule="auto"/>
                    <w:rPr>
                      <w:rFonts w:ascii="Arial" w:hAnsi="Arial" w:cs="Arial"/>
                      <w:sz w:val="18"/>
                      <w:szCs w:val="18"/>
                    </w:rPr>
                  </w:pPr>
                  <w:r>
                    <w:rPr>
                      <w:rFonts w:ascii="Arial" w:hAnsi="Arial" w:cs="Arial"/>
                      <w:sz w:val="18"/>
                      <w:szCs w:val="18"/>
                    </w:rPr>
                    <w:t>ESR</w:t>
                  </w:r>
                </w:p>
                <w:p w14:paraId="45FA2374" w14:textId="77777777" w:rsidR="00097D24" w:rsidRDefault="00097D24" w:rsidP="00097D24">
                  <w:pPr>
                    <w:spacing w:after="0" w:line="240" w:lineRule="auto"/>
                    <w:rPr>
                      <w:rFonts w:ascii="Arial" w:hAnsi="Arial" w:cs="Arial"/>
                      <w:sz w:val="18"/>
                      <w:szCs w:val="18"/>
                    </w:rPr>
                  </w:pPr>
                  <w:r>
                    <w:rPr>
                      <w:rFonts w:ascii="Arial" w:hAnsi="Arial" w:cs="Arial"/>
                      <w:sz w:val="18"/>
                      <w:szCs w:val="18"/>
                    </w:rPr>
                    <w:t>CRP</w:t>
                  </w:r>
                </w:p>
              </w:tc>
              <w:tc>
                <w:tcPr>
                  <w:tcW w:w="1560" w:type="dxa"/>
                  <w:tcBorders>
                    <w:top w:val="single" w:sz="4" w:space="0" w:color="auto"/>
                    <w:left w:val="single" w:sz="4" w:space="0" w:color="auto"/>
                    <w:bottom w:val="single" w:sz="4" w:space="0" w:color="auto"/>
                    <w:right w:val="single" w:sz="4" w:space="0" w:color="auto"/>
                  </w:tcBorders>
                </w:tcPr>
                <w:p w14:paraId="282F051D"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Disease activity -assessment</w:t>
                  </w:r>
                </w:p>
                <w:p w14:paraId="2EE3F98F" w14:textId="77777777" w:rsidR="00097D24" w:rsidRDefault="00097D24" w:rsidP="00097D24">
                  <w:pPr>
                    <w:spacing w:after="0" w:line="240" w:lineRule="auto"/>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AE9BC7C" w14:textId="77777777" w:rsidR="00097D24" w:rsidRDefault="00097D24" w:rsidP="00097D24">
                  <w:pPr>
                    <w:spacing w:after="0" w:line="240" w:lineRule="auto"/>
                    <w:jc w:val="center"/>
                    <w:rPr>
                      <w:rFonts w:ascii="Arial" w:hAnsi="Arial" w:cs="Arial"/>
                      <w:sz w:val="18"/>
                      <w:szCs w:val="18"/>
                    </w:rPr>
                  </w:pPr>
                </w:p>
                <w:p w14:paraId="73F0E392"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sym w:font="Wingdings" w:char="F0FC"/>
                  </w:r>
                </w:p>
              </w:tc>
              <w:tc>
                <w:tcPr>
                  <w:tcW w:w="1134" w:type="dxa"/>
                  <w:tcBorders>
                    <w:top w:val="single" w:sz="4" w:space="0" w:color="auto"/>
                    <w:left w:val="single" w:sz="4" w:space="0" w:color="auto"/>
                    <w:bottom w:val="single" w:sz="4" w:space="0" w:color="auto"/>
                    <w:right w:val="single" w:sz="4" w:space="0" w:color="auto"/>
                  </w:tcBorders>
                  <w:hideMark/>
                </w:tcPr>
                <w:p w14:paraId="7B57420F"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As indicated by disease activity</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D8E3A8D" w14:textId="77777777" w:rsidR="00097D24" w:rsidRDefault="00097D24" w:rsidP="00097D24">
                  <w:pPr>
                    <w:spacing w:after="0" w:line="240" w:lineRule="auto"/>
                    <w:jc w:val="center"/>
                    <w:rPr>
                      <w:rFonts w:ascii="Arial" w:hAnsi="Arial" w:cs="Arial"/>
                      <w:sz w:val="18"/>
                      <w:szCs w:val="18"/>
                    </w:rPr>
                  </w:pPr>
                </w:p>
                <w:p w14:paraId="34690BDD" w14:textId="77777777" w:rsidR="00097D24" w:rsidRDefault="00097D24" w:rsidP="00097D24">
                  <w:pPr>
                    <w:spacing w:after="0" w:line="240" w:lineRule="auto"/>
                    <w:jc w:val="center"/>
                    <w:rPr>
                      <w:rFonts w:ascii="Arial" w:hAnsi="Arial" w:cs="Arial"/>
                      <w:sz w:val="18"/>
                      <w:szCs w:val="18"/>
                    </w:rPr>
                  </w:pPr>
                </w:p>
                <w:p w14:paraId="3CF8F28E" w14:textId="77777777" w:rsidR="00097D24" w:rsidRDefault="00097D24" w:rsidP="00097D24">
                  <w:pPr>
                    <w:spacing w:after="0" w:line="240" w:lineRule="auto"/>
                    <w:jc w:val="center"/>
                    <w:rPr>
                      <w:rFonts w:ascii="Arial" w:hAnsi="Arial" w:cs="Arial"/>
                      <w:sz w:val="18"/>
                      <w:szCs w:val="18"/>
                    </w:rPr>
                  </w:pPr>
                </w:p>
                <w:p w14:paraId="357E0030" w14:textId="77777777" w:rsidR="00097D24" w:rsidRDefault="00097D24" w:rsidP="00CE04F1">
                  <w:pPr>
                    <w:spacing w:after="0" w:line="240" w:lineRule="auto"/>
                    <w:rPr>
                      <w:rFonts w:ascii="Arial" w:hAnsi="Arial" w:cs="Arial"/>
                      <w:sz w:val="18"/>
                      <w:szCs w:val="18"/>
                    </w:rPr>
                  </w:pPr>
                </w:p>
                <w:p w14:paraId="3DD9F9AB"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Not routinely required</w:t>
                  </w:r>
                </w:p>
              </w:tc>
              <w:tc>
                <w:tcPr>
                  <w:tcW w:w="1466" w:type="dxa"/>
                  <w:tcBorders>
                    <w:top w:val="single" w:sz="4" w:space="0" w:color="auto"/>
                    <w:left w:val="single" w:sz="4" w:space="0" w:color="auto"/>
                    <w:bottom w:val="single" w:sz="4" w:space="0" w:color="auto"/>
                    <w:right w:val="single" w:sz="4" w:space="0" w:color="auto"/>
                  </w:tcBorders>
                  <w:shd w:val="clear" w:color="auto" w:fill="D9D9D9"/>
                  <w:hideMark/>
                </w:tcPr>
                <w:p w14:paraId="6E4BF2DB"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Every 12 weeks on specialist advice</w:t>
                  </w:r>
                </w:p>
              </w:tc>
              <w:tc>
                <w:tcPr>
                  <w:tcW w:w="1521" w:type="dxa"/>
                  <w:tcBorders>
                    <w:top w:val="single" w:sz="4" w:space="0" w:color="auto"/>
                    <w:left w:val="single" w:sz="4" w:space="0" w:color="auto"/>
                    <w:bottom w:val="single" w:sz="4" w:space="0" w:color="auto"/>
                    <w:right w:val="single" w:sz="4" w:space="0" w:color="auto"/>
                  </w:tcBorders>
                  <w:hideMark/>
                </w:tcPr>
                <w:p w14:paraId="72B09E50"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As part of routine clinical review or more frequently if indicated</w:t>
                  </w:r>
                </w:p>
              </w:tc>
            </w:tr>
            <w:tr w:rsidR="00097D24" w14:paraId="4B7C780C" w14:textId="77777777" w:rsidTr="006443C5">
              <w:trPr>
                <w:trHeight w:val="276"/>
              </w:trPr>
              <w:tc>
                <w:tcPr>
                  <w:tcW w:w="1982" w:type="dxa"/>
                  <w:tcBorders>
                    <w:top w:val="single" w:sz="4" w:space="0" w:color="auto"/>
                    <w:left w:val="single" w:sz="4" w:space="0" w:color="auto"/>
                    <w:bottom w:val="single" w:sz="4" w:space="0" w:color="auto"/>
                    <w:right w:val="single" w:sz="4" w:space="0" w:color="auto"/>
                  </w:tcBorders>
                  <w:hideMark/>
                </w:tcPr>
                <w:p w14:paraId="78A120C3" w14:textId="77777777" w:rsidR="00097D24" w:rsidRDefault="00097D24" w:rsidP="00097D24">
                  <w:pPr>
                    <w:spacing w:after="0" w:line="240" w:lineRule="auto"/>
                    <w:rPr>
                      <w:rFonts w:ascii="Arial" w:hAnsi="Arial" w:cs="Arial"/>
                      <w:sz w:val="18"/>
                      <w:szCs w:val="18"/>
                    </w:rPr>
                  </w:pPr>
                  <w:r>
                    <w:rPr>
                      <w:rFonts w:ascii="Arial" w:hAnsi="Arial" w:cs="Arial"/>
                      <w:sz w:val="18"/>
                      <w:szCs w:val="18"/>
                    </w:rPr>
                    <w:t>Height</w:t>
                  </w:r>
                </w:p>
                <w:p w14:paraId="5872D273" w14:textId="77777777" w:rsidR="00097D24" w:rsidRDefault="00097D24" w:rsidP="00097D24">
                  <w:pPr>
                    <w:spacing w:after="0" w:line="240" w:lineRule="auto"/>
                    <w:rPr>
                      <w:rFonts w:ascii="Arial" w:hAnsi="Arial" w:cs="Arial"/>
                      <w:sz w:val="18"/>
                      <w:szCs w:val="18"/>
                    </w:rPr>
                  </w:pPr>
                  <w:r>
                    <w:rPr>
                      <w:rFonts w:ascii="Arial" w:hAnsi="Arial" w:cs="Arial"/>
                      <w:sz w:val="18"/>
                      <w:szCs w:val="18"/>
                    </w:rPr>
                    <w:t>Weight</w:t>
                  </w:r>
                </w:p>
                <w:p w14:paraId="48005820" w14:textId="77777777" w:rsidR="00097D24" w:rsidRDefault="00097D24" w:rsidP="00097D24">
                  <w:pPr>
                    <w:spacing w:after="0" w:line="240" w:lineRule="auto"/>
                    <w:rPr>
                      <w:rFonts w:ascii="Arial" w:hAnsi="Arial" w:cs="Arial"/>
                      <w:sz w:val="18"/>
                      <w:szCs w:val="18"/>
                    </w:rPr>
                  </w:pPr>
                  <w:r>
                    <w:rPr>
                      <w:rFonts w:ascii="Arial" w:hAnsi="Arial" w:cs="Arial"/>
                      <w:sz w:val="18"/>
                      <w:szCs w:val="18"/>
                    </w:rPr>
                    <w:t>Blood pressure</w:t>
                  </w:r>
                </w:p>
              </w:tc>
              <w:tc>
                <w:tcPr>
                  <w:tcW w:w="1560" w:type="dxa"/>
                  <w:tcBorders>
                    <w:top w:val="single" w:sz="4" w:space="0" w:color="auto"/>
                    <w:left w:val="single" w:sz="4" w:space="0" w:color="auto"/>
                    <w:bottom w:val="single" w:sz="4" w:space="0" w:color="auto"/>
                    <w:right w:val="single" w:sz="4" w:space="0" w:color="auto"/>
                  </w:tcBorders>
                  <w:hideMark/>
                </w:tcPr>
                <w:p w14:paraId="50418F01"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 xml:space="preserve">Baseline assessment </w:t>
                  </w:r>
                </w:p>
              </w:tc>
              <w:tc>
                <w:tcPr>
                  <w:tcW w:w="1134" w:type="dxa"/>
                  <w:tcBorders>
                    <w:top w:val="single" w:sz="4" w:space="0" w:color="auto"/>
                    <w:left w:val="single" w:sz="4" w:space="0" w:color="auto"/>
                    <w:bottom w:val="single" w:sz="4" w:space="0" w:color="auto"/>
                    <w:right w:val="single" w:sz="4" w:space="0" w:color="auto"/>
                  </w:tcBorders>
                </w:tcPr>
                <w:p w14:paraId="7E17E8DC" w14:textId="77777777" w:rsidR="00097D24" w:rsidRDefault="00097D24" w:rsidP="00097D24">
                  <w:pPr>
                    <w:spacing w:after="0" w:line="240" w:lineRule="auto"/>
                    <w:jc w:val="center"/>
                    <w:rPr>
                      <w:rFonts w:ascii="Arial" w:hAnsi="Arial" w:cs="Arial"/>
                      <w:sz w:val="18"/>
                      <w:szCs w:val="18"/>
                    </w:rPr>
                  </w:pPr>
                </w:p>
                <w:p w14:paraId="764D3568"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sym w:font="Wingdings" w:char="F0FC"/>
                  </w:r>
                </w:p>
              </w:tc>
              <w:tc>
                <w:tcPr>
                  <w:tcW w:w="1134" w:type="dxa"/>
                  <w:tcBorders>
                    <w:top w:val="single" w:sz="4" w:space="0" w:color="auto"/>
                    <w:left w:val="single" w:sz="4" w:space="0" w:color="auto"/>
                    <w:bottom w:val="single" w:sz="4" w:space="0" w:color="auto"/>
                    <w:right w:val="single" w:sz="4" w:space="0" w:color="auto"/>
                  </w:tcBorders>
                </w:tcPr>
                <w:p w14:paraId="0B06CFCB" w14:textId="77777777" w:rsidR="00097D24" w:rsidRDefault="00097D24" w:rsidP="00097D24">
                  <w:pPr>
                    <w:spacing w:after="0" w:line="240" w:lineRule="auto"/>
                    <w:jc w:val="center"/>
                    <w:rPr>
                      <w:rFonts w:ascii="Arial" w:hAnsi="Arial" w:cs="Arial"/>
                      <w:sz w:val="18"/>
                      <w:szCs w:val="18"/>
                    </w:rPr>
                  </w:pPr>
                </w:p>
                <w:p w14:paraId="1F5E5FB6"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x</w:t>
                  </w:r>
                </w:p>
                <w:p w14:paraId="028A8F1B" w14:textId="77777777" w:rsidR="00097D24" w:rsidRDefault="00097D24" w:rsidP="00097D24">
                  <w:pPr>
                    <w:spacing w:after="0" w:line="240" w:lineRule="auto"/>
                    <w:jc w:val="center"/>
                    <w:rPr>
                      <w:rFonts w:ascii="Arial" w:hAnsi="Arial" w:cs="Arial"/>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8A0A4F3" w14:textId="77777777" w:rsidR="00097D24" w:rsidRDefault="00097D24" w:rsidP="00097D24">
                  <w:pPr>
                    <w:spacing w:after="0"/>
                    <w:rPr>
                      <w:rFonts w:ascii="Arial" w:hAnsi="Arial" w:cs="Arial"/>
                      <w:sz w:val="18"/>
                      <w:szCs w:val="18"/>
                    </w:rPr>
                  </w:pPr>
                </w:p>
              </w:tc>
              <w:tc>
                <w:tcPr>
                  <w:tcW w:w="1466" w:type="dxa"/>
                  <w:tcBorders>
                    <w:top w:val="single" w:sz="4" w:space="0" w:color="auto"/>
                    <w:left w:val="single" w:sz="4" w:space="0" w:color="auto"/>
                    <w:bottom w:val="single" w:sz="4" w:space="0" w:color="auto"/>
                    <w:right w:val="single" w:sz="4" w:space="0" w:color="auto"/>
                  </w:tcBorders>
                  <w:shd w:val="clear" w:color="auto" w:fill="D9D9D9"/>
                </w:tcPr>
                <w:p w14:paraId="65E4C336" w14:textId="77777777" w:rsidR="00097D24" w:rsidRDefault="00097D24" w:rsidP="00097D24">
                  <w:pPr>
                    <w:spacing w:after="0" w:line="240" w:lineRule="auto"/>
                    <w:jc w:val="center"/>
                    <w:rPr>
                      <w:rFonts w:ascii="Arial" w:hAnsi="Arial" w:cs="Arial"/>
                      <w:sz w:val="18"/>
                      <w:szCs w:val="18"/>
                    </w:rPr>
                  </w:pPr>
                </w:p>
                <w:p w14:paraId="1421E3A8"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x</w:t>
                  </w:r>
                </w:p>
              </w:tc>
              <w:tc>
                <w:tcPr>
                  <w:tcW w:w="1521" w:type="dxa"/>
                  <w:tcBorders>
                    <w:top w:val="single" w:sz="4" w:space="0" w:color="auto"/>
                    <w:left w:val="single" w:sz="4" w:space="0" w:color="auto"/>
                    <w:bottom w:val="single" w:sz="4" w:space="0" w:color="auto"/>
                    <w:right w:val="single" w:sz="4" w:space="0" w:color="auto"/>
                  </w:tcBorders>
                  <w:hideMark/>
                </w:tcPr>
                <w:p w14:paraId="7327733A"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If clinically indicated</w:t>
                  </w:r>
                </w:p>
              </w:tc>
            </w:tr>
            <w:tr w:rsidR="00097D24" w14:paraId="60EE5E64" w14:textId="77777777" w:rsidTr="006443C5">
              <w:trPr>
                <w:trHeight w:val="276"/>
              </w:trPr>
              <w:tc>
                <w:tcPr>
                  <w:tcW w:w="1982" w:type="dxa"/>
                  <w:tcBorders>
                    <w:top w:val="single" w:sz="4" w:space="0" w:color="auto"/>
                    <w:left w:val="single" w:sz="4" w:space="0" w:color="auto"/>
                    <w:bottom w:val="single" w:sz="4" w:space="0" w:color="auto"/>
                    <w:right w:val="single" w:sz="4" w:space="0" w:color="auto"/>
                  </w:tcBorders>
                </w:tcPr>
                <w:p w14:paraId="0116477E" w14:textId="77777777" w:rsidR="00097D24" w:rsidRDefault="00097D24" w:rsidP="00097D24">
                  <w:pPr>
                    <w:spacing w:after="0" w:line="240" w:lineRule="auto"/>
                    <w:rPr>
                      <w:rFonts w:ascii="Arial" w:hAnsi="Arial" w:cs="Arial"/>
                      <w:sz w:val="18"/>
                      <w:szCs w:val="18"/>
                    </w:rPr>
                  </w:pPr>
                  <w:r>
                    <w:rPr>
                      <w:rFonts w:ascii="Arial" w:hAnsi="Arial" w:cs="Arial"/>
                      <w:sz w:val="18"/>
                      <w:szCs w:val="18"/>
                    </w:rPr>
                    <w:t xml:space="preserve">HIV, </w:t>
                  </w:r>
                </w:p>
                <w:p w14:paraId="4EC16C2A" w14:textId="77777777" w:rsidR="00097D24" w:rsidRDefault="00097D24" w:rsidP="00097D24">
                  <w:pPr>
                    <w:spacing w:after="0" w:line="240" w:lineRule="auto"/>
                    <w:rPr>
                      <w:rFonts w:ascii="Arial" w:hAnsi="Arial" w:cs="Arial"/>
                      <w:sz w:val="18"/>
                      <w:szCs w:val="18"/>
                    </w:rPr>
                  </w:pPr>
                  <w:r>
                    <w:rPr>
                      <w:rFonts w:ascii="Arial" w:hAnsi="Arial" w:cs="Arial"/>
                      <w:sz w:val="18"/>
                      <w:szCs w:val="18"/>
                    </w:rPr>
                    <w:t>Hepatitis B Core Ab &amp; Surface Ag, Hepatitis C serology</w:t>
                  </w:r>
                </w:p>
                <w:p w14:paraId="6D5F545C" w14:textId="77777777" w:rsidR="00097D24" w:rsidRDefault="00097D24" w:rsidP="00097D24">
                  <w:pPr>
                    <w:spacing w:after="0" w:line="240" w:lineRule="auto"/>
                    <w:rPr>
                      <w:rFonts w:ascii="Arial" w:hAnsi="Arial" w:cs="Arial"/>
                      <w:sz w:val="18"/>
                      <w:szCs w:val="18"/>
                    </w:rPr>
                  </w:pPr>
                </w:p>
                <w:p w14:paraId="7D342F33" w14:textId="77777777" w:rsidR="00097D24" w:rsidRDefault="00097D24" w:rsidP="00097D24">
                  <w:pPr>
                    <w:spacing w:after="0" w:line="240" w:lineRule="auto"/>
                    <w:rPr>
                      <w:rFonts w:ascii="Arial" w:hAnsi="Arial" w:cs="Arial"/>
                      <w:sz w:val="18"/>
                      <w:szCs w:val="18"/>
                    </w:rPr>
                  </w:pPr>
                  <w:r>
                    <w:rPr>
                      <w:rFonts w:ascii="Arial" w:hAnsi="Arial" w:cs="Arial"/>
                      <w:sz w:val="18"/>
                      <w:szCs w:val="18"/>
                    </w:rPr>
                    <w:t>VZV serology</w:t>
                  </w:r>
                </w:p>
              </w:tc>
              <w:tc>
                <w:tcPr>
                  <w:tcW w:w="1560" w:type="dxa"/>
                  <w:tcBorders>
                    <w:top w:val="single" w:sz="4" w:space="0" w:color="auto"/>
                    <w:left w:val="single" w:sz="4" w:space="0" w:color="auto"/>
                    <w:bottom w:val="single" w:sz="4" w:space="0" w:color="auto"/>
                    <w:right w:val="single" w:sz="4" w:space="0" w:color="auto"/>
                  </w:tcBorders>
                </w:tcPr>
                <w:p w14:paraId="5603B961" w14:textId="77777777" w:rsidR="00097D24" w:rsidRDefault="00097D24" w:rsidP="00097D24">
                  <w:pPr>
                    <w:spacing w:after="0" w:line="240" w:lineRule="auto"/>
                    <w:jc w:val="center"/>
                    <w:rPr>
                      <w:rFonts w:ascii="Arial" w:hAnsi="Arial" w:cs="Arial"/>
                      <w:sz w:val="18"/>
                      <w:szCs w:val="18"/>
                    </w:rPr>
                  </w:pPr>
                  <w:proofErr w:type="gramStart"/>
                  <w:r>
                    <w:rPr>
                      <w:rFonts w:ascii="Arial" w:hAnsi="Arial" w:cs="Arial"/>
                      <w:sz w:val="18"/>
                      <w:szCs w:val="18"/>
                    </w:rPr>
                    <w:t>Baseline  viral</w:t>
                  </w:r>
                  <w:proofErr w:type="gramEnd"/>
                  <w:r>
                    <w:rPr>
                      <w:rFonts w:ascii="Arial" w:hAnsi="Arial" w:cs="Arial"/>
                      <w:sz w:val="18"/>
                      <w:szCs w:val="18"/>
                    </w:rPr>
                    <w:t xml:space="preserve"> screening</w:t>
                  </w:r>
                </w:p>
                <w:p w14:paraId="67EB8FD5" w14:textId="77777777" w:rsidR="00097D24" w:rsidRDefault="00097D24" w:rsidP="00097D24">
                  <w:pPr>
                    <w:spacing w:after="0" w:line="240" w:lineRule="auto"/>
                    <w:jc w:val="center"/>
                    <w:rPr>
                      <w:rFonts w:ascii="Arial" w:hAnsi="Arial" w:cs="Arial"/>
                      <w:sz w:val="18"/>
                      <w:szCs w:val="18"/>
                    </w:rPr>
                  </w:pPr>
                </w:p>
                <w:p w14:paraId="52F9D72A" w14:textId="77777777" w:rsidR="00097D24" w:rsidRDefault="00097D24" w:rsidP="00097D24">
                  <w:pPr>
                    <w:spacing w:after="0" w:line="240" w:lineRule="auto"/>
                    <w:rPr>
                      <w:rFonts w:ascii="Arial" w:hAnsi="Arial" w:cs="Arial"/>
                      <w:sz w:val="18"/>
                      <w:szCs w:val="18"/>
                    </w:rPr>
                  </w:pPr>
                </w:p>
                <w:p w14:paraId="55C0389A" w14:textId="77777777" w:rsidR="00097D24" w:rsidRDefault="00097D24" w:rsidP="00097D24">
                  <w:pPr>
                    <w:spacing w:after="0" w:line="240" w:lineRule="auto"/>
                    <w:rPr>
                      <w:rFonts w:ascii="Arial" w:hAnsi="Arial" w:cs="Arial"/>
                      <w:sz w:val="18"/>
                      <w:szCs w:val="18"/>
                    </w:rPr>
                  </w:pPr>
                </w:p>
                <w:p w14:paraId="4A485DB0"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Baseline if no history of varicella</w:t>
                  </w:r>
                </w:p>
              </w:tc>
              <w:tc>
                <w:tcPr>
                  <w:tcW w:w="1134" w:type="dxa"/>
                  <w:tcBorders>
                    <w:top w:val="single" w:sz="4" w:space="0" w:color="auto"/>
                    <w:left w:val="single" w:sz="4" w:space="0" w:color="auto"/>
                    <w:bottom w:val="single" w:sz="4" w:space="0" w:color="auto"/>
                    <w:right w:val="single" w:sz="4" w:space="0" w:color="auto"/>
                  </w:tcBorders>
                </w:tcPr>
                <w:p w14:paraId="553EF86F" w14:textId="77777777" w:rsidR="00097D24" w:rsidRDefault="00097D24" w:rsidP="00097D24">
                  <w:pPr>
                    <w:spacing w:after="0" w:line="240" w:lineRule="auto"/>
                    <w:jc w:val="center"/>
                    <w:rPr>
                      <w:rFonts w:ascii="Arial" w:hAnsi="Arial" w:cs="Arial"/>
                      <w:sz w:val="18"/>
                      <w:szCs w:val="18"/>
                    </w:rPr>
                  </w:pPr>
                </w:p>
                <w:p w14:paraId="6BCDAFCF"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sym w:font="Wingdings" w:char="F0FC"/>
                  </w:r>
                </w:p>
              </w:tc>
              <w:tc>
                <w:tcPr>
                  <w:tcW w:w="1134" w:type="dxa"/>
                  <w:tcBorders>
                    <w:top w:val="single" w:sz="4" w:space="0" w:color="auto"/>
                    <w:left w:val="single" w:sz="4" w:space="0" w:color="auto"/>
                    <w:bottom w:val="single" w:sz="4" w:space="0" w:color="auto"/>
                    <w:right w:val="single" w:sz="4" w:space="0" w:color="auto"/>
                  </w:tcBorders>
                </w:tcPr>
                <w:p w14:paraId="4CDE9135" w14:textId="77777777" w:rsidR="00097D24" w:rsidRDefault="00097D24" w:rsidP="00097D24">
                  <w:pPr>
                    <w:spacing w:after="0" w:line="240" w:lineRule="auto"/>
                    <w:jc w:val="center"/>
                    <w:rPr>
                      <w:rFonts w:ascii="Arial" w:hAnsi="Arial" w:cs="Arial"/>
                      <w:sz w:val="18"/>
                      <w:szCs w:val="18"/>
                    </w:rPr>
                  </w:pPr>
                </w:p>
                <w:p w14:paraId="11758595"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x</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4926B1C" w14:textId="77777777" w:rsidR="00097D24" w:rsidRDefault="00097D24" w:rsidP="00097D24">
                  <w:pPr>
                    <w:spacing w:after="0"/>
                    <w:rPr>
                      <w:rFonts w:ascii="Arial" w:hAnsi="Arial" w:cs="Arial"/>
                      <w:sz w:val="18"/>
                      <w:szCs w:val="18"/>
                    </w:rPr>
                  </w:pPr>
                </w:p>
              </w:tc>
              <w:tc>
                <w:tcPr>
                  <w:tcW w:w="1466" w:type="dxa"/>
                  <w:tcBorders>
                    <w:top w:val="single" w:sz="4" w:space="0" w:color="auto"/>
                    <w:left w:val="single" w:sz="4" w:space="0" w:color="auto"/>
                    <w:bottom w:val="single" w:sz="4" w:space="0" w:color="auto"/>
                    <w:right w:val="single" w:sz="4" w:space="0" w:color="auto"/>
                  </w:tcBorders>
                  <w:shd w:val="clear" w:color="auto" w:fill="D9D9D9"/>
                </w:tcPr>
                <w:p w14:paraId="60240409" w14:textId="77777777" w:rsidR="00097D24" w:rsidRDefault="00097D24" w:rsidP="00097D24">
                  <w:pPr>
                    <w:spacing w:after="0" w:line="240" w:lineRule="auto"/>
                    <w:jc w:val="center"/>
                    <w:rPr>
                      <w:rFonts w:ascii="Arial" w:hAnsi="Arial" w:cs="Arial"/>
                      <w:sz w:val="18"/>
                      <w:szCs w:val="18"/>
                    </w:rPr>
                  </w:pPr>
                </w:p>
                <w:p w14:paraId="60BBB891"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x</w:t>
                  </w:r>
                </w:p>
              </w:tc>
              <w:tc>
                <w:tcPr>
                  <w:tcW w:w="1521" w:type="dxa"/>
                  <w:tcBorders>
                    <w:top w:val="single" w:sz="4" w:space="0" w:color="auto"/>
                    <w:left w:val="single" w:sz="4" w:space="0" w:color="auto"/>
                    <w:bottom w:val="single" w:sz="4" w:space="0" w:color="auto"/>
                    <w:right w:val="single" w:sz="4" w:space="0" w:color="auto"/>
                  </w:tcBorders>
                </w:tcPr>
                <w:p w14:paraId="1CA470B7"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If clinically indicated</w:t>
                  </w:r>
                </w:p>
                <w:p w14:paraId="6B84CE61" w14:textId="77777777" w:rsidR="00097D24" w:rsidRDefault="00097D24" w:rsidP="00097D24">
                  <w:pPr>
                    <w:spacing w:after="0" w:line="240" w:lineRule="auto"/>
                    <w:jc w:val="center"/>
                    <w:rPr>
                      <w:rFonts w:ascii="Arial" w:hAnsi="Arial" w:cs="Arial"/>
                      <w:sz w:val="18"/>
                      <w:szCs w:val="18"/>
                    </w:rPr>
                  </w:pPr>
                </w:p>
              </w:tc>
            </w:tr>
            <w:tr w:rsidR="00097D24" w14:paraId="05239DDE" w14:textId="77777777" w:rsidTr="006443C5">
              <w:trPr>
                <w:trHeight w:val="345"/>
              </w:trPr>
              <w:tc>
                <w:tcPr>
                  <w:tcW w:w="1982" w:type="dxa"/>
                  <w:tcBorders>
                    <w:top w:val="single" w:sz="4" w:space="0" w:color="auto"/>
                    <w:left w:val="single" w:sz="4" w:space="0" w:color="auto"/>
                    <w:bottom w:val="single" w:sz="4" w:space="0" w:color="auto"/>
                    <w:right w:val="single" w:sz="4" w:space="0" w:color="auto"/>
                  </w:tcBorders>
                  <w:hideMark/>
                </w:tcPr>
                <w:p w14:paraId="33A8059C" w14:textId="77777777" w:rsidR="00097D24" w:rsidRDefault="00097D24" w:rsidP="00097D24">
                  <w:pPr>
                    <w:spacing w:after="0" w:line="240" w:lineRule="auto"/>
                    <w:rPr>
                      <w:rFonts w:ascii="Arial" w:hAnsi="Arial" w:cs="Arial"/>
                      <w:sz w:val="18"/>
                      <w:szCs w:val="18"/>
                    </w:rPr>
                  </w:pPr>
                  <w:r>
                    <w:rPr>
                      <w:rFonts w:ascii="Arial" w:hAnsi="Arial" w:cs="Arial"/>
                      <w:sz w:val="18"/>
                      <w:szCs w:val="18"/>
                    </w:rPr>
                    <w:t>Chest X-Ray</w:t>
                  </w:r>
                </w:p>
              </w:tc>
              <w:tc>
                <w:tcPr>
                  <w:tcW w:w="1560" w:type="dxa"/>
                  <w:tcBorders>
                    <w:top w:val="single" w:sz="4" w:space="0" w:color="auto"/>
                    <w:left w:val="single" w:sz="4" w:space="0" w:color="auto"/>
                    <w:bottom w:val="single" w:sz="4" w:space="0" w:color="auto"/>
                    <w:right w:val="single" w:sz="4" w:space="0" w:color="auto"/>
                  </w:tcBorders>
                  <w:hideMark/>
                </w:tcPr>
                <w:p w14:paraId="4FEBFEFF"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 xml:space="preserve">Baseline if not done within 6 months in patients with suspected parenchymal lung disease </w:t>
                  </w:r>
                </w:p>
              </w:tc>
              <w:tc>
                <w:tcPr>
                  <w:tcW w:w="1134" w:type="dxa"/>
                  <w:tcBorders>
                    <w:top w:val="single" w:sz="4" w:space="0" w:color="auto"/>
                    <w:left w:val="single" w:sz="4" w:space="0" w:color="auto"/>
                    <w:bottom w:val="single" w:sz="4" w:space="0" w:color="auto"/>
                    <w:right w:val="single" w:sz="4" w:space="0" w:color="auto"/>
                  </w:tcBorders>
                </w:tcPr>
                <w:p w14:paraId="2BA267DC" w14:textId="77777777" w:rsidR="00097D24" w:rsidRDefault="00097D24" w:rsidP="00097D24">
                  <w:pPr>
                    <w:spacing w:after="0" w:line="240" w:lineRule="auto"/>
                    <w:jc w:val="center"/>
                    <w:rPr>
                      <w:rFonts w:ascii="Arial" w:hAnsi="Arial" w:cs="Arial"/>
                      <w:sz w:val="18"/>
                      <w:szCs w:val="18"/>
                    </w:rPr>
                  </w:pPr>
                </w:p>
                <w:p w14:paraId="107739FE"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sym w:font="Wingdings" w:char="F0FC"/>
                  </w:r>
                </w:p>
              </w:tc>
              <w:tc>
                <w:tcPr>
                  <w:tcW w:w="1134" w:type="dxa"/>
                  <w:tcBorders>
                    <w:top w:val="single" w:sz="4" w:space="0" w:color="auto"/>
                    <w:left w:val="single" w:sz="4" w:space="0" w:color="auto"/>
                    <w:bottom w:val="single" w:sz="4" w:space="0" w:color="auto"/>
                    <w:right w:val="single" w:sz="4" w:space="0" w:color="auto"/>
                  </w:tcBorders>
                  <w:hideMark/>
                </w:tcPr>
                <w:p w14:paraId="48F87B4C"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If clinically indicated</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F9EEB05" w14:textId="77777777" w:rsidR="00097D24" w:rsidRDefault="00097D24" w:rsidP="00097D24">
                  <w:pPr>
                    <w:spacing w:after="0"/>
                    <w:rPr>
                      <w:rFonts w:ascii="Arial" w:hAnsi="Arial" w:cs="Arial"/>
                      <w:sz w:val="18"/>
                      <w:szCs w:val="18"/>
                    </w:rPr>
                  </w:pPr>
                </w:p>
              </w:tc>
              <w:tc>
                <w:tcPr>
                  <w:tcW w:w="1466" w:type="dxa"/>
                  <w:tcBorders>
                    <w:top w:val="single" w:sz="4" w:space="0" w:color="auto"/>
                    <w:left w:val="single" w:sz="4" w:space="0" w:color="auto"/>
                    <w:bottom w:val="single" w:sz="4" w:space="0" w:color="auto"/>
                    <w:right w:val="single" w:sz="4" w:space="0" w:color="auto"/>
                  </w:tcBorders>
                  <w:shd w:val="clear" w:color="auto" w:fill="D9D9D9"/>
                  <w:hideMark/>
                </w:tcPr>
                <w:p w14:paraId="0EAB2BE9"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If clinically indicated</w:t>
                  </w:r>
                </w:p>
              </w:tc>
              <w:tc>
                <w:tcPr>
                  <w:tcW w:w="1521" w:type="dxa"/>
                  <w:tcBorders>
                    <w:top w:val="single" w:sz="4" w:space="0" w:color="auto"/>
                    <w:left w:val="single" w:sz="4" w:space="0" w:color="auto"/>
                    <w:bottom w:val="single" w:sz="4" w:space="0" w:color="auto"/>
                    <w:right w:val="single" w:sz="4" w:space="0" w:color="auto"/>
                  </w:tcBorders>
                  <w:hideMark/>
                </w:tcPr>
                <w:p w14:paraId="57C03E51"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If clinically indicated</w:t>
                  </w:r>
                </w:p>
              </w:tc>
            </w:tr>
            <w:tr w:rsidR="00C56C9B" w14:paraId="5A3EA3E9" w14:textId="77777777" w:rsidTr="006432DE">
              <w:trPr>
                <w:trHeight w:val="1028"/>
              </w:trPr>
              <w:tc>
                <w:tcPr>
                  <w:tcW w:w="1982" w:type="dxa"/>
                  <w:tcBorders>
                    <w:top w:val="single" w:sz="4" w:space="0" w:color="auto"/>
                    <w:left w:val="single" w:sz="4" w:space="0" w:color="auto"/>
                    <w:bottom w:val="single" w:sz="4" w:space="0" w:color="auto"/>
                    <w:right w:val="single" w:sz="4" w:space="0" w:color="auto"/>
                  </w:tcBorders>
                  <w:hideMark/>
                </w:tcPr>
                <w:p w14:paraId="426C0B77" w14:textId="77777777" w:rsidR="00C56C9B" w:rsidRDefault="00C56C9B" w:rsidP="00097D24">
                  <w:pPr>
                    <w:spacing w:after="0" w:line="240" w:lineRule="auto"/>
                    <w:rPr>
                      <w:rFonts w:ascii="Arial" w:hAnsi="Arial" w:cs="Arial"/>
                      <w:sz w:val="18"/>
                      <w:szCs w:val="18"/>
                    </w:rPr>
                  </w:pPr>
                  <w:r>
                    <w:rPr>
                      <w:rFonts w:ascii="Arial" w:hAnsi="Arial" w:cs="Arial"/>
                      <w:sz w:val="18"/>
                      <w:szCs w:val="18"/>
                    </w:rPr>
                    <w:t>Lung function tests</w:t>
                  </w:r>
                </w:p>
                <w:p w14:paraId="4600A873" w14:textId="77777777" w:rsidR="00C56C9B" w:rsidRDefault="00C56C9B" w:rsidP="00097D24">
                  <w:pPr>
                    <w:spacing w:after="0" w:line="240" w:lineRule="auto"/>
                    <w:rPr>
                      <w:rFonts w:ascii="Arial" w:hAnsi="Arial" w:cs="Arial"/>
                      <w:sz w:val="18"/>
                      <w:szCs w:val="18"/>
                    </w:rPr>
                  </w:pPr>
                  <w:r>
                    <w:rPr>
                      <w:rFonts w:ascii="Arial" w:hAnsi="Arial" w:cs="Arial"/>
                      <w:sz w:val="18"/>
                      <w:szCs w:val="18"/>
                    </w:rPr>
                    <w:t>+/-</w:t>
                  </w:r>
                </w:p>
                <w:p w14:paraId="224B23EA" w14:textId="77777777" w:rsidR="00C56C9B" w:rsidRDefault="00C56C9B" w:rsidP="00097D24">
                  <w:pPr>
                    <w:spacing w:after="0" w:line="240" w:lineRule="auto"/>
                    <w:rPr>
                      <w:rFonts w:ascii="Arial" w:hAnsi="Arial" w:cs="Arial"/>
                      <w:sz w:val="18"/>
                      <w:szCs w:val="18"/>
                    </w:rPr>
                  </w:pPr>
                  <w:r>
                    <w:rPr>
                      <w:rFonts w:ascii="Arial" w:hAnsi="Arial" w:cs="Arial"/>
                      <w:sz w:val="18"/>
                      <w:szCs w:val="18"/>
                    </w:rPr>
                    <w:t>HRCT chest</w:t>
                  </w:r>
                </w:p>
                <w:p w14:paraId="37AD7D35" w14:textId="77777777" w:rsidR="00C56C9B" w:rsidRDefault="00C56C9B" w:rsidP="00097D24">
                  <w:pPr>
                    <w:spacing w:after="0" w:line="240" w:lineRule="auto"/>
                    <w:rPr>
                      <w:rFonts w:ascii="Arial" w:hAnsi="Arial" w:cs="Arial"/>
                      <w:sz w:val="18"/>
                      <w:szCs w:val="18"/>
                    </w:rPr>
                  </w:pPr>
                  <w:r>
                    <w:rPr>
                      <w:rFonts w:ascii="Arial" w:hAnsi="Arial" w:cs="Arial"/>
                      <w:sz w:val="18"/>
                      <w:szCs w:val="18"/>
                    </w:rPr>
                    <w:t>(rheumatology patients only)</w:t>
                  </w:r>
                </w:p>
              </w:tc>
              <w:tc>
                <w:tcPr>
                  <w:tcW w:w="1560" w:type="dxa"/>
                  <w:tcBorders>
                    <w:top w:val="single" w:sz="4" w:space="0" w:color="auto"/>
                    <w:left w:val="single" w:sz="4" w:space="0" w:color="auto"/>
                    <w:bottom w:val="single" w:sz="4" w:space="0" w:color="auto"/>
                    <w:right w:val="single" w:sz="4" w:space="0" w:color="auto"/>
                  </w:tcBorders>
                  <w:hideMark/>
                </w:tcPr>
                <w:p w14:paraId="15A932BF" w14:textId="77777777" w:rsidR="00C56C9B" w:rsidRDefault="00C56C9B" w:rsidP="00097D24">
                  <w:pPr>
                    <w:spacing w:after="0" w:line="240" w:lineRule="auto"/>
                    <w:jc w:val="center"/>
                    <w:rPr>
                      <w:rFonts w:ascii="Arial" w:hAnsi="Arial" w:cs="Arial"/>
                      <w:sz w:val="18"/>
                      <w:szCs w:val="18"/>
                    </w:rPr>
                  </w:pPr>
                  <w:r>
                    <w:rPr>
                      <w:rFonts w:ascii="Arial" w:hAnsi="Arial" w:cs="Arial"/>
                      <w:sz w:val="18"/>
                      <w:szCs w:val="18"/>
                    </w:rPr>
                    <w:t xml:space="preserve">Baseline if suspicion of underlying </w:t>
                  </w:r>
                  <w:proofErr w:type="gramStart"/>
                  <w:r>
                    <w:rPr>
                      <w:rFonts w:ascii="Arial" w:hAnsi="Arial" w:cs="Arial"/>
                      <w:sz w:val="18"/>
                      <w:szCs w:val="18"/>
                    </w:rPr>
                    <w:t>parenchymal  lung</w:t>
                  </w:r>
                  <w:proofErr w:type="gramEnd"/>
                  <w:r>
                    <w:rPr>
                      <w:rFonts w:ascii="Arial" w:hAnsi="Arial" w:cs="Arial"/>
                      <w:sz w:val="18"/>
                      <w:szCs w:val="18"/>
                    </w:rPr>
                    <w:t xml:space="preserve"> disease</w:t>
                  </w:r>
                </w:p>
              </w:tc>
              <w:tc>
                <w:tcPr>
                  <w:tcW w:w="1134" w:type="dxa"/>
                  <w:tcBorders>
                    <w:top w:val="single" w:sz="4" w:space="0" w:color="auto"/>
                    <w:left w:val="single" w:sz="4" w:space="0" w:color="auto"/>
                    <w:bottom w:val="single" w:sz="4" w:space="0" w:color="auto"/>
                    <w:right w:val="single" w:sz="4" w:space="0" w:color="auto"/>
                  </w:tcBorders>
                </w:tcPr>
                <w:p w14:paraId="170C90B9" w14:textId="77777777" w:rsidR="00C56C9B" w:rsidRDefault="00C56C9B" w:rsidP="00097D24">
                  <w:pPr>
                    <w:spacing w:after="0" w:line="240" w:lineRule="auto"/>
                    <w:jc w:val="center"/>
                    <w:rPr>
                      <w:rFonts w:ascii="Arial" w:hAnsi="Arial" w:cs="Arial"/>
                      <w:sz w:val="18"/>
                      <w:szCs w:val="18"/>
                    </w:rPr>
                  </w:pPr>
                </w:p>
                <w:p w14:paraId="5818B9AF" w14:textId="77777777" w:rsidR="00C56C9B" w:rsidRDefault="00C56C9B" w:rsidP="00097D24">
                  <w:pPr>
                    <w:spacing w:after="0" w:line="240" w:lineRule="auto"/>
                    <w:jc w:val="center"/>
                    <w:rPr>
                      <w:rFonts w:ascii="Arial" w:hAnsi="Arial" w:cs="Arial"/>
                      <w:sz w:val="18"/>
                      <w:szCs w:val="18"/>
                    </w:rPr>
                  </w:pPr>
                  <w:r>
                    <w:rPr>
                      <w:rFonts w:ascii="Arial" w:hAnsi="Arial" w:cs="Arial"/>
                      <w:sz w:val="18"/>
                      <w:szCs w:val="18"/>
                    </w:rPr>
                    <w:sym w:font="Wingdings" w:char="F0FC"/>
                  </w:r>
                </w:p>
              </w:tc>
              <w:tc>
                <w:tcPr>
                  <w:tcW w:w="1134" w:type="dxa"/>
                  <w:tcBorders>
                    <w:top w:val="single" w:sz="4" w:space="0" w:color="auto"/>
                    <w:left w:val="single" w:sz="4" w:space="0" w:color="auto"/>
                    <w:bottom w:val="single" w:sz="4" w:space="0" w:color="auto"/>
                    <w:right w:val="single" w:sz="4" w:space="0" w:color="auto"/>
                  </w:tcBorders>
                  <w:hideMark/>
                </w:tcPr>
                <w:p w14:paraId="47985C6B" w14:textId="77777777" w:rsidR="00C56C9B" w:rsidRDefault="00C56C9B" w:rsidP="00097D24">
                  <w:pPr>
                    <w:spacing w:after="0" w:line="240" w:lineRule="auto"/>
                    <w:jc w:val="center"/>
                    <w:rPr>
                      <w:rFonts w:ascii="Arial" w:hAnsi="Arial" w:cs="Arial"/>
                      <w:sz w:val="18"/>
                      <w:szCs w:val="18"/>
                    </w:rPr>
                  </w:pPr>
                  <w:r>
                    <w:rPr>
                      <w:rFonts w:ascii="Arial" w:hAnsi="Arial" w:cs="Arial"/>
                      <w:sz w:val="18"/>
                      <w:szCs w:val="18"/>
                    </w:rPr>
                    <w:t>If clinically indicated</w:t>
                  </w:r>
                </w:p>
              </w:tc>
              <w:tc>
                <w:tcPr>
                  <w:tcW w:w="1418" w:type="dxa"/>
                  <w:vMerge w:val="restart"/>
                  <w:tcBorders>
                    <w:top w:val="single" w:sz="4" w:space="0" w:color="auto"/>
                    <w:left w:val="single" w:sz="4" w:space="0" w:color="auto"/>
                    <w:right w:val="single" w:sz="4" w:space="0" w:color="auto"/>
                  </w:tcBorders>
                  <w:shd w:val="clear" w:color="auto" w:fill="FFFFFF" w:themeFill="background1"/>
                </w:tcPr>
                <w:p w14:paraId="3B1E59A6" w14:textId="77777777" w:rsidR="00C56C9B" w:rsidRDefault="00C56C9B" w:rsidP="00097D24">
                  <w:pPr>
                    <w:spacing w:after="0" w:line="240" w:lineRule="auto"/>
                    <w:jc w:val="center"/>
                    <w:rPr>
                      <w:rFonts w:ascii="Arial" w:hAnsi="Arial" w:cs="Arial"/>
                      <w:sz w:val="18"/>
                      <w:szCs w:val="18"/>
                    </w:rPr>
                  </w:pPr>
                </w:p>
                <w:p w14:paraId="16621AE9" w14:textId="77777777" w:rsidR="00C56C9B" w:rsidRDefault="00C56C9B" w:rsidP="00097D24">
                  <w:pPr>
                    <w:spacing w:after="0" w:line="240" w:lineRule="auto"/>
                    <w:jc w:val="center"/>
                    <w:rPr>
                      <w:rFonts w:ascii="Arial" w:hAnsi="Arial" w:cs="Arial"/>
                      <w:sz w:val="18"/>
                      <w:szCs w:val="18"/>
                    </w:rPr>
                  </w:pPr>
                </w:p>
              </w:tc>
              <w:tc>
                <w:tcPr>
                  <w:tcW w:w="1466" w:type="dxa"/>
                  <w:tcBorders>
                    <w:top w:val="single" w:sz="4" w:space="0" w:color="auto"/>
                    <w:left w:val="single" w:sz="4" w:space="0" w:color="auto"/>
                    <w:bottom w:val="single" w:sz="4" w:space="0" w:color="auto"/>
                    <w:right w:val="single" w:sz="4" w:space="0" w:color="auto"/>
                  </w:tcBorders>
                  <w:shd w:val="clear" w:color="auto" w:fill="D9D9D9"/>
                </w:tcPr>
                <w:p w14:paraId="4CAF1BCF" w14:textId="77777777" w:rsidR="00C56C9B" w:rsidRDefault="00C56C9B" w:rsidP="00097D24">
                  <w:pPr>
                    <w:spacing w:after="0" w:line="240" w:lineRule="auto"/>
                    <w:jc w:val="center"/>
                    <w:rPr>
                      <w:rFonts w:ascii="Arial" w:hAnsi="Arial" w:cs="Arial"/>
                      <w:sz w:val="18"/>
                      <w:szCs w:val="18"/>
                    </w:rPr>
                  </w:pPr>
                </w:p>
                <w:p w14:paraId="74CAB2C1" w14:textId="77777777" w:rsidR="00C56C9B" w:rsidRDefault="00C56C9B" w:rsidP="00097D24">
                  <w:pPr>
                    <w:spacing w:after="0" w:line="240" w:lineRule="auto"/>
                    <w:jc w:val="center"/>
                    <w:rPr>
                      <w:rFonts w:ascii="Arial" w:hAnsi="Arial" w:cs="Arial"/>
                      <w:sz w:val="18"/>
                      <w:szCs w:val="18"/>
                    </w:rPr>
                  </w:pPr>
                  <w:r>
                    <w:rPr>
                      <w:rFonts w:ascii="Arial" w:hAnsi="Arial" w:cs="Arial"/>
                      <w:sz w:val="18"/>
                      <w:szCs w:val="18"/>
                    </w:rPr>
                    <w:t>x</w:t>
                  </w:r>
                </w:p>
              </w:tc>
              <w:tc>
                <w:tcPr>
                  <w:tcW w:w="1521" w:type="dxa"/>
                  <w:tcBorders>
                    <w:top w:val="single" w:sz="4" w:space="0" w:color="auto"/>
                    <w:left w:val="single" w:sz="4" w:space="0" w:color="auto"/>
                    <w:bottom w:val="single" w:sz="4" w:space="0" w:color="auto"/>
                    <w:right w:val="single" w:sz="4" w:space="0" w:color="auto"/>
                  </w:tcBorders>
                  <w:hideMark/>
                </w:tcPr>
                <w:p w14:paraId="1F389F29" w14:textId="77777777" w:rsidR="00C56C9B" w:rsidRDefault="00C56C9B" w:rsidP="00097D24">
                  <w:pPr>
                    <w:spacing w:after="0" w:line="240" w:lineRule="auto"/>
                    <w:jc w:val="center"/>
                    <w:rPr>
                      <w:rFonts w:ascii="Arial" w:hAnsi="Arial" w:cs="Arial"/>
                      <w:sz w:val="18"/>
                      <w:szCs w:val="18"/>
                    </w:rPr>
                  </w:pPr>
                  <w:r>
                    <w:rPr>
                      <w:rFonts w:ascii="Arial" w:hAnsi="Arial" w:cs="Arial"/>
                      <w:sz w:val="18"/>
                      <w:szCs w:val="18"/>
                    </w:rPr>
                    <w:t>If clinically indicated</w:t>
                  </w:r>
                </w:p>
              </w:tc>
            </w:tr>
            <w:tr w:rsidR="00C56C9B" w14:paraId="162E5B26" w14:textId="77777777" w:rsidTr="006432DE">
              <w:trPr>
                <w:trHeight w:val="972"/>
              </w:trPr>
              <w:tc>
                <w:tcPr>
                  <w:tcW w:w="1982" w:type="dxa"/>
                  <w:tcBorders>
                    <w:top w:val="single" w:sz="4" w:space="0" w:color="auto"/>
                    <w:left w:val="single" w:sz="4" w:space="0" w:color="auto"/>
                    <w:bottom w:val="single" w:sz="4" w:space="0" w:color="auto"/>
                    <w:right w:val="single" w:sz="4" w:space="0" w:color="auto"/>
                  </w:tcBorders>
                  <w:hideMark/>
                </w:tcPr>
                <w:p w14:paraId="30230E71" w14:textId="77777777" w:rsidR="00C56C9B" w:rsidRDefault="00C56C9B" w:rsidP="00097D24">
                  <w:pPr>
                    <w:spacing w:after="0" w:line="240" w:lineRule="auto"/>
                    <w:rPr>
                      <w:rFonts w:ascii="Arial" w:hAnsi="Arial" w:cs="Arial"/>
                      <w:sz w:val="18"/>
                      <w:szCs w:val="18"/>
                    </w:rPr>
                  </w:pPr>
                  <w:r>
                    <w:rPr>
                      <w:rFonts w:ascii="Arial" w:hAnsi="Arial" w:cs="Arial"/>
                      <w:sz w:val="18"/>
                      <w:szCs w:val="18"/>
                    </w:rPr>
                    <w:t xml:space="preserve">Pregnancy screening (via test or </w:t>
                  </w:r>
                  <w:proofErr w:type="gramStart"/>
                  <w:r>
                    <w:rPr>
                      <w:rFonts w:ascii="Arial" w:hAnsi="Arial" w:cs="Arial"/>
                      <w:sz w:val="18"/>
                      <w:szCs w:val="18"/>
                    </w:rPr>
                    <w:t>questioning)  for</w:t>
                  </w:r>
                  <w:proofErr w:type="gramEnd"/>
                  <w:r>
                    <w:rPr>
                      <w:rFonts w:ascii="Arial" w:hAnsi="Arial" w:cs="Arial"/>
                      <w:sz w:val="18"/>
                      <w:szCs w:val="18"/>
                    </w:rPr>
                    <w:t xml:space="preserve"> females of child bearing age </w:t>
                  </w:r>
                </w:p>
              </w:tc>
              <w:tc>
                <w:tcPr>
                  <w:tcW w:w="1560" w:type="dxa"/>
                  <w:tcBorders>
                    <w:top w:val="single" w:sz="4" w:space="0" w:color="auto"/>
                    <w:left w:val="single" w:sz="4" w:space="0" w:color="auto"/>
                    <w:bottom w:val="single" w:sz="4" w:space="0" w:color="auto"/>
                    <w:right w:val="single" w:sz="4" w:space="0" w:color="auto"/>
                  </w:tcBorders>
                  <w:hideMark/>
                </w:tcPr>
                <w:p w14:paraId="4BEDD500" w14:textId="77777777" w:rsidR="00C56C9B" w:rsidRDefault="00C56C9B" w:rsidP="00097D24">
                  <w:pPr>
                    <w:spacing w:after="0" w:line="240" w:lineRule="auto"/>
                    <w:jc w:val="center"/>
                    <w:rPr>
                      <w:rFonts w:ascii="Arial" w:hAnsi="Arial" w:cs="Arial"/>
                      <w:sz w:val="18"/>
                      <w:szCs w:val="18"/>
                    </w:rPr>
                  </w:pPr>
                  <w:r>
                    <w:rPr>
                      <w:rFonts w:ascii="Arial" w:hAnsi="Arial" w:cs="Arial"/>
                      <w:sz w:val="18"/>
                      <w:szCs w:val="18"/>
                    </w:rPr>
                    <w:t>Baseline assessment</w:t>
                  </w:r>
                </w:p>
              </w:tc>
              <w:tc>
                <w:tcPr>
                  <w:tcW w:w="1134" w:type="dxa"/>
                  <w:tcBorders>
                    <w:top w:val="single" w:sz="4" w:space="0" w:color="auto"/>
                    <w:left w:val="single" w:sz="4" w:space="0" w:color="auto"/>
                    <w:bottom w:val="single" w:sz="4" w:space="0" w:color="auto"/>
                    <w:right w:val="single" w:sz="4" w:space="0" w:color="auto"/>
                  </w:tcBorders>
                </w:tcPr>
                <w:p w14:paraId="7E113391" w14:textId="77777777" w:rsidR="00C56C9B" w:rsidRDefault="00C56C9B" w:rsidP="00097D24">
                  <w:pPr>
                    <w:spacing w:after="0" w:line="240" w:lineRule="auto"/>
                    <w:jc w:val="center"/>
                    <w:rPr>
                      <w:rFonts w:ascii="Arial" w:hAnsi="Arial" w:cs="Arial"/>
                      <w:sz w:val="18"/>
                      <w:szCs w:val="18"/>
                    </w:rPr>
                  </w:pPr>
                </w:p>
                <w:p w14:paraId="74F44852" w14:textId="77777777" w:rsidR="00C56C9B" w:rsidRDefault="00C56C9B" w:rsidP="00097D24">
                  <w:pPr>
                    <w:spacing w:after="0" w:line="240" w:lineRule="auto"/>
                    <w:jc w:val="center"/>
                    <w:rPr>
                      <w:rFonts w:ascii="Arial" w:hAnsi="Arial" w:cs="Arial"/>
                      <w:sz w:val="18"/>
                      <w:szCs w:val="18"/>
                    </w:rPr>
                  </w:pPr>
                  <w:r>
                    <w:rPr>
                      <w:rFonts w:ascii="Wingdings" w:hAnsi="Wingdings"/>
                      <w:sz w:val="18"/>
                      <w:szCs w:val="18"/>
                    </w:rPr>
                    <w:t>ü</w:t>
                  </w:r>
                </w:p>
              </w:tc>
              <w:tc>
                <w:tcPr>
                  <w:tcW w:w="1134" w:type="dxa"/>
                  <w:tcBorders>
                    <w:top w:val="single" w:sz="4" w:space="0" w:color="auto"/>
                    <w:left w:val="single" w:sz="4" w:space="0" w:color="auto"/>
                    <w:bottom w:val="single" w:sz="4" w:space="0" w:color="auto"/>
                    <w:right w:val="single" w:sz="4" w:space="0" w:color="auto"/>
                  </w:tcBorders>
                </w:tcPr>
                <w:p w14:paraId="5A875B5D" w14:textId="77777777" w:rsidR="00C56C9B" w:rsidRDefault="00C56C9B" w:rsidP="00097D24">
                  <w:pPr>
                    <w:spacing w:after="0" w:line="240" w:lineRule="auto"/>
                    <w:jc w:val="center"/>
                    <w:rPr>
                      <w:rFonts w:ascii="Arial" w:hAnsi="Arial" w:cs="Arial"/>
                      <w:sz w:val="18"/>
                      <w:szCs w:val="18"/>
                    </w:rPr>
                  </w:pPr>
                </w:p>
                <w:p w14:paraId="15C8D614" w14:textId="77777777" w:rsidR="00C56C9B" w:rsidRDefault="00C56C9B" w:rsidP="00097D24">
                  <w:pPr>
                    <w:spacing w:after="0" w:line="240" w:lineRule="auto"/>
                    <w:jc w:val="center"/>
                    <w:rPr>
                      <w:rFonts w:ascii="Arial" w:hAnsi="Arial" w:cs="Arial"/>
                      <w:sz w:val="18"/>
                      <w:szCs w:val="18"/>
                    </w:rPr>
                  </w:pPr>
                  <w:r>
                    <w:rPr>
                      <w:rFonts w:ascii="Arial" w:hAnsi="Arial" w:cs="Arial"/>
                      <w:sz w:val="18"/>
                      <w:szCs w:val="18"/>
                    </w:rPr>
                    <w:t>x</w:t>
                  </w:r>
                </w:p>
                <w:p w14:paraId="54C98831" w14:textId="77777777" w:rsidR="00C56C9B" w:rsidRDefault="00C56C9B" w:rsidP="00097D24">
                  <w:pPr>
                    <w:spacing w:after="0" w:line="240" w:lineRule="auto"/>
                    <w:jc w:val="center"/>
                    <w:rPr>
                      <w:rFonts w:ascii="Arial" w:hAnsi="Arial" w:cs="Arial"/>
                      <w:sz w:val="18"/>
                      <w:szCs w:val="18"/>
                    </w:rPr>
                  </w:pPr>
                </w:p>
              </w:tc>
              <w:tc>
                <w:tcPr>
                  <w:tcW w:w="1418" w:type="dxa"/>
                  <w:vMerge/>
                  <w:tcBorders>
                    <w:left w:val="single" w:sz="4" w:space="0" w:color="auto"/>
                    <w:bottom w:val="single" w:sz="4" w:space="0" w:color="auto"/>
                    <w:right w:val="single" w:sz="4" w:space="0" w:color="auto"/>
                  </w:tcBorders>
                  <w:shd w:val="clear" w:color="auto" w:fill="FFFFFF" w:themeFill="background1"/>
                  <w:vAlign w:val="center"/>
                  <w:hideMark/>
                </w:tcPr>
                <w:p w14:paraId="527AB237" w14:textId="77777777" w:rsidR="00C56C9B" w:rsidRDefault="00C56C9B" w:rsidP="00097D24">
                  <w:pPr>
                    <w:spacing w:after="0"/>
                    <w:rPr>
                      <w:rFonts w:ascii="Arial" w:hAnsi="Arial" w:cs="Arial"/>
                      <w:sz w:val="18"/>
                      <w:szCs w:val="18"/>
                    </w:rPr>
                  </w:pPr>
                </w:p>
              </w:tc>
              <w:tc>
                <w:tcPr>
                  <w:tcW w:w="1466" w:type="dxa"/>
                  <w:tcBorders>
                    <w:top w:val="single" w:sz="4" w:space="0" w:color="auto"/>
                    <w:left w:val="single" w:sz="4" w:space="0" w:color="auto"/>
                    <w:bottom w:val="single" w:sz="4" w:space="0" w:color="auto"/>
                    <w:right w:val="single" w:sz="4" w:space="0" w:color="auto"/>
                  </w:tcBorders>
                  <w:shd w:val="clear" w:color="auto" w:fill="D9D9D9"/>
                </w:tcPr>
                <w:p w14:paraId="4813CFD5" w14:textId="77777777" w:rsidR="00C56C9B" w:rsidRDefault="00C56C9B" w:rsidP="00097D24">
                  <w:pPr>
                    <w:spacing w:after="0" w:line="240" w:lineRule="auto"/>
                    <w:jc w:val="center"/>
                    <w:rPr>
                      <w:rFonts w:ascii="Arial" w:hAnsi="Arial" w:cs="Arial"/>
                      <w:sz w:val="18"/>
                      <w:szCs w:val="18"/>
                    </w:rPr>
                  </w:pPr>
                </w:p>
                <w:p w14:paraId="3B18EEC7" w14:textId="77777777" w:rsidR="00C56C9B" w:rsidRDefault="00C56C9B" w:rsidP="00097D24">
                  <w:pPr>
                    <w:spacing w:after="0" w:line="240" w:lineRule="auto"/>
                    <w:jc w:val="center"/>
                    <w:rPr>
                      <w:rFonts w:ascii="Arial" w:hAnsi="Arial" w:cs="Arial"/>
                      <w:sz w:val="18"/>
                      <w:szCs w:val="18"/>
                    </w:rPr>
                  </w:pPr>
                  <w:r>
                    <w:rPr>
                      <w:rFonts w:ascii="Arial" w:hAnsi="Arial" w:cs="Arial"/>
                      <w:sz w:val="18"/>
                      <w:szCs w:val="18"/>
                    </w:rPr>
                    <w:t>x</w:t>
                  </w:r>
                </w:p>
              </w:tc>
              <w:tc>
                <w:tcPr>
                  <w:tcW w:w="1521" w:type="dxa"/>
                  <w:tcBorders>
                    <w:top w:val="single" w:sz="4" w:space="0" w:color="auto"/>
                    <w:left w:val="single" w:sz="4" w:space="0" w:color="auto"/>
                    <w:bottom w:val="single" w:sz="4" w:space="0" w:color="auto"/>
                    <w:right w:val="single" w:sz="4" w:space="0" w:color="auto"/>
                  </w:tcBorders>
                </w:tcPr>
                <w:p w14:paraId="468D1E50" w14:textId="77777777" w:rsidR="00C56C9B" w:rsidRDefault="00C56C9B" w:rsidP="00097D24">
                  <w:pPr>
                    <w:spacing w:after="0" w:line="240" w:lineRule="auto"/>
                    <w:jc w:val="center"/>
                    <w:rPr>
                      <w:rFonts w:ascii="Arial" w:hAnsi="Arial" w:cs="Arial"/>
                      <w:sz w:val="18"/>
                      <w:szCs w:val="18"/>
                    </w:rPr>
                  </w:pPr>
                </w:p>
                <w:p w14:paraId="2ED0AA9F" w14:textId="77777777" w:rsidR="00C56C9B" w:rsidRDefault="00C56C9B" w:rsidP="00097D24">
                  <w:pPr>
                    <w:spacing w:after="0" w:line="240" w:lineRule="auto"/>
                    <w:jc w:val="center"/>
                    <w:rPr>
                      <w:rFonts w:ascii="Arial" w:hAnsi="Arial" w:cs="Arial"/>
                      <w:sz w:val="18"/>
                      <w:szCs w:val="18"/>
                    </w:rPr>
                  </w:pPr>
                  <w:r>
                    <w:rPr>
                      <w:rFonts w:ascii="Arial" w:hAnsi="Arial" w:cs="Arial"/>
                      <w:sz w:val="18"/>
                      <w:szCs w:val="18"/>
                    </w:rPr>
                    <w:t>x</w:t>
                  </w:r>
                </w:p>
              </w:tc>
            </w:tr>
            <w:tr w:rsidR="00C56C9B" w14:paraId="6A87DE91" w14:textId="77777777" w:rsidTr="00201391">
              <w:trPr>
                <w:trHeight w:val="1366"/>
              </w:trPr>
              <w:tc>
                <w:tcPr>
                  <w:tcW w:w="1982" w:type="dxa"/>
                  <w:tcBorders>
                    <w:top w:val="single" w:sz="4" w:space="0" w:color="auto"/>
                    <w:left w:val="single" w:sz="4" w:space="0" w:color="auto"/>
                    <w:bottom w:val="single" w:sz="4" w:space="0" w:color="auto"/>
                    <w:right w:val="single" w:sz="4" w:space="0" w:color="auto"/>
                  </w:tcBorders>
                  <w:hideMark/>
                </w:tcPr>
                <w:p w14:paraId="0B6B7BED" w14:textId="0E28A423" w:rsidR="00C56C9B" w:rsidRDefault="00C56C9B" w:rsidP="00097D24">
                  <w:pPr>
                    <w:spacing w:after="0"/>
                    <w:rPr>
                      <w:rFonts w:ascii="Arial" w:hAnsi="Arial" w:cs="Arial"/>
                      <w:sz w:val="18"/>
                      <w:szCs w:val="18"/>
                    </w:rPr>
                  </w:pPr>
                  <w:r>
                    <w:rPr>
                      <w:rFonts w:ascii="Arial" w:hAnsi="Arial" w:cs="Arial"/>
                      <w:sz w:val="18"/>
                      <w:szCs w:val="18"/>
                    </w:rPr>
                    <w:t>Blood test for Procollagen III peptide level (P3NP) *** or Fibroscan</w:t>
                  </w:r>
                </w:p>
                <w:p w14:paraId="357DF2A3" w14:textId="77777777" w:rsidR="00C56C9B" w:rsidRDefault="00C56C9B" w:rsidP="00097D24">
                  <w:pPr>
                    <w:spacing w:after="0"/>
                    <w:rPr>
                      <w:rFonts w:ascii="Arial" w:hAnsi="Arial" w:cs="Arial"/>
                      <w:b/>
                      <w:sz w:val="18"/>
                      <w:szCs w:val="18"/>
                    </w:rPr>
                  </w:pPr>
                  <w:r>
                    <w:rPr>
                      <w:rFonts w:ascii="Arial" w:hAnsi="Arial" w:cs="Arial"/>
                      <w:b/>
                      <w:sz w:val="18"/>
                      <w:szCs w:val="18"/>
                    </w:rPr>
                    <w:t>(dermatology patients only)</w:t>
                  </w:r>
                </w:p>
              </w:tc>
              <w:tc>
                <w:tcPr>
                  <w:tcW w:w="8233" w:type="dxa"/>
                  <w:gridSpan w:val="6"/>
                  <w:tcBorders>
                    <w:top w:val="single" w:sz="4" w:space="0" w:color="auto"/>
                    <w:left w:val="single" w:sz="4" w:space="0" w:color="auto"/>
                    <w:bottom w:val="single" w:sz="4" w:space="0" w:color="auto"/>
                    <w:right w:val="single" w:sz="4" w:space="0" w:color="auto"/>
                  </w:tcBorders>
                  <w:vAlign w:val="center"/>
                  <w:hideMark/>
                </w:tcPr>
                <w:p w14:paraId="2B9B66CF" w14:textId="6E22E134" w:rsidR="00C56C9B" w:rsidRDefault="00C56C9B" w:rsidP="00201391">
                  <w:pPr>
                    <w:spacing w:after="0" w:line="240" w:lineRule="auto"/>
                    <w:jc w:val="center"/>
                    <w:rPr>
                      <w:rFonts w:ascii="Arial" w:hAnsi="Arial" w:cs="Arial"/>
                      <w:sz w:val="18"/>
                      <w:szCs w:val="18"/>
                    </w:rPr>
                  </w:pPr>
                  <w:r>
                    <w:rPr>
                      <w:rFonts w:ascii="Arial" w:hAnsi="Arial" w:cs="Arial"/>
                      <w:sz w:val="18"/>
                      <w:szCs w:val="18"/>
                    </w:rPr>
                    <w:t>Baseline assessment and ongoing monitoring</w:t>
                  </w:r>
                  <w:r w:rsidR="00201391">
                    <w:t xml:space="preserve"> </w:t>
                  </w:r>
                  <w:r w:rsidR="00201391" w:rsidRPr="00201391">
                    <w:rPr>
                      <w:rFonts w:ascii="Arial" w:hAnsi="Arial" w:cs="Arial"/>
                      <w:sz w:val="18"/>
                      <w:szCs w:val="18"/>
                    </w:rPr>
                    <w:t>of P3NP or Fibroscan</w:t>
                  </w:r>
                  <w:r>
                    <w:rPr>
                      <w:rFonts w:ascii="Arial" w:hAnsi="Arial" w:cs="Arial"/>
                      <w:sz w:val="18"/>
                      <w:szCs w:val="18"/>
                    </w:rPr>
                    <w:t xml:space="preserve"> undertaken by specialist</w:t>
                  </w:r>
                  <w:r w:rsidR="00EC78B6">
                    <w:rPr>
                      <w:rFonts w:ascii="Arial" w:hAnsi="Arial" w:cs="Arial"/>
                      <w:sz w:val="18"/>
                      <w:szCs w:val="18"/>
                    </w:rPr>
                    <w:t>.</w:t>
                  </w:r>
                </w:p>
                <w:p w14:paraId="59033151" w14:textId="1CFCF45B" w:rsidR="00C56C9B" w:rsidRDefault="00C56C9B" w:rsidP="00201391">
                  <w:pPr>
                    <w:spacing w:after="0" w:line="240" w:lineRule="auto"/>
                    <w:jc w:val="center"/>
                    <w:rPr>
                      <w:rFonts w:ascii="Arial" w:hAnsi="Arial" w:cs="Arial"/>
                      <w:sz w:val="18"/>
                      <w:szCs w:val="18"/>
                    </w:rPr>
                  </w:pPr>
                </w:p>
              </w:tc>
            </w:tr>
            <w:tr w:rsidR="00097D24" w14:paraId="77B872BE" w14:textId="77777777" w:rsidTr="006443C5">
              <w:trPr>
                <w:trHeight w:val="345"/>
              </w:trPr>
              <w:tc>
                <w:tcPr>
                  <w:tcW w:w="10215" w:type="dxa"/>
                  <w:gridSpan w:val="7"/>
                  <w:tcBorders>
                    <w:top w:val="single" w:sz="4" w:space="0" w:color="auto"/>
                    <w:left w:val="single" w:sz="4" w:space="0" w:color="auto"/>
                    <w:bottom w:val="single" w:sz="4" w:space="0" w:color="auto"/>
                    <w:right w:val="single" w:sz="4" w:space="0" w:color="auto"/>
                  </w:tcBorders>
                </w:tcPr>
                <w:p w14:paraId="79726153" w14:textId="77777777" w:rsidR="00097D24" w:rsidRDefault="00097D24" w:rsidP="00097D24">
                  <w:pPr>
                    <w:spacing w:after="0" w:line="240" w:lineRule="auto"/>
                    <w:rPr>
                      <w:rFonts w:ascii="Arial" w:hAnsi="Arial" w:cs="Arial"/>
                      <w:sz w:val="18"/>
                      <w:szCs w:val="18"/>
                    </w:rPr>
                  </w:pPr>
                  <w:r>
                    <w:rPr>
                      <w:rFonts w:ascii="Arial" w:hAnsi="Arial" w:cs="Arial"/>
                      <w:sz w:val="18"/>
                      <w:szCs w:val="18"/>
                    </w:rPr>
                    <w:t xml:space="preserve">*Any dose increase requires blood test monitoring every 2 weeks until the dose is stable for 6 weeks, then </w:t>
                  </w:r>
                  <w:proofErr w:type="gramStart"/>
                  <w:r>
                    <w:rPr>
                      <w:rFonts w:ascii="Arial" w:hAnsi="Arial" w:cs="Arial"/>
                      <w:sz w:val="18"/>
                      <w:szCs w:val="18"/>
                    </w:rPr>
                    <w:t>revert back</w:t>
                  </w:r>
                  <w:proofErr w:type="gramEnd"/>
                  <w:r>
                    <w:rPr>
                      <w:rFonts w:ascii="Arial" w:hAnsi="Arial" w:cs="Arial"/>
                      <w:sz w:val="18"/>
                      <w:szCs w:val="18"/>
                    </w:rPr>
                    <w:t xml:space="preserve"> to previous schedule. The specialist would be responsible for organising and checking the blood tests. </w:t>
                  </w:r>
                </w:p>
                <w:p w14:paraId="340CA8A3" w14:textId="77777777" w:rsidR="00097D24" w:rsidRDefault="00097D24" w:rsidP="00097D24">
                  <w:pPr>
                    <w:spacing w:after="0" w:line="240" w:lineRule="auto"/>
                    <w:rPr>
                      <w:rFonts w:ascii="Arial" w:hAnsi="Arial" w:cs="Arial"/>
                      <w:sz w:val="18"/>
                      <w:szCs w:val="18"/>
                    </w:rPr>
                  </w:pPr>
                  <w:r>
                    <w:rPr>
                      <w:rFonts w:ascii="Arial" w:hAnsi="Arial" w:cs="Arial"/>
                      <w:sz w:val="18"/>
                      <w:szCs w:val="18"/>
                    </w:rPr>
                    <w:t xml:space="preserve"> </w:t>
                  </w:r>
                </w:p>
                <w:p w14:paraId="64AE35E0" w14:textId="77777777" w:rsidR="00097D24" w:rsidRDefault="00097D24" w:rsidP="00097D24">
                  <w:pPr>
                    <w:tabs>
                      <w:tab w:val="left" w:pos="3134"/>
                    </w:tabs>
                    <w:spacing w:after="0" w:line="240" w:lineRule="auto"/>
                    <w:rPr>
                      <w:rFonts w:ascii="Arial" w:hAnsi="Arial" w:cs="Arial"/>
                      <w:sz w:val="18"/>
                      <w:szCs w:val="18"/>
                    </w:rPr>
                  </w:pPr>
                  <w:r>
                    <w:rPr>
                      <w:rFonts w:ascii="Arial" w:hAnsi="Arial" w:cs="Arial"/>
                      <w:sz w:val="18"/>
                      <w:szCs w:val="18"/>
                    </w:rPr>
                    <w:t>**Methotrexate/ leflunomide combination therapy requires monthly monitoring of routine blood tests long term due to the risk of hepatotoxicity unless specialist indicates otherwise.</w:t>
                  </w:r>
                </w:p>
                <w:p w14:paraId="0A55C937" w14:textId="77777777" w:rsidR="00097D24" w:rsidRDefault="00097D24" w:rsidP="00097D24">
                  <w:pPr>
                    <w:tabs>
                      <w:tab w:val="left" w:pos="3134"/>
                    </w:tabs>
                    <w:spacing w:after="0" w:line="240" w:lineRule="auto"/>
                    <w:rPr>
                      <w:rFonts w:ascii="Arial" w:hAnsi="Arial" w:cs="Arial"/>
                      <w:sz w:val="18"/>
                      <w:szCs w:val="18"/>
                    </w:rPr>
                  </w:pPr>
                </w:p>
                <w:p w14:paraId="1814F99B" w14:textId="77777777" w:rsidR="00097D24" w:rsidRDefault="00097D24" w:rsidP="00097D24">
                  <w:pPr>
                    <w:tabs>
                      <w:tab w:val="left" w:pos="3134"/>
                    </w:tabs>
                    <w:spacing w:after="0" w:line="240" w:lineRule="auto"/>
                    <w:rPr>
                      <w:rFonts w:ascii="Arial" w:hAnsi="Arial" w:cs="Arial"/>
                      <w:sz w:val="18"/>
                      <w:szCs w:val="18"/>
                    </w:rPr>
                  </w:pPr>
                  <w:r>
                    <w:rPr>
                      <w:rFonts w:ascii="Arial" w:hAnsi="Arial" w:cs="Arial"/>
                      <w:sz w:val="18"/>
                      <w:szCs w:val="18"/>
                    </w:rPr>
                    <w:t xml:space="preserve">*** </w:t>
                  </w:r>
                  <w:r>
                    <w:rPr>
                      <w:rFonts w:ascii="Arial" w:eastAsia="Times New Roman" w:hAnsi="Arial" w:cs="Arial"/>
                      <w:bCs/>
                      <w:sz w:val="18"/>
                      <w:szCs w:val="18"/>
                      <w:lang w:eastAsia="en-GB"/>
                    </w:rPr>
                    <w:t xml:space="preserve">P3NP is a vetted test therefore clinical details are required (e.g. to assess liver fibrosis for </w:t>
                  </w:r>
                  <w:r>
                    <w:rPr>
                      <w:rFonts w:ascii="Arial" w:hAnsi="Arial" w:cs="Arial"/>
                      <w:sz w:val="18"/>
                      <w:szCs w:val="18"/>
                    </w:rPr>
                    <w:t>dermatology patient prescribed methotrexate</w:t>
                  </w:r>
                  <w:r>
                    <w:rPr>
                      <w:rFonts w:ascii="Arial" w:eastAsia="Times New Roman" w:hAnsi="Arial" w:cs="Arial"/>
                      <w:bCs/>
                      <w:sz w:val="18"/>
                      <w:szCs w:val="18"/>
                      <w:lang w:eastAsia="en-GB"/>
                    </w:rPr>
                    <w:t xml:space="preserve">). Please also note that </w:t>
                  </w:r>
                  <w:r>
                    <w:rPr>
                      <w:rFonts w:ascii="Arial" w:hAnsi="Arial" w:cs="Arial"/>
                      <w:sz w:val="18"/>
                      <w:szCs w:val="18"/>
                    </w:rPr>
                    <w:t>samples must reach the laboratory on day they are drawn.</w:t>
                  </w:r>
                </w:p>
              </w:tc>
            </w:tr>
          </w:tbl>
          <w:p w14:paraId="7A16CF24" w14:textId="77777777" w:rsidR="00097D24" w:rsidRDefault="00097D24" w:rsidP="00097D24">
            <w:pPr>
              <w:keepNext/>
              <w:contextualSpacing/>
              <w:jc w:val="both"/>
              <w:outlineLvl w:val="0"/>
            </w:pPr>
          </w:p>
          <w:p w14:paraId="58159C7A" w14:textId="77777777" w:rsidR="00097D24" w:rsidRDefault="00097D24" w:rsidP="00097D24">
            <w:pPr>
              <w:spacing w:after="40"/>
              <w:rPr>
                <w:rFonts w:ascii="Arial" w:hAnsi="Arial" w:cs="Arial"/>
                <w:b/>
                <w:u w:val="single"/>
              </w:rPr>
            </w:pPr>
            <w:r>
              <w:rPr>
                <w:rFonts w:ascii="Arial" w:hAnsi="Arial" w:cs="Arial"/>
                <w:b/>
                <w:u w:val="single"/>
              </w:rPr>
              <w:t xml:space="preserve">Action to be taken if abnormal result </w:t>
            </w:r>
          </w:p>
          <w:p w14:paraId="5020CCA9" w14:textId="77777777" w:rsidR="00097D24" w:rsidRDefault="00097D24" w:rsidP="00097D24">
            <w:pPr>
              <w:spacing w:after="40"/>
              <w:rPr>
                <w:rFonts w:ascii="Arial" w:hAnsi="Arial" w:cs="Arial"/>
                <w:b/>
                <w:u w:val="single"/>
              </w:rPr>
            </w:pPr>
            <w:r>
              <w:rPr>
                <w:rFonts w:ascii="Arial" w:hAnsi="Arial" w:cs="Arial"/>
              </w:rPr>
              <w:t xml:space="preserve">Normal reference range may vary slightly between labs. Please note an unusual fall or rise or a consistent downward or upward trend in any value should prompt review of the patient and extra vigilance. Some patients may have abnormal baseline values; specialist will advise if required. </w:t>
            </w:r>
          </w:p>
          <w:tbl>
            <w:tblP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9"/>
              <w:gridCol w:w="6251"/>
            </w:tblGrid>
            <w:tr w:rsidR="00097D24" w14:paraId="1DB60659" w14:textId="77777777" w:rsidTr="00097D24">
              <w:trPr>
                <w:trHeight w:val="267"/>
              </w:trPr>
              <w:tc>
                <w:tcPr>
                  <w:tcW w:w="4282" w:type="dxa"/>
                  <w:tcBorders>
                    <w:top w:val="single" w:sz="4" w:space="0" w:color="auto"/>
                    <w:left w:val="single" w:sz="4" w:space="0" w:color="auto"/>
                    <w:bottom w:val="single" w:sz="4" w:space="0" w:color="auto"/>
                    <w:right w:val="single" w:sz="4" w:space="0" w:color="auto"/>
                  </w:tcBorders>
                  <w:hideMark/>
                </w:tcPr>
                <w:p w14:paraId="15584F28" w14:textId="77777777" w:rsidR="00097D24" w:rsidRDefault="00097D24" w:rsidP="00097D24">
                  <w:pPr>
                    <w:spacing w:after="0" w:line="240" w:lineRule="auto"/>
                    <w:jc w:val="center"/>
                    <w:rPr>
                      <w:rFonts w:ascii="Arial" w:hAnsi="Arial" w:cs="Arial"/>
                      <w:b/>
                    </w:rPr>
                  </w:pPr>
                  <w:r>
                    <w:rPr>
                      <w:rFonts w:ascii="Arial" w:hAnsi="Arial" w:cs="Arial"/>
                      <w:b/>
                    </w:rPr>
                    <w:t>Abnormal result</w:t>
                  </w:r>
                </w:p>
              </w:tc>
              <w:tc>
                <w:tcPr>
                  <w:tcW w:w="6255" w:type="dxa"/>
                  <w:tcBorders>
                    <w:top w:val="single" w:sz="4" w:space="0" w:color="auto"/>
                    <w:left w:val="single" w:sz="4" w:space="0" w:color="auto"/>
                    <w:bottom w:val="single" w:sz="4" w:space="0" w:color="auto"/>
                    <w:right w:val="single" w:sz="4" w:space="0" w:color="auto"/>
                  </w:tcBorders>
                  <w:shd w:val="pct10" w:color="auto" w:fill="auto"/>
                  <w:hideMark/>
                </w:tcPr>
                <w:p w14:paraId="77E16A40" w14:textId="77777777" w:rsidR="00097D24" w:rsidRDefault="00097D24" w:rsidP="00097D24">
                  <w:pPr>
                    <w:spacing w:after="0" w:line="240" w:lineRule="auto"/>
                    <w:jc w:val="center"/>
                    <w:rPr>
                      <w:rFonts w:ascii="Arial" w:hAnsi="Arial" w:cs="Arial"/>
                      <w:b/>
                    </w:rPr>
                  </w:pPr>
                  <w:r>
                    <w:rPr>
                      <w:rFonts w:ascii="Arial" w:hAnsi="Arial" w:cs="Arial"/>
                      <w:b/>
                    </w:rPr>
                    <w:t>Action to be taken by GP</w:t>
                  </w:r>
                </w:p>
              </w:tc>
            </w:tr>
            <w:tr w:rsidR="00097D24" w14:paraId="5036774F" w14:textId="77777777" w:rsidTr="00097D24">
              <w:trPr>
                <w:trHeight w:val="303"/>
              </w:trPr>
              <w:tc>
                <w:tcPr>
                  <w:tcW w:w="4282" w:type="dxa"/>
                  <w:tcBorders>
                    <w:top w:val="single" w:sz="4" w:space="0" w:color="auto"/>
                    <w:left w:val="single" w:sz="4" w:space="0" w:color="auto"/>
                    <w:bottom w:val="single" w:sz="4" w:space="0" w:color="auto"/>
                    <w:right w:val="single" w:sz="4" w:space="0" w:color="auto"/>
                  </w:tcBorders>
                  <w:hideMark/>
                </w:tcPr>
                <w:p w14:paraId="6B1E49CA" w14:textId="77777777" w:rsidR="00097D24" w:rsidRDefault="00097D24" w:rsidP="00097D24">
                  <w:pPr>
                    <w:spacing w:after="0" w:line="240" w:lineRule="auto"/>
                    <w:rPr>
                      <w:rFonts w:ascii="Arial" w:hAnsi="Arial" w:cs="Arial"/>
                    </w:rPr>
                  </w:pPr>
                  <w:r>
                    <w:rPr>
                      <w:rFonts w:ascii="Arial" w:hAnsi="Arial" w:cs="Arial"/>
                    </w:rPr>
                    <w:t>WBC &lt;3.5 x 10</w:t>
                  </w:r>
                  <w:r>
                    <w:rPr>
                      <w:rFonts w:ascii="Arial" w:hAnsi="Arial" w:cs="Arial"/>
                      <w:vertAlign w:val="superscript"/>
                    </w:rPr>
                    <w:t>9</w:t>
                  </w:r>
                  <w:r>
                    <w:rPr>
                      <w:rFonts w:ascii="Arial" w:hAnsi="Arial" w:cs="Arial"/>
                    </w:rPr>
                    <w:t>/L</w:t>
                  </w:r>
                </w:p>
              </w:tc>
              <w:tc>
                <w:tcPr>
                  <w:tcW w:w="6255" w:type="dxa"/>
                  <w:tcBorders>
                    <w:top w:val="single" w:sz="4" w:space="0" w:color="auto"/>
                    <w:left w:val="single" w:sz="4" w:space="0" w:color="auto"/>
                    <w:bottom w:val="single" w:sz="4" w:space="0" w:color="auto"/>
                    <w:right w:val="single" w:sz="4" w:space="0" w:color="auto"/>
                  </w:tcBorders>
                  <w:shd w:val="pct10" w:color="auto" w:fill="auto"/>
                  <w:hideMark/>
                </w:tcPr>
                <w:p w14:paraId="0401B2D6" w14:textId="77777777" w:rsidR="00097D24" w:rsidRDefault="00097D24" w:rsidP="00097D24">
                  <w:pPr>
                    <w:spacing w:after="0" w:line="240" w:lineRule="auto"/>
                    <w:rPr>
                      <w:rFonts w:ascii="Arial" w:hAnsi="Arial" w:cs="Arial"/>
                    </w:rPr>
                  </w:pPr>
                  <w:r>
                    <w:rPr>
                      <w:rFonts w:ascii="Arial" w:hAnsi="Arial" w:cs="Arial"/>
                    </w:rPr>
                    <w:t>Withhold and contact specialist urgently</w:t>
                  </w:r>
                </w:p>
              </w:tc>
            </w:tr>
            <w:tr w:rsidR="00097D24" w14:paraId="1D7AFD98" w14:textId="77777777" w:rsidTr="00097D24">
              <w:trPr>
                <w:trHeight w:val="303"/>
              </w:trPr>
              <w:tc>
                <w:tcPr>
                  <w:tcW w:w="4282" w:type="dxa"/>
                  <w:tcBorders>
                    <w:top w:val="single" w:sz="4" w:space="0" w:color="auto"/>
                    <w:left w:val="single" w:sz="4" w:space="0" w:color="auto"/>
                    <w:bottom w:val="single" w:sz="4" w:space="0" w:color="auto"/>
                    <w:right w:val="single" w:sz="4" w:space="0" w:color="auto"/>
                  </w:tcBorders>
                  <w:hideMark/>
                </w:tcPr>
                <w:p w14:paraId="548BFB0C" w14:textId="77777777" w:rsidR="00097D24" w:rsidRDefault="00097D24" w:rsidP="00097D24">
                  <w:pPr>
                    <w:spacing w:after="0" w:line="240" w:lineRule="auto"/>
                    <w:rPr>
                      <w:rFonts w:ascii="Arial" w:hAnsi="Arial" w:cs="Arial"/>
                    </w:rPr>
                  </w:pPr>
                  <w:r>
                    <w:rPr>
                      <w:rFonts w:ascii="Arial" w:hAnsi="Arial" w:cs="Arial"/>
                    </w:rPr>
                    <w:t>Lymphocytes under lower limit normal</w:t>
                  </w:r>
                </w:p>
              </w:tc>
              <w:tc>
                <w:tcPr>
                  <w:tcW w:w="6255" w:type="dxa"/>
                  <w:tcBorders>
                    <w:top w:val="single" w:sz="4" w:space="0" w:color="auto"/>
                    <w:left w:val="single" w:sz="4" w:space="0" w:color="auto"/>
                    <w:bottom w:val="single" w:sz="4" w:space="0" w:color="auto"/>
                    <w:right w:val="single" w:sz="4" w:space="0" w:color="auto"/>
                  </w:tcBorders>
                  <w:shd w:val="pct10" w:color="auto" w:fill="auto"/>
                  <w:hideMark/>
                </w:tcPr>
                <w:p w14:paraId="192AE409" w14:textId="77777777" w:rsidR="00097D24" w:rsidRDefault="00097D24" w:rsidP="00097D24">
                  <w:pPr>
                    <w:spacing w:after="0" w:line="240" w:lineRule="auto"/>
                    <w:rPr>
                      <w:rFonts w:ascii="Arial" w:hAnsi="Arial" w:cs="Arial"/>
                    </w:rPr>
                  </w:pPr>
                  <w:r>
                    <w:rPr>
                      <w:rFonts w:ascii="Arial" w:hAnsi="Arial" w:cs="Arial"/>
                    </w:rPr>
                    <w:t>Common in rheumatic disease but if concern discuss with specialist</w:t>
                  </w:r>
                </w:p>
              </w:tc>
            </w:tr>
            <w:tr w:rsidR="00097D24" w14:paraId="105A7566" w14:textId="77777777" w:rsidTr="00097D24">
              <w:trPr>
                <w:trHeight w:val="267"/>
              </w:trPr>
              <w:tc>
                <w:tcPr>
                  <w:tcW w:w="4282" w:type="dxa"/>
                  <w:tcBorders>
                    <w:top w:val="single" w:sz="4" w:space="0" w:color="auto"/>
                    <w:left w:val="single" w:sz="4" w:space="0" w:color="auto"/>
                    <w:bottom w:val="single" w:sz="4" w:space="0" w:color="auto"/>
                    <w:right w:val="single" w:sz="4" w:space="0" w:color="auto"/>
                  </w:tcBorders>
                  <w:hideMark/>
                </w:tcPr>
                <w:p w14:paraId="125F7F45" w14:textId="77777777" w:rsidR="00097D24" w:rsidRDefault="00097D24" w:rsidP="00097D24">
                  <w:pPr>
                    <w:spacing w:after="0" w:line="240" w:lineRule="auto"/>
                    <w:rPr>
                      <w:rFonts w:ascii="Arial" w:hAnsi="Arial" w:cs="Arial"/>
                    </w:rPr>
                  </w:pPr>
                  <w:r>
                    <w:rPr>
                      <w:rFonts w:ascii="Arial" w:hAnsi="Arial" w:cs="Arial"/>
                    </w:rPr>
                    <w:t>Neutrophils &lt;1.6 x 10</w:t>
                  </w:r>
                  <w:r>
                    <w:rPr>
                      <w:rFonts w:ascii="Arial" w:hAnsi="Arial" w:cs="Arial"/>
                      <w:vertAlign w:val="superscript"/>
                    </w:rPr>
                    <w:t>9</w:t>
                  </w:r>
                  <w:r>
                    <w:rPr>
                      <w:rFonts w:ascii="Arial" w:hAnsi="Arial" w:cs="Arial"/>
                    </w:rPr>
                    <w:t>/L</w:t>
                  </w:r>
                </w:p>
              </w:tc>
              <w:tc>
                <w:tcPr>
                  <w:tcW w:w="6255" w:type="dxa"/>
                  <w:tcBorders>
                    <w:top w:val="single" w:sz="4" w:space="0" w:color="auto"/>
                    <w:left w:val="single" w:sz="4" w:space="0" w:color="auto"/>
                    <w:bottom w:val="single" w:sz="4" w:space="0" w:color="auto"/>
                    <w:right w:val="single" w:sz="4" w:space="0" w:color="auto"/>
                  </w:tcBorders>
                  <w:shd w:val="pct10" w:color="auto" w:fill="auto"/>
                  <w:hideMark/>
                </w:tcPr>
                <w:p w14:paraId="74A245BE" w14:textId="77777777" w:rsidR="00097D24" w:rsidRDefault="00097D24" w:rsidP="00097D24">
                  <w:pPr>
                    <w:spacing w:after="0" w:line="240" w:lineRule="auto"/>
                    <w:rPr>
                      <w:rFonts w:ascii="Arial" w:hAnsi="Arial" w:cs="Arial"/>
                    </w:rPr>
                  </w:pPr>
                  <w:r>
                    <w:rPr>
                      <w:rFonts w:ascii="Arial" w:hAnsi="Arial" w:cs="Arial"/>
                    </w:rPr>
                    <w:t>Withhold and contact specialist urgently</w:t>
                  </w:r>
                </w:p>
              </w:tc>
            </w:tr>
            <w:tr w:rsidR="00097D24" w14:paraId="63249041" w14:textId="77777777" w:rsidTr="00097D24">
              <w:trPr>
                <w:trHeight w:val="267"/>
              </w:trPr>
              <w:tc>
                <w:tcPr>
                  <w:tcW w:w="4282" w:type="dxa"/>
                  <w:tcBorders>
                    <w:top w:val="single" w:sz="4" w:space="0" w:color="auto"/>
                    <w:left w:val="single" w:sz="4" w:space="0" w:color="auto"/>
                    <w:bottom w:val="single" w:sz="4" w:space="0" w:color="auto"/>
                    <w:right w:val="single" w:sz="4" w:space="0" w:color="auto"/>
                  </w:tcBorders>
                  <w:hideMark/>
                </w:tcPr>
                <w:p w14:paraId="795688C4" w14:textId="77777777" w:rsidR="00097D24" w:rsidRDefault="00097D24" w:rsidP="00097D24">
                  <w:pPr>
                    <w:spacing w:after="0" w:line="240" w:lineRule="auto"/>
                    <w:rPr>
                      <w:rFonts w:ascii="Arial" w:hAnsi="Arial" w:cs="Arial"/>
                    </w:rPr>
                  </w:pPr>
                  <w:r>
                    <w:rPr>
                      <w:rFonts w:ascii="Arial" w:hAnsi="Arial" w:cs="Arial"/>
                    </w:rPr>
                    <w:lastRenderedPageBreak/>
                    <w:t>Unexplained eosinophilia &gt;0.5 X 10</w:t>
                  </w:r>
                  <w:r>
                    <w:rPr>
                      <w:rFonts w:ascii="Arial" w:hAnsi="Arial" w:cs="Arial"/>
                      <w:vertAlign w:val="superscript"/>
                    </w:rPr>
                    <w:t>9</w:t>
                  </w:r>
                  <w:r>
                    <w:rPr>
                      <w:rFonts w:ascii="Arial" w:hAnsi="Arial" w:cs="Arial"/>
                    </w:rPr>
                    <w:t>/L</w:t>
                  </w:r>
                </w:p>
              </w:tc>
              <w:tc>
                <w:tcPr>
                  <w:tcW w:w="6255" w:type="dxa"/>
                  <w:tcBorders>
                    <w:top w:val="single" w:sz="4" w:space="0" w:color="auto"/>
                    <w:left w:val="single" w:sz="4" w:space="0" w:color="auto"/>
                    <w:bottom w:val="single" w:sz="4" w:space="0" w:color="auto"/>
                    <w:right w:val="single" w:sz="4" w:space="0" w:color="auto"/>
                  </w:tcBorders>
                  <w:shd w:val="pct10" w:color="auto" w:fill="auto"/>
                  <w:hideMark/>
                </w:tcPr>
                <w:p w14:paraId="07C9C8AF" w14:textId="77777777" w:rsidR="00097D24" w:rsidRDefault="00097D24" w:rsidP="00097D24">
                  <w:pPr>
                    <w:spacing w:after="0" w:line="240" w:lineRule="auto"/>
                    <w:rPr>
                      <w:rFonts w:ascii="Arial" w:hAnsi="Arial" w:cs="Arial"/>
                    </w:rPr>
                  </w:pPr>
                  <w:r>
                    <w:rPr>
                      <w:rFonts w:ascii="Arial" w:hAnsi="Arial" w:cs="Arial"/>
                    </w:rPr>
                    <w:t>Withhold and contact specialist urgently</w:t>
                  </w:r>
                </w:p>
              </w:tc>
            </w:tr>
            <w:tr w:rsidR="00097D24" w14:paraId="0BCAA4C9" w14:textId="77777777" w:rsidTr="00097D24">
              <w:trPr>
                <w:trHeight w:val="267"/>
              </w:trPr>
              <w:tc>
                <w:tcPr>
                  <w:tcW w:w="4282" w:type="dxa"/>
                  <w:tcBorders>
                    <w:top w:val="single" w:sz="4" w:space="0" w:color="auto"/>
                    <w:left w:val="single" w:sz="4" w:space="0" w:color="auto"/>
                    <w:bottom w:val="single" w:sz="4" w:space="0" w:color="auto"/>
                    <w:right w:val="single" w:sz="4" w:space="0" w:color="auto"/>
                  </w:tcBorders>
                </w:tcPr>
                <w:p w14:paraId="0CBEEDAD" w14:textId="77777777" w:rsidR="00097D24" w:rsidRDefault="00097D24" w:rsidP="00097D24">
                  <w:pPr>
                    <w:spacing w:after="0" w:line="240" w:lineRule="auto"/>
                    <w:rPr>
                      <w:rFonts w:ascii="Arial" w:hAnsi="Arial" w:cs="Arial"/>
                    </w:rPr>
                  </w:pPr>
                  <w:r>
                    <w:rPr>
                      <w:rFonts w:ascii="Arial" w:hAnsi="Arial" w:cs="Arial"/>
                    </w:rPr>
                    <w:t>Platelets 110-140 x 10</w:t>
                  </w:r>
                  <w:r>
                    <w:rPr>
                      <w:rFonts w:ascii="Arial" w:hAnsi="Arial" w:cs="Arial"/>
                      <w:vertAlign w:val="superscript"/>
                    </w:rPr>
                    <w:t>9</w:t>
                  </w:r>
                  <w:r>
                    <w:rPr>
                      <w:rFonts w:ascii="Arial" w:hAnsi="Arial" w:cs="Arial"/>
                    </w:rPr>
                    <w:t>/L</w:t>
                  </w:r>
                </w:p>
                <w:p w14:paraId="13B0B415" w14:textId="77777777" w:rsidR="00097D24" w:rsidRDefault="00097D24" w:rsidP="00097D24">
                  <w:pPr>
                    <w:spacing w:after="0" w:line="240" w:lineRule="auto"/>
                    <w:rPr>
                      <w:rFonts w:ascii="Arial" w:hAnsi="Arial" w:cs="Arial"/>
                    </w:rPr>
                  </w:pPr>
                </w:p>
                <w:p w14:paraId="7CF93FE0" w14:textId="77777777" w:rsidR="00097D24" w:rsidRDefault="00097D24" w:rsidP="00097D24">
                  <w:pPr>
                    <w:spacing w:after="0" w:line="240" w:lineRule="auto"/>
                    <w:rPr>
                      <w:rFonts w:ascii="Arial" w:hAnsi="Arial" w:cs="Arial"/>
                    </w:rPr>
                  </w:pPr>
                  <w:r>
                    <w:rPr>
                      <w:rFonts w:ascii="Arial" w:hAnsi="Arial" w:cs="Arial"/>
                    </w:rPr>
                    <w:t>Platelets &lt;110 x 10</w:t>
                  </w:r>
                  <w:r>
                    <w:rPr>
                      <w:rFonts w:ascii="Arial" w:hAnsi="Arial" w:cs="Arial"/>
                      <w:vertAlign w:val="superscript"/>
                    </w:rPr>
                    <w:t>9</w:t>
                  </w:r>
                  <w:r>
                    <w:rPr>
                      <w:rFonts w:ascii="Arial" w:hAnsi="Arial" w:cs="Arial"/>
                    </w:rPr>
                    <w:t>/L</w:t>
                  </w:r>
                </w:p>
              </w:tc>
              <w:tc>
                <w:tcPr>
                  <w:tcW w:w="6255" w:type="dxa"/>
                  <w:tcBorders>
                    <w:top w:val="single" w:sz="4" w:space="0" w:color="auto"/>
                    <w:left w:val="single" w:sz="4" w:space="0" w:color="auto"/>
                    <w:bottom w:val="single" w:sz="4" w:space="0" w:color="auto"/>
                    <w:right w:val="single" w:sz="4" w:space="0" w:color="auto"/>
                  </w:tcBorders>
                  <w:shd w:val="pct10" w:color="auto" w:fill="auto"/>
                </w:tcPr>
                <w:p w14:paraId="011461B3" w14:textId="6F8D10D1" w:rsidR="00097D24" w:rsidRDefault="00097D24" w:rsidP="00097D24">
                  <w:pPr>
                    <w:spacing w:after="0" w:line="240" w:lineRule="auto"/>
                    <w:rPr>
                      <w:rFonts w:ascii="Arial" w:hAnsi="Arial" w:cs="Arial"/>
                    </w:rPr>
                  </w:pPr>
                  <w:r>
                    <w:rPr>
                      <w:rFonts w:ascii="Arial" w:hAnsi="Arial" w:cs="Arial"/>
                    </w:rPr>
                    <w:t>Discuss with specialist</w:t>
                  </w:r>
                  <w:r w:rsidR="00615D4A">
                    <w:rPr>
                      <w:rFonts w:ascii="Arial" w:hAnsi="Arial" w:cs="Arial"/>
                    </w:rPr>
                    <w:t>.</w:t>
                  </w:r>
                </w:p>
                <w:p w14:paraId="05F4C41B" w14:textId="77777777" w:rsidR="00097D24" w:rsidRDefault="00097D24" w:rsidP="00097D24">
                  <w:pPr>
                    <w:spacing w:after="0" w:line="240" w:lineRule="auto"/>
                    <w:rPr>
                      <w:rFonts w:ascii="Arial" w:hAnsi="Arial" w:cs="Arial"/>
                    </w:rPr>
                  </w:pPr>
                </w:p>
                <w:p w14:paraId="1A13FC81" w14:textId="77777777" w:rsidR="00097D24" w:rsidRDefault="00097D24" w:rsidP="00097D24">
                  <w:pPr>
                    <w:spacing w:after="0" w:line="240" w:lineRule="auto"/>
                    <w:rPr>
                      <w:rFonts w:ascii="Arial" w:hAnsi="Arial" w:cs="Arial"/>
                    </w:rPr>
                  </w:pPr>
                  <w:r>
                    <w:rPr>
                      <w:rFonts w:ascii="Arial" w:hAnsi="Arial" w:cs="Arial"/>
                    </w:rPr>
                    <w:t>Withhold and discuss with specialist urgently</w:t>
                  </w:r>
                </w:p>
              </w:tc>
            </w:tr>
            <w:tr w:rsidR="00097D24" w14:paraId="5F597F81" w14:textId="77777777" w:rsidTr="00097D24">
              <w:trPr>
                <w:trHeight w:val="801"/>
              </w:trPr>
              <w:tc>
                <w:tcPr>
                  <w:tcW w:w="4282" w:type="dxa"/>
                  <w:tcBorders>
                    <w:top w:val="single" w:sz="4" w:space="0" w:color="auto"/>
                    <w:left w:val="single" w:sz="4" w:space="0" w:color="auto"/>
                    <w:bottom w:val="single" w:sz="4" w:space="0" w:color="auto"/>
                    <w:right w:val="single" w:sz="4" w:space="0" w:color="auto"/>
                  </w:tcBorders>
                  <w:hideMark/>
                </w:tcPr>
                <w:p w14:paraId="782064E6" w14:textId="77777777" w:rsidR="00097D24" w:rsidRDefault="00097D24" w:rsidP="00097D24">
                  <w:pPr>
                    <w:spacing w:after="0" w:line="240" w:lineRule="auto"/>
                    <w:rPr>
                      <w:rFonts w:ascii="Arial" w:hAnsi="Arial" w:cs="Arial"/>
                    </w:rPr>
                  </w:pPr>
                  <w:r>
                    <w:rPr>
                      <w:rFonts w:ascii="Arial" w:hAnsi="Arial" w:cs="Arial"/>
                    </w:rPr>
                    <w:t>MCV &gt;105 fL</w:t>
                  </w:r>
                </w:p>
              </w:tc>
              <w:tc>
                <w:tcPr>
                  <w:tcW w:w="6255" w:type="dxa"/>
                  <w:tcBorders>
                    <w:top w:val="single" w:sz="4" w:space="0" w:color="auto"/>
                    <w:left w:val="single" w:sz="4" w:space="0" w:color="auto"/>
                    <w:bottom w:val="single" w:sz="4" w:space="0" w:color="auto"/>
                    <w:right w:val="single" w:sz="4" w:space="0" w:color="auto"/>
                  </w:tcBorders>
                  <w:shd w:val="pct10" w:color="auto" w:fill="auto"/>
                  <w:hideMark/>
                </w:tcPr>
                <w:p w14:paraId="0DCBD28F" w14:textId="77777777" w:rsidR="00097D24" w:rsidRDefault="00097D24" w:rsidP="00097D24">
                  <w:pPr>
                    <w:spacing w:after="0" w:line="240" w:lineRule="auto"/>
                    <w:rPr>
                      <w:rFonts w:ascii="Arial" w:hAnsi="Arial" w:cs="Arial"/>
                    </w:rPr>
                  </w:pPr>
                  <w:r>
                    <w:rPr>
                      <w:rFonts w:ascii="Arial" w:hAnsi="Arial" w:cs="Arial"/>
                    </w:rPr>
                    <w:t xml:space="preserve">Check B12, folate, thyroid function and start treatment as necessary. Review alcohol consumption. If all within normal limits, contact specialist urgently and consider interruption of treatment. </w:t>
                  </w:r>
                </w:p>
              </w:tc>
            </w:tr>
            <w:tr w:rsidR="00097D24" w14:paraId="2B67C222" w14:textId="77777777" w:rsidTr="00097D24">
              <w:trPr>
                <w:trHeight w:val="607"/>
              </w:trPr>
              <w:tc>
                <w:tcPr>
                  <w:tcW w:w="4282" w:type="dxa"/>
                  <w:tcBorders>
                    <w:top w:val="single" w:sz="4" w:space="0" w:color="auto"/>
                    <w:left w:val="single" w:sz="4" w:space="0" w:color="auto"/>
                    <w:bottom w:val="single" w:sz="4" w:space="0" w:color="auto"/>
                    <w:right w:val="single" w:sz="4" w:space="0" w:color="auto"/>
                  </w:tcBorders>
                </w:tcPr>
                <w:p w14:paraId="077D639D" w14:textId="77777777" w:rsidR="00097D24" w:rsidRDefault="00097D24" w:rsidP="00097D24">
                  <w:pPr>
                    <w:spacing w:after="0" w:line="240" w:lineRule="auto"/>
                    <w:rPr>
                      <w:rFonts w:ascii="Arial" w:hAnsi="Arial" w:cs="Arial"/>
                    </w:rPr>
                  </w:pPr>
                  <w:r>
                    <w:rPr>
                      <w:rFonts w:ascii="Arial" w:hAnsi="Arial" w:cs="Arial"/>
                    </w:rPr>
                    <w:t>ALT and/ or AST rise &lt;100 U/L</w:t>
                  </w:r>
                </w:p>
                <w:p w14:paraId="70633927" w14:textId="77777777" w:rsidR="00097D24" w:rsidRDefault="00097D24" w:rsidP="00097D24">
                  <w:pPr>
                    <w:spacing w:after="0" w:line="240" w:lineRule="auto"/>
                    <w:rPr>
                      <w:rFonts w:ascii="Arial" w:hAnsi="Arial" w:cs="Arial"/>
                    </w:rPr>
                  </w:pPr>
                </w:p>
                <w:p w14:paraId="29947312" w14:textId="77777777" w:rsidR="00097D24" w:rsidRDefault="00097D24" w:rsidP="00097D24">
                  <w:pPr>
                    <w:spacing w:after="0" w:line="240" w:lineRule="auto"/>
                    <w:rPr>
                      <w:rFonts w:ascii="Arial" w:hAnsi="Arial" w:cs="Arial"/>
                    </w:rPr>
                  </w:pPr>
                </w:p>
                <w:p w14:paraId="3F0F5494" w14:textId="77777777" w:rsidR="00097D24" w:rsidRDefault="00097D24" w:rsidP="00097D24">
                  <w:pPr>
                    <w:spacing w:after="0" w:line="240" w:lineRule="auto"/>
                    <w:rPr>
                      <w:rFonts w:ascii="Arial" w:hAnsi="Arial" w:cs="Arial"/>
                    </w:rPr>
                  </w:pPr>
                </w:p>
                <w:p w14:paraId="4A2C7FD7" w14:textId="77777777" w:rsidR="00097D24" w:rsidRDefault="00097D24" w:rsidP="00097D24">
                  <w:pPr>
                    <w:spacing w:after="0" w:line="240" w:lineRule="auto"/>
                    <w:rPr>
                      <w:rFonts w:ascii="Arial" w:hAnsi="Arial" w:cs="Arial"/>
                    </w:rPr>
                  </w:pPr>
                </w:p>
                <w:p w14:paraId="28313F49" w14:textId="77777777" w:rsidR="00097D24" w:rsidRDefault="00097D24" w:rsidP="00097D24">
                  <w:pPr>
                    <w:spacing w:after="0" w:line="240" w:lineRule="auto"/>
                    <w:rPr>
                      <w:rFonts w:ascii="Arial" w:hAnsi="Arial" w:cs="Arial"/>
                    </w:rPr>
                  </w:pPr>
                  <w:r>
                    <w:rPr>
                      <w:rFonts w:ascii="Arial" w:hAnsi="Arial" w:cs="Arial"/>
                    </w:rPr>
                    <w:t>ALT and/ or AST rise &gt; 100 U/L</w:t>
                  </w:r>
                </w:p>
              </w:tc>
              <w:tc>
                <w:tcPr>
                  <w:tcW w:w="6255" w:type="dxa"/>
                  <w:tcBorders>
                    <w:top w:val="single" w:sz="4" w:space="0" w:color="auto"/>
                    <w:left w:val="single" w:sz="4" w:space="0" w:color="auto"/>
                    <w:bottom w:val="single" w:sz="4" w:space="0" w:color="auto"/>
                    <w:right w:val="single" w:sz="4" w:space="0" w:color="auto"/>
                  </w:tcBorders>
                  <w:shd w:val="pct10" w:color="auto" w:fill="auto"/>
                </w:tcPr>
                <w:p w14:paraId="6510DDCB" w14:textId="58311F5D" w:rsidR="00097D24" w:rsidRDefault="00097D24" w:rsidP="00097D24">
                  <w:pPr>
                    <w:spacing w:after="0" w:line="240" w:lineRule="auto"/>
                    <w:rPr>
                      <w:rFonts w:ascii="Arial" w:hAnsi="Arial" w:cs="Arial"/>
                    </w:rPr>
                  </w:pPr>
                  <w:r>
                    <w:rPr>
                      <w:rFonts w:ascii="Arial" w:hAnsi="Arial" w:cs="Arial"/>
                    </w:rPr>
                    <w:t>Check if any other medication started recently e.g. statin, antibiotics, NSAIDs. Review OTC medications and alcohol intake. Repeat in 1-2 weeks and if still abnormal, discuss</w:t>
                  </w:r>
                  <w:r w:rsidR="00615D4A">
                    <w:rPr>
                      <w:rFonts w:ascii="Arial" w:hAnsi="Arial" w:cs="Arial"/>
                    </w:rPr>
                    <w:t xml:space="preserve"> </w:t>
                  </w:r>
                  <w:r>
                    <w:rPr>
                      <w:rFonts w:ascii="Arial" w:hAnsi="Arial" w:cs="Arial"/>
                    </w:rPr>
                    <w:t>with specialist.</w:t>
                  </w:r>
                </w:p>
                <w:p w14:paraId="5319904F" w14:textId="77777777" w:rsidR="00097D24" w:rsidRDefault="00097D24" w:rsidP="00097D24">
                  <w:pPr>
                    <w:spacing w:after="0" w:line="240" w:lineRule="auto"/>
                    <w:rPr>
                      <w:rFonts w:ascii="Arial" w:hAnsi="Arial" w:cs="Arial"/>
                    </w:rPr>
                  </w:pPr>
                </w:p>
                <w:p w14:paraId="16C1FF31" w14:textId="77777777" w:rsidR="00097D24" w:rsidRDefault="00097D24" w:rsidP="00097D24">
                  <w:pPr>
                    <w:spacing w:after="0" w:line="240" w:lineRule="auto"/>
                    <w:rPr>
                      <w:rFonts w:ascii="Arial" w:hAnsi="Arial" w:cs="Arial"/>
                    </w:rPr>
                  </w:pPr>
                  <w:r>
                    <w:rPr>
                      <w:rFonts w:ascii="Arial" w:hAnsi="Arial" w:cs="Arial"/>
                    </w:rPr>
                    <w:t>Withhold and discuss with specialist urgently</w:t>
                  </w:r>
                </w:p>
              </w:tc>
            </w:tr>
            <w:tr w:rsidR="00097D24" w14:paraId="11DF20B9" w14:textId="77777777" w:rsidTr="00097D24">
              <w:trPr>
                <w:trHeight w:val="476"/>
              </w:trPr>
              <w:tc>
                <w:tcPr>
                  <w:tcW w:w="4282" w:type="dxa"/>
                  <w:tcBorders>
                    <w:top w:val="single" w:sz="4" w:space="0" w:color="auto"/>
                    <w:left w:val="single" w:sz="4" w:space="0" w:color="auto"/>
                    <w:bottom w:val="single" w:sz="4" w:space="0" w:color="auto"/>
                    <w:right w:val="single" w:sz="4" w:space="0" w:color="auto"/>
                  </w:tcBorders>
                  <w:hideMark/>
                </w:tcPr>
                <w:p w14:paraId="468F6932" w14:textId="77777777" w:rsidR="00097D24" w:rsidRDefault="00097D24" w:rsidP="00097D24">
                  <w:pPr>
                    <w:spacing w:after="0" w:line="240" w:lineRule="auto"/>
                    <w:rPr>
                      <w:rFonts w:ascii="Arial" w:hAnsi="Arial" w:cs="Arial"/>
                    </w:rPr>
                  </w:pPr>
                  <w:r>
                    <w:rPr>
                      <w:rFonts w:ascii="Arial" w:hAnsi="Arial" w:cs="Arial"/>
                    </w:rPr>
                    <w:t>Elevated GGT and Alkaline phosphatase</w:t>
                  </w:r>
                </w:p>
              </w:tc>
              <w:tc>
                <w:tcPr>
                  <w:tcW w:w="6255" w:type="dxa"/>
                  <w:tcBorders>
                    <w:top w:val="single" w:sz="4" w:space="0" w:color="auto"/>
                    <w:left w:val="single" w:sz="4" w:space="0" w:color="auto"/>
                    <w:bottom w:val="single" w:sz="4" w:space="0" w:color="auto"/>
                    <w:right w:val="single" w:sz="4" w:space="0" w:color="auto"/>
                  </w:tcBorders>
                  <w:shd w:val="pct10" w:color="auto" w:fill="auto"/>
                  <w:hideMark/>
                </w:tcPr>
                <w:p w14:paraId="06C36AA6" w14:textId="77777777" w:rsidR="00097D24" w:rsidRDefault="00097D24" w:rsidP="00097D24">
                  <w:pPr>
                    <w:spacing w:after="0" w:line="240" w:lineRule="auto"/>
                    <w:rPr>
                      <w:rFonts w:ascii="Arial" w:hAnsi="Arial" w:cs="Arial"/>
                    </w:rPr>
                  </w:pPr>
                  <w:r>
                    <w:rPr>
                      <w:rFonts w:ascii="Arial" w:hAnsi="Arial" w:cs="Arial"/>
                    </w:rPr>
                    <w:t>Should be investigated like in any other patient. Review alcohol intake. If no abnormality found contact specialist.</w:t>
                  </w:r>
                </w:p>
              </w:tc>
            </w:tr>
            <w:tr w:rsidR="00097D24" w14:paraId="2DEAA61D" w14:textId="77777777" w:rsidTr="00097D24">
              <w:trPr>
                <w:trHeight w:val="267"/>
              </w:trPr>
              <w:tc>
                <w:tcPr>
                  <w:tcW w:w="4282" w:type="dxa"/>
                  <w:tcBorders>
                    <w:top w:val="single" w:sz="4" w:space="0" w:color="auto"/>
                    <w:left w:val="single" w:sz="4" w:space="0" w:color="auto"/>
                    <w:bottom w:val="single" w:sz="4" w:space="0" w:color="auto"/>
                    <w:right w:val="single" w:sz="4" w:space="0" w:color="auto"/>
                  </w:tcBorders>
                  <w:hideMark/>
                </w:tcPr>
                <w:p w14:paraId="37F71873" w14:textId="77777777" w:rsidR="00097D24" w:rsidRDefault="00097D24" w:rsidP="00097D24">
                  <w:pPr>
                    <w:spacing w:after="0" w:line="240" w:lineRule="auto"/>
                    <w:rPr>
                      <w:rFonts w:ascii="Arial" w:hAnsi="Arial" w:cs="Arial"/>
                    </w:rPr>
                  </w:pPr>
                  <w:r>
                    <w:rPr>
                      <w:rFonts w:ascii="Arial" w:hAnsi="Arial" w:cs="Arial"/>
                    </w:rPr>
                    <w:t>Albumin – unexplained fall to &lt;30 g/L</w:t>
                  </w:r>
                </w:p>
              </w:tc>
              <w:tc>
                <w:tcPr>
                  <w:tcW w:w="6255" w:type="dxa"/>
                  <w:tcBorders>
                    <w:top w:val="single" w:sz="4" w:space="0" w:color="auto"/>
                    <w:left w:val="single" w:sz="4" w:space="0" w:color="auto"/>
                    <w:bottom w:val="single" w:sz="4" w:space="0" w:color="auto"/>
                    <w:right w:val="single" w:sz="4" w:space="0" w:color="auto"/>
                  </w:tcBorders>
                  <w:shd w:val="pct10" w:color="auto" w:fill="auto"/>
                  <w:hideMark/>
                </w:tcPr>
                <w:p w14:paraId="1D71B2F2" w14:textId="77777777" w:rsidR="00097D24" w:rsidRDefault="00097D24" w:rsidP="00097D24">
                  <w:pPr>
                    <w:spacing w:after="0" w:line="240" w:lineRule="auto"/>
                    <w:rPr>
                      <w:rFonts w:ascii="Arial" w:hAnsi="Arial" w:cs="Arial"/>
                    </w:rPr>
                  </w:pPr>
                  <w:r>
                    <w:rPr>
                      <w:rFonts w:ascii="Arial" w:hAnsi="Arial" w:cs="Arial"/>
                    </w:rPr>
                    <w:t>Discuss with specialist</w:t>
                  </w:r>
                </w:p>
              </w:tc>
            </w:tr>
            <w:tr w:rsidR="00097D24" w14:paraId="0F0C3F55" w14:textId="77777777" w:rsidTr="00097D24">
              <w:trPr>
                <w:trHeight w:val="1094"/>
              </w:trPr>
              <w:tc>
                <w:tcPr>
                  <w:tcW w:w="4282" w:type="dxa"/>
                  <w:tcBorders>
                    <w:top w:val="single" w:sz="4" w:space="0" w:color="auto"/>
                    <w:left w:val="single" w:sz="4" w:space="0" w:color="auto"/>
                    <w:bottom w:val="single" w:sz="4" w:space="0" w:color="auto"/>
                    <w:right w:val="single" w:sz="4" w:space="0" w:color="auto"/>
                  </w:tcBorders>
                  <w:hideMark/>
                </w:tcPr>
                <w:p w14:paraId="1DF362DB" w14:textId="77777777" w:rsidR="00097D24" w:rsidRDefault="00097D24" w:rsidP="00097D24">
                  <w:pPr>
                    <w:spacing w:after="0" w:line="240" w:lineRule="auto"/>
                    <w:rPr>
                      <w:rFonts w:ascii="Arial" w:hAnsi="Arial" w:cs="Arial"/>
                    </w:rPr>
                  </w:pPr>
                  <w:r>
                    <w:rPr>
                      <w:rFonts w:ascii="Arial" w:hAnsi="Arial" w:cs="Arial"/>
                    </w:rPr>
                    <w:t>Creatinine rise &gt;30% over 12 months and/ or calculated GFR &lt;60</w:t>
                  </w:r>
                </w:p>
              </w:tc>
              <w:tc>
                <w:tcPr>
                  <w:tcW w:w="6255" w:type="dxa"/>
                  <w:tcBorders>
                    <w:top w:val="single" w:sz="4" w:space="0" w:color="auto"/>
                    <w:left w:val="single" w:sz="4" w:space="0" w:color="auto"/>
                    <w:bottom w:val="single" w:sz="4" w:space="0" w:color="auto"/>
                    <w:right w:val="single" w:sz="4" w:space="0" w:color="auto"/>
                  </w:tcBorders>
                  <w:shd w:val="pct10" w:color="auto" w:fill="auto"/>
                  <w:hideMark/>
                </w:tcPr>
                <w:p w14:paraId="1D242781" w14:textId="77777777" w:rsidR="00097D24" w:rsidRDefault="00097D24" w:rsidP="00097D24">
                  <w:pPr>
                    <w:spacing w:after="0" w:line="240" w:lineRule="auto"/>
                    <w:rPr>
                      <w:rFonts w:ascii="Arial" w:hAnsi="Arial" w:cs="Arial"/>
                    </w:rPr>
                  </w:pPr>
                  <w:r>
                    <w:rPr>
                      <w:rFonts w:ascii="Arial" w:hAnsi="Arial" w:cs="Arial"/>
                    </w:rPr>
                    <w:t>Review hydration status and any change in medications especially addition of ACE inhibitors, angiotensin 2 receptor blockers, diuretics and NSAIDs. Withhold and discuss with specialist as dose adjustment likely to be required.</w:t>
                  </w:r>
                </w:p>
              </w:tc>
            </w:tr>
            <w:tr w:rsidR="00097D24" w14:paraId="1DED54BF" w14:textId="77777777" w:rsidTr="00097D24">
              <w:trPr>
                <w:trHeight w:val="284"/>
              </w:trPr>
              <w:tc>
                <w:tcPr>
                  <w:tcW w:w="4282" w:type="dxa"/>
                  <w:tcBorders>
                    <w:top w:val="single" w:sz="4" w:space="0" w:color="auto"/>
                    <w:left w:val="single" w:sz="4" w:space="0" w:color="auto"/>
                    <w:bottom w:val="single" w:sz="4" w:space="0" w:color="auto"/>
                    <w:right w:val="single" w:sz="4" w:space="0" w:color="auto"/>
                  </w:tcBorders>
                  <w:hideMark/>
                </w:tcPr>
                <w:p w14:paraId="63E64D95" w14:textId="77777777" w:rsidR="00097D24" w:rsidRDefault="00097D24" w:rsidP="00097D24">
                  <w:pPr>
                    <w:spacing w:after="0" w:line="240" w:lineRule="auto"/>
                    <w:rPr>
                      <w:rFonts w:ascii="Arial" w:hAnsi="Arial" w:cs="Arial"/>
                    </w:rPr>
                  </w:pPr>
                  <w:r>
                    <w:rPr>
                      <w:rFonts w:ascii="Arial" w:hAnsi="Arial" w:cs="Arial"/>
                    </w:rPr>
                    <w:t>ESR/ CRP rise above baseline</w:t>
                  </w:r>
                </w:p>
              </w:tc>
              <w:tc>
                <w:tcPr>
                  <w:tcW w:w="6255" w:type="dxa"/>
                  <w:tcBorders>
                    <w:top w:val="single" w:sz="4" w:space="0" w:color="auto"/>
                    <w:left w:val="single" w:sz="4" w:space="0" w:color="auto"/>
                    <w:bottom w:val="single" w:sz="4" w:space="0" w:color="auto"/>
                    <w:right w:val="single" w:sz="4" w:space="0" w:color="auto"/>
                  </w:tcBorders>
                  <w:shd w:val="pct10" w:color="auto" w:fill="auto"/>
                  <w:hideMark/>
                </w:tcPr>
                <w:p w14:paraId="153B45B1" w14:textId="77777777" w:rsidR="00097D24" w:rsidRDefault="00097D24" w:rsidP="00097D24">
                  <w:pPr>
                    <w:spacing w:after="0" w:line="240" w:lineRule="auto"/>
                    <w:rPr>
                      <w:rFonts w:ascii="Arial" w:hAnsi="Arial" w:cs="Arial"/>
                    </w:rPr>
                  </w:pPr>
                  <w:r>
                    <w:rPr>
                      <w:rFonts w:ascii="Arial" w:hAnsi="Arial" w:cs="Arial"/>
                    </w:rPr>
                    <w:t>Screen for infection and contact specialist if not found</w:t>
                  </w:r>
                </w:p>
              </w:tc>
            </w:tr>
            <w:tr w:rsidR="00097D24" w14:paraId="3BB24999" w14:textId="77777777" w:rsidTr="00097D24">
              <w:trPr>
                <w:trHeight w:val="1324"/>
              </w:trPr>
              <w:tc>
                <w:tcPr>
                  <w:tcW w:w="4282" w:type="dxa"/>
                  <w:tcBorders>
                    <w:top w:val="single" w:sz="4" w:space="0" w:color="auto"/>
                    <w:left w:val="single" w:sz="4" w:space="0" w:color="auto"/>
                    <w:bottom w:val="single" w:sz="4" w:space="0" w:color="auto"/>
                    <w:right w:val="single" w:sz="4" w:space="0" w:color="auto"/>
                  </w:tcBorders>
                  <w:hideMark/>
                </w:tcPr>
                <w:p w14:paraId="34D8D4C4" w14:textId="77777777" w:rsidR="00097D24" w:rsidRDefault="00097D24" w:rsidP="00097D24">
                  <w:pPr>
                    <w:spacing w:after="0"/>
                    <w:rPr>
                      <w:rFonts w:ascii="Arial" w:hAnsi="Arial" w:cs="Arial"/>
                    </w:rPr>
                  </w:pPr>
                  <w:r>
                    <w:rPr>
                      <w:rFonts w:ascii="Arial" w:hAnsi="Arial" w:cs="Arial"/>
                    </w:rPr>
                    <w:t xml:space="preserve">P3NP &gt;4.2mg/l on 3 occasions in </w:t>
                  </w:r>
                  <w:proofErr w:type="gramStart"/>
                  <w:r>
                    <w:rPr>
                      <w:rFonts w:ascii="Arial" w:hAnsi="Arial" w:cs="Arial"/>
                    </w:rPr>
                    <w:t>12 month</w:t>
                  </w:r>
                  <w:proofErr w:type="gramEnd"/>
                  <w:r>
                    <w:rPr>
                      <w:rFonts w:ascii="Arial" w:hAnsi="Arial" w:cs="Arial"/>
                    </w:rPr>
                    <w:t xml:space="preserve"> period</w:t>
                  </w:r>
                </w:p>
                <w:p w14:paraId="7D673193" w14:textId="77777777" w:rsidR="00097D24" w:rsidRDefault="00097D24" w:rsidP="00097D24">
                  <w:pPr>
                    <w:spacing w:after="0"/>
                    <w:rPr>
                      <w:rFonts w:ascii="Arial" w:hAnsi="Arial" w:cs="Arial"/>
                      <w:b/>
                      <w:bCs/>
                      <w:u w:val="single"/>
                    </w:rPr>
                  </w:pPr>
                  <w:r>
                    <w:rPr>
                      <w:rFonts w:ascii="Arial" w:hAnsi="Arial" w:cs="Arial"/>
                      <w:b/>
                      <w:bCs/>
                      <w:u w:val="single"/>
                    </w:rPr>
                    <w:t>OR</w:t>
                  </w:r>
                </w:p>
                <w:p w14:paraId="7AE5D474" w14:textId="77777777" w:rsidR="00097D24" w:rsidRDefault="00097D24" w:rsidP="00097D24">
                  <w:pPr>
                    <w:spacing w:after="0"/>
                    <w:rPr>
                      <w:rFonts w:ascii="Arial" w:hAnsi="Arial" w:cs="Arial"/>
                    </w:rPr>
                  </w:pPr>
                  <w:r>
                    <w:rPr>
                      <w:rFonts w:ascii="Arial" w:hAnsi="Arial" w:cs="Arial"/>
                    </w:rPr>
                    <w:t xml:space="preserve">P3NP &gt;8.0mg/l on 2 occasions </w:t>
                  </w:r>
                </w:p>
                <w:p w14:paraId="5E145050" w14:textId="77777777" w:rsidR="00097D24" w:rsidRDefault="00097D24" w:rsidP="00097D24">
                  <w:pPr>
                    <w:spacing w:after="0"/>
                    <w:rPr>
                      <w:rFonts w:ascii="Arial" w:hAnsi="Arial" w:cs="Arial"/>
                      <w:b/>
                      <w:bCs/>
                      <w:u w:val="single"/>
                    </w:rPr>
                  </w:pPr>
                  <w:r>
                    <w:rPr>
                      <w:rFonts w:ascii="Arial" w:hAnsi="Arial" w:cs="Arial"/>
                      <w:b/>
                      <w:bCs/>
                      <w:u w:val="single"/>
                    </w:rPr>
                    <w:t>OR</w:t>
                  </w:r>
                </w:p>
                <w:p w14:paraId="4C59F5BD" w14:textId="77777777" w:rsidR="00097D24" w:rsidRDefault="00097D24" w:rsidP="00097D24">
                  <w:pPr>
                    <w:spacing w:after="0" w:line="240" w:lineRule="auto"/>
                  </w:pPr>
                  <w:r>
                    <w:rPr>
                      <w:rFonts w:ascii="Arial" w:hAnsi="Arial" w:cs="Arial"/>
                    </w:rPr>
                    <w:t xml:space="preserve">P3NP &gt;10mg/l on 1 occasion </w:t>
                  </w:r>
                </w:p>
              </w:tc>
              <w:tc>
                <w:tcPr>
                  <w:tcW w:w="6255"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323523FC" w14:textId="483FE860" w:rsidR="00097D24" w:rsidRDefault="00A20476" w:rsidP="00097D24">
                  <w:pPr>
                    <w:spacing w:after="0" w:line="240" w:lineRule="auto"/>
                    <w:rPr>
                      <w:rFonts w:ascii="Arial" w:hAnsi="Arial" w:cs="Arial"/>
                    </w:rPr>
                  </w:pPr>
                  <w:r>
                    <w:rPr>
                      <w:rFonts w:ascii="Arial" w:hAnsi="Arial" w:cs="Arial"/>
                    </w:rPr>
                    <w:t>The</w:t>
                  </w:r>
                  <w:r w:rsidR="00097D24">
                    <w:rPr>
                      <w:rFonts w:ascii="Arial" w:hAnsi="Arial" w:cs="Arial"/>
                    </w:rPr>
                    <w:t xml:space="preserve"> Dermatologist will </w:t>
                  </w:r>
                  <w:r>
                    <w:rPr>
                      <w:rFonts w:ascii="Arial" w:hAnsi="Arial" w:cs="Arial"/>
                    </w:rPr>
                    <w:t xml:space="preserve">advise GP </w:t>
                  </w:r>
                  <w:r w:rsidR="00201391" w:rsidRPr="00201391">
                    <w:rPr>
                      <w:rFonts w:ascii="Arial" w:hAnsi="Arial" w:cs="Arial"/>
                    </w:rPr>
                    <w:t>and patient if dose needs to STOP or reduction in dose</w:t>
                  </w:r>
                  <w:r w:rsidR="00EC78B6">
                    <w:rPr>
                      <w:rFonts w:ascii="Arial" w:hAnsi="Arial" w:cs="Arial"/>
                    </w:rPr>
                    <w:t>;</w:t>
                  </w:r>
                  <w:r w:rsidR="00201391" w:rsidRPr="00201391">
                    <w:rPr>
                      <w:rFonts w:ascii="Arial" w:hAnsi="Arial" w:cs="Arial"/>
                    </w:rPr>
                    <w:t xml:space="preserve"> and seek advice from Hepatologist as required.</w:t>
                  </w:r>
                </w:p>
              </w:tc>
            </w:tr>
          </w:tbl>
          <w:p w14:paraId="70CF71F8" w14:textId="77777777" w:rsidR="00E60DF5" w:rsidRPr="00755AEA" w:rsidRDefault="00E60DF5" w:rsidP="00755AEA">
            <w:pPr>
              <w:spacing w:after="0" w:line="240" w:lineRule="auto"/>
              <w:rPr>
                <w:rFonts w:ascii="Arial" w:eastAsia="Times New Roman" w:hAnsi="Arial" w:cs="Arial"/>
                <w:bCs/>
                <w:lang w:eastAsia="en-GB"/>
              </w:rPr>
            </w:pPr>
          </w:p>
        </w:tc>
      </w:tr>
    </w:tbl>
    <w:p w14:paraId="309FF779" w14:textId="77777777" w:rsidR="005430C6" w:rsidRDefault="005430C6" w:rsidP="008522DD">
      <w:pPr>
        <w:spacing w:after="0" w:line="240" w:lineRule="auto"/>
        <w:contextualSpacing/>
        <w:jc w:val="both"/>
        <w:rPr>
          <w:rFonts w:ascii="Arial" w:eastAsia="Times New Roman" w:hAnsi="Arial" w:cs="Arial"/>
          <w:bCs/>
          <w:szCs w:val="24"/>
          <w:lang w:val="en-US"/>
        </w:rPr>
      </w:pPr>
    </w:p>
    <w:p w14:paraId="03E5B693" w14:textId="77777777" w:rsidR="005D1B7A" w:rsidRPr="00CE407B"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Pr>
          <w:rFonts w:ascii="Arial" w:hAnsi="Arial" w:cs="Arial"/>
        </w:rPr>
        <w:t>The expectation is that thi</w:t>
      </w:r>
      <w:r w:rsidR="00006B2A">
        <w:rPr>
          <w:rFonts w:ascii="Arial" w:hAnsi="Arial" w:cs="Arial"/>
        </w:rPr>
        <w:t xml:space="preserve">s information </w:t>
      </w:r>
      <w:r>
        <w:rPr>
          <w:rFonts w:ascii="Arial" w:hAnsi="Arial" w:cs="Arial"/>
        </w:rPr>
        <w:t>along with the full protocol</w:t>
      </w:r>
      <w:r w:rsidRPr="00CE407B">
        <w:rPr>
          <w:rFonts w:ascii="Arial" w:hAnsi="Arial" w:cs="Arial"/>
        </w:rPr>
        <w:t xml:space="preserve"> provide</w:t>
      </w:r>
      <w:r w:rsidR="003763B3">
        <w:rPr>
          <w:rFonts w:ascii="Arial" w:hAnsi="Arial" w:cs="Arial"/>
        </w:rPr>
        <w:t>s</w:t>
      </w:r>
      <w:r w:rsidRPr="00CE407B">
        <w:rPr>
          <w:rFonts w:ascii="Arial" w:hAnsi="Arial" w:cs="Arial"/>
        </w:rPr>
        <w:t xml:space="preserve"> suff</w:t>
      </w:r>
      <w:r>
        <w:rPr>
          <w:rFonts w:ascii="Arial" w:hAnsi="Arial" w:cs="Arial"/>
        </w:rPr>
        <w:t>icient information to enable GPs</w:t>
      </w:r>
      <w:r w:rsidRPr="00CE407B">
        <w:rPr>
          <w:rFonts w:ascii="Arial" w:hAnsi="Arial" w:cs="Arial"/>
        </w:rPr>
        <w:t xml:space="preserve"> to be confid</w:t>
      </w:r>
      <w:r>
        <w:rPr>
          <w:rFonts w:ascii="Arial" w:hAnsi="Arial" w:cs="Arial"/>
        </w:rPr>
        <w:t xml:space="preserve">ent to take on the clinical &amp; </w:t>
      </w:r>
      <w:r w:rsidRPr="00CE407B">
        <w:rPr>
          <w:rFonts w:ascii="Arial" w:hAnsi="Arial" w:cs="Arial"/>
        </w:rPr>
        <w:t>legal responsibility for prescribing and monitoring.</w:t>
      </w:r>
    </w:p>
    <w:p w14:paraId="1E99E22C" w14:textId="77777777" w:rsidR="005D1B7A"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sidRPr="00682980">
        <w:rPr>
          <w:rFonts w:ascii="Arial" w:hAnsi="Arial" w:cs="Arial"/>
        </w:rPr>
        <w:t xml:space="preserve">Prescribing and monitoring responsibility will only be transferred </w:t>
      </w:r>
      <w:r>
        <w:rPr>
          <w:rFonts w:ascii="Arial" w:hAnsi="Arial" w:cs="Arial"/>
        </w:rPr>
        <w:t xml:space="preserve">under this shared care protocol </w:t>
      </w:r>
      <w:r w:rsidRPr="00682980">
        <w:rPr>
          <w:rFonts w:ascii="Arial" w:hAnsi="Arial" w:cs="Arial"/>
        </w:rPr>
        <w:t>when</w:t>
      </w:r>
      <w:r>
        <w:rPr>
          <w:rFonts w:ascii="Arial" w:hAnsi="Arial" w:cs="Arial"/>
        </w:rPr>
        <w:t>:</w:t>
      </w:r>
    </w:p>
    <w:p w14:paraId="10867160" w14:textId="77777777" w:rsidR="005D1B7A" w:rsidRDefault="005D1B7A" w:rsidP="005D1B7A">
      <w:pPr>
        <w:pStyle w:val="ListParagraph"/>
        <w:numPr>
          <w:ilvl w:val="0"/>
          <w:numId w:val="5"/>
        </w:numPr>
        <w:autoSpaceDE w:val="0"/>
        <w:autoSpaceDN w:val="0"/>
        <w:adjustRightInd w:val="0"/>
        <w:spacing w:after="0" w:line="240" w:lineRule="auto"/>
        <w:jc w:val="both"/>
        <w:rPr>
          <w:rFonts w:ascii="Arial" w:hAnsi="Arial" w:cs="Arial"/>
        </w:rPr>
      </w:pPr>
      <w:r>
        <w:rPr>
          <w:rFonts w:ascii="Arial" w:hAnsi="Arial" w:cs="Arial"/>
        </w:rPr>
        <w:t xml:space="preserve">Specialist has initiated treatment and prescribed/monitored treatment for </w:t>
      </w:r>
      <w:r w:rsidRPr="00F12528">
        <w:rPr>
          <w:rFonts w:ascii="Arial" w:hAnsi="Arial" w:cs="Arial"/>
        </w:rPr>
        <w:t>initial stabilisation period</w:t>
      </w:r>
      <w:r>
        <w:rPr>
          <w:rFonts w:ascii="Arial" w:hAnsi="Arial" w:cs="Arial"/>
        </w:rPr>
        <w:t>.</w:t>
      </w:r>
    </w:p>
    <w:p w14:paraId="10B83CFB" w14:textId="77777777" w:rsidR="005D1B7A" w:rsidRPr="00CE407B" w:rsidRDefault="005D1B7A" w:rsidP="005D1B7A">
      <w:pPr>
        <w:pStyle w:val="ListParagraph"/>
        <w:numPr>
          <w:ilvl w:val="0"/>
          <w:numId w:val="5"/>
        </w:numPr>
        <w:spacing w:line="240" w:lineRule="auto"/>
        <w:rPr>
          <w:rFonts w:ascii="Arial" w:hAnsi="Arial" w:cs="Arial"/>
        </w:rPr>
      </w:pPr>
      <w:r>
        <w:rPr>
          <w:rFonts w:ascii="Arial" w:hAnsi="Arial" w:cs="Arial"/>
        </w:rPr>
        <w:t xml:space="preserve">Specialist has </w:t>
      </w:r>
      <w:r w:rsidRPr="00CE407B">
        <w:rPr>
          <w:rFonts w:ascii="Arial" w:hAnsi="Arial" w:cs="Arial"/>
        </w:rPr>
        <w:t>provide</w:t>
      </w:r>
      <w:r>
        <w:rPr>
          <w:rFonts w:ascii="Arial" w:hAnsi="Arial" w:cs="Arial"/>
        </w:rPr>
        <w:t>d</w:t>
      </w:r>
      <w:r w:rsidRPr="00CE407B">
        <w:rPr>
          <w:rFonts w:ascii="Arial" w:hAnsi="Arial" w:cs="Arial"/>
        </w:rPr>
        <w:t xml:space="preserve"> pre-treatment counse</w:t>
      </w:r>
      <w:r>
        <w:rPr>
          <w:rFonts w:ascii="Arial" w:hAnsi="Arial" w:cs="Arial"/>
        </w:rPr>
        <w:t>l</w:t>
      </w:r>
      <w:r w:rsidRPr="00CE407B">
        <w:rPr>
          <w:rFonts w:ascii="Arial" w:hAnsi="Arial" w:cs="Arial"/>
        </w:rPr>
        <w:t>ling and discuss</w:t>
      </w:r>
      <w:r>
        <w:rPr>
          <w:rFonts w:ascii="Arial" w:hAnsi="Arial" w:cs="Arial"/>
        </w:rPr>
        <w:t>ed</w:t>
      </w:r>
      <w:r w:rsidRPr="00CE407B">
        <w:rPr>
          <w:rFonts w:ascii="Arial" w:hAnsi="Arial" w:cs="Arial"/>
        </w:rPr>
        <w:t xml:space="preserve"> patient responsibilities, preferences and obtain</w:t>
      </w:r>
      <w:r>
        <w:rPr>
          <w:rFonts w:ascii="Arial" w:hAnsi="Arial" w:cs="Arial"/>
        </w:rPr>
        <w:t>ed</w:t>
      </w:r>
      <w:r w:rsidRPr="00CE407B">
        <w:rPr>
          <w:rFonts w:ascii="Arial" w:hAnsi="Arial" w:cs="Arial"/>
        </w:rPr>
        <w:t xml:space="preserve"> consent to shared care arrangements.</w:t>
      </w:r>
    </w:p>
    <w:p w14:paraId="07081924" w14:textId="3F39CFE1" w:rsidR="00E85B9D" w:rsidRPr="00D7659F" w:rsidRDefault="005D1B7A" w:rsidP="00D7659F">
      <w:pPr>
        <w:pStyle w:val="ListParagraph"/>
        <w:numPr>
          <w:ilvl w:val="0"/>
          <w:numId w:val="5"/>
        </w:numPr>
        <w:spacing w:line="240" w:lineRule="auto"/>
        <w:rPr>
          <w:rFonts w:ascii="Arial" w:hAnsi="Arial" w:cs="Arial"/>
        </w:rPr>
      </w:pPr>
      <w:r>
        <w:rPr>
          <w:rFonts w:ascii="Arial" w:hAnsi="Arial" w:cs="Arial"/>
        </w:rPr>
        <w:t xml:space="preserve">Specialist and patient have </w:t>
      </w:r>
      <w:r w:rsidRPr="002E5B12">
        <w:rPr>
          <w:rFonts w:ascii="Arial" w:hAnsi="Arial" w:cs="Arial"/>
        </w:rPr>
        <w:t>comple</w:t>
      </w:r>
      <w:r w:rsidRPr="00D7659F">
        <w:rPr>
          <w:rFonts w:ascii="Arial" w:hAnsi="Arial" w:cs="Arial"/>
        </w:rPr>
        <w:t>ted and signed the shared care agreement form</w:t>
      </w:r>
      <w:r w:rsidR="000678AD" w:rsidRPr="00D7659F">
        <w:rPr>
          <w:rFonts w:ascii="Arial" w:hAnsi="Arial" w:cs="Arial"/>
        </w:rPr>
        <w:t xml:space="preserve"> (page </w:t>
      </w:r>
      <w:r w:rsidR="00DD236B">
        <w:rPr>
          <w:rFonts w:ascii="Arial" w:hAnsi="Arial" w:cs="Arial"/>
        </w:rPr>
        <w:t>1</w:t>
      </w:r>
      <w:r w:rsidRPr="00D7659F">
        <w:rPr>
          <w:rFonts w:ascii="Arial" w:hAnsi="Arial" w:cs="Arial"/>
        </w:rPr>
        <w:t xml:space="preserve">). </w:t>
      </w:r>
    </w:p>
    <w:p w14:paraId="0DC690BA" w14:textId="6E909DDD" w:rsidR="00D7659F" w:rsidRDefault="00D7659F" w:rsidP="00BE545B">
      <w:pPr>
        <w:spacing w:after="120" w:line="240" w:lineRule="auto"/>
        <w:rPr>
          <w:rFonts w:ascii="Arial" w:eastAsia="Times New Roman" w:hAnsi="Arial" w:cs="Arial"/>
          <w:b/>
          <w:sz w:val="28"/>
          <w:szCs w:val="24"/>
          <w:u w:val="single"/>
          <w:lang w:val="en-US"/>
        </w:rPr>
      </w:pPr>
    </w:p>
    <w:p w14:paraId="3D051D5F" w14:textId="0844A98B" w:rsidR="006443C5" w:rsidRDefault="006443C5" w:rsidP="00BE545B">
      <w:pPr>
        <w:spacing w:after="120" w:line="240" w:lineRule="auto"/>
        <w:rPr>
          <w:rFonts w:ascii="Arial" w:eastAsia="Times New Roman" w:hAnsi="Arial" w:cs="Arial"/>
          <w:b/>
          <w:sz w:val="28"/>
          <w:szCs w:val="24"/>
          <w:u w:val="single"/>
          <w:lang w:val="en-US"/>
        </w:rPr>
      </w:pPr>
    </w:p>
    <w:p w14:paraId="4D28FFC7" w14:textId="38E95DAB" w:rsidR="006443C5" w:rsidRDefault="006443C5" w:rsidP="00BE545B">
      <w:pPr>
        <w:spacing w:after="120" w:line="240" w:lineRule="auto"/>
        <w:rPr>
          <w:rFonts w:ascii="Arial" w:eastAsia="Times New Roman" w:hAnsi="Arial" w:cs="Arial"/>
          <w:b/>
          <w:sz w:val="28"/>
          <w:szCs w:val="24"/>
          <w:u w:val="single"/>
          <w:lang w:val="en-US"/>
        </w:rPr>
      </w:pPr>
    </w:p>
    <w:p w14:paraId="6BBB43EF" w14:textId="0A2A075D" w:rsidR="006443C5" w:rsidRDefault="006443C5" w:rsidP="00BE545B">
      <w:pPr>
        <w:spacing w:after="120" w:line="240" w:lineRule="auto"/>
        <w:rPr>
          <w:rFonts w:ascii="Arial" w:eastAsia="Times New Roman" w:hAnsi="Arial" w:cs="Arial"/>
          <w:b/>
          <w:sz w:val="28"/>
          <w:szCs w:val="24"/>
          <w:u w:val="single"/>
          <w:lang w:val="en-US"/>
        </w:rPr>
      </w:pPr>
    </w:p>
    <w:p w14:paraId="09691EAE" w14:textId="20CAACEA" w:rsidR="006443C5" w:rsidRDefault="006443C5" w:rsidP="00BE545B">
      <w:pPr>
        <w:spacing w:after="120" w:line="240" w:lineRule="auto"/>
        <w:rPr>
          <w:rFonts w:ascii="Arial" w:eastAsia="Times New Roman" w:hAnsi="Arial" w:cs="Arial"/>
          <w:b/>
          <w:sz w:val="28"/>
          <w:szCs w:val="24"/>
          <w:u w:val="single"/>
          <w:lang w:val="en-US"/>
        </w:rPr>
      </w:pPr>
    </w:p>
    <w:p w14:paraId="1A584D39" w14:textId="489750BC" w:rsidR="006443C5" w:rsidRDefault="006443C5" w:rsidP="00BE545B">
      <w:pPr>
        <w:spacing w:after="120" w:line="240" w:lineRule="auto"/>
        <w:rPr>
          <w:rFonts w:ascii="Arial" w:eastAsia="Times New Roman" w:hAnsi="Arial" w:cs="Arial"/>
          <w:b/>
          <w:sz w:val="28"/>
          <w:szCs w:val="24"/>
          <w:u w:val="single"/>
          <w:lang w:val="en-US"/>
        </w:rPr>
      </w:pPr>
    </w:p>
    <w:p w14:paraId="70010BA5" w14:textId="7328A07D" w:rsidR="006443C5" w:rsidRDefault="006443C5" w:rsidP="00BE545B">
      <w:pPr>
        <w:spacing w:after="120" w:line="240" w:lineRule="auto"/>
        <w:rPr>
          <w:rFonts w:ascii="Arial" w:eastAsia="Times New Roman" w:hAnsi="Arial" w:cs="Arial"/>
          <w:b/>
          <w:sz w:val="28"/>
          <w:szCs w:val="24"/>
          <w:u w:val="single"/>
          <w:lang w:val="en-US"/>
        </w:rPr>
      </w:pPr>
    </w:p>
    <w:p w14:paraId="78A1DCCF" w14:textId="77777777" w:rsidR="006443C5" w:rsidRDefault="006443C5" w:rsidP="00BE545B">
      <w:pPr>
        <w:spacing w:after="120" w:line="240" w:lineRule="auto"/>
        <w:rPr>
          <w:rFonts w:ascii="Arial" w:eastAsia="Times New Roman" w:hAnsi="Arial" w:cs="Arial"/>
          <w:b/>
          <w:sz w:val="28"/>
          <w:szCs w:val="24"/>
          <w:u w:val="single"/>
          <w:lang w:val="en-US"/>
        </w:rPr>
      </w:pPr>
    </w:p>
    <w:p w14:paraId="3C996768" w14:textId="6E3C9E58" w:rsidR="00097D24" w:rsidRDefault="00097D24" w:rsidP="00BE545B">
      <w:pPr>
        <w:spacing w:after="120" w:line="240" w:lineRule="auto"/>
        <w:rPr>
          <w:rFonts w:ascii="Arial" w:eastAsia="Times New Roman" w:hAnsi="Arial" w:cs="Arial"/>
          <w:b/>
          <w:sz w:val="28"/>
          <w:szCs w:val="24"/>
          <w:u w:val="single"/>
          <w:lang w:val="en-US"/>
        </w:rPr>
      </w:pPr>
    </w:p>
    <w:p w14:paraId="26939114" w14:textId="06317087" w:rsidR="006A5754" w:rsidRDefault="006A5754" w:rsidP="00BE545B">
      <w:pPr>
        <w:spacing w:after="120" w:line="240" w:lineRule="auto"/>
        <w:rPr>
          <w:rFonts w:ascii="Arial" w:eastAsia="Times New Roman" w:hAnsi="Arial" w:cs="Arial"/>
          <w:b/>
          <w:sz w:val="28"/>
          <w:szCs w:val="24"/>
          <w:u w:val="single"/>
          <w:lang w:val="en-US"/>
        </w:rPr>
      </w:pPr>
    </w:p>
    <w:p w14:paraId="4DB28E6D" w14:textId="77777777" w:rsidR="007E0C3B" w:rsidRDefault="007E0C3B" w:rsidP="00BE545B">
      <w:pPr>
        <w:spacing w:after="120" w:line="240" w:lineRule="auto"/>
        <w:rPr>
          <w:rFonts w:ascii="Arial" w:eastAsia="Times New Roman" w:hAnsi="Arial" w:cs="Arial"/>
          <w:b/>
          <w:sz w:val="28"/>
          <w:szCs w:val="24"/>
          <w:u w:val="single"/>
          <w:lang w:val="en-US"/>
        </w:rPr>
      </w:pPr>
    </w:p>
    <w:p w14:paraId="1348625E" w14:textId="77777777" w:rsidR="007E0C3B" w:rsidRDefault="007E0C3B" w:rsidP="00BE545B">
      <w:pPr>
        <w:spacing w:after="120" w:line="240" w:lineRule="auto"/>
        <w:rPr>
          <w:rFonts w:ascii="Arial" w:eastAsia="Times New Roman" w:hAnsi="Arial" w:cs="Arial"/>
          <w:b/>
          <w:sz w:val="28"/>
          <w:szCs w:val="24"/>
          <w:u w:val="single"/>
          <w:lang w:val="en-US"/>
        </w:rPr>
      </w:pPr>
    </w:p>
    <w:p w14:paraId="31B6B0BA" w14:textId="48A6A690" w:rsidR="006A5754" w:rsidRDefault="006A5754" w:rsidP="00BE545B">
      <w:pPr>
        <w:spacing w:after="120" w:line="240" w:lineRule="auto"/>
        <w:rPr>
          <w:rFonts w:ascii="Arial" w:eastAsia="Times New Roman" w:hAnsi="Arial" w:cs="Arial"/>
          <w:b/>
          <w:sz w:val="28"/>
          <w:szCs w:val="24"/>
          <w:u w:val="single"/>
          <w:lang w:val="en-US"/>
        </w:rPr>
      </w:pPr>
    </w:p>
    <w:p w14:paraId="48B534A9" w14:textId="42D1DDC0" w:rsidR="002A009B" w:rsidRPr="002B0C19" w:rsidRDefault="00C83EBD" w:rsidP="002A009B">
      <w:pPr>
        <w:spacing w:after="0" w:line="240" w:lineRule="auto"/>
        <w:jc w:val="center"/>
        <w:rPr>
          <w:rFonts w:ascii="Arial" w:eastAsia="Times New Roman" w:hAnsi="Arial" w:cs="Times New Roman"/>
          <w:b/>
          <w:bCs/>
          <w:sz w:val="28"/>
          <w:szCs w:val="28"/>
          <w:u w:val="single"/>
        </w:rPr>
      </w:pPr>
      <w:r>
        <w:rPr>
          <w:rFonts w:ascii="Arial" w:eastAsia="Times New Roman" w:hAnsi="Arial" w:cs="Times New Roman"/>
          <w:b/>
          <w:bCs/>
          <w:sz w:val="28"/>
          <w:szCs w:val="28"/>
          <w:u w:val="single"/>
        </w:rPr>
        <w:t>Full Shared Care Protocol</w:t>
      </w:r>
    </w:p>
    <w:p w14:paraId="6AB216C7" w14:textId="77777777" w:rsidR="00004CD4" w:rsidRPr="007615C2" w:rsidRDefault="00004CD4" w:rsidP="00004CD4">
      <w:pPr>
        <w:spacing w:after="0" w:line="240" w:lineRule="auto"/>
        <w:jc w:val="center"/>
        <w:rPr>
          <w:rFonts w:ascii="Arial" w:eastAsia="Times New Roman" w:hAnsi="Arial" w:cs="Times New Roman"/>
          <w:b/>
          <w:bCs/>
          <w:sz w:val="12"/>
          <w:szCs w:val="24"/>
        </w:rPr>
      </w:pPr>
    </w:p>
    <w:p w14:paraId="7A7BFCE4" w14:textId="04D7438F" w:rsidR="00723203" w:rsidRDefault="00723203" w:rsidP="00CD1399">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Pr>
          <w:rFonts w:ascii="Arial" w:eastAsia="Times New Roman" w:hAnsi="Arial" w:cs="Times New Roman"/>
          <w:b/>
          <w:szCs w:val="24"/>
          <w:lang w:val="en-US"/>
        </w:rPr>
        <w:t>Shared C</w:t>
      </w:r>
      <w:r w:rsidR="00CD1399">
        <w:rPr>
          <w:rFonts w:ascii="Arial" w:eastAsia="Times New Roman" w:hAnsi="Arial" w:cs="Times New Roman"/>
          <w:b/>
          <w:szCs w:val="24"/>
          <w:lang w:val="en-US"/>
        </w:rPr>
        <w:t xml:space="preserve">are Protocol: Guideline No </w:t>
      </w:r>
      <w:r w:rsidR="006443C5">
        <w:rPr>
          <w:rFonts w:ascii="Arial" w:eastAsia="Times New Roman" w:hAnsi="Arial" w:cs="Times New Roman"/>
          <w:b/>
          <w:szCs w:val="24"/>
          <w:lang w:val="en-US"/>
        </w:rPr>
        <w:t>5</w:t>
      </w:r>
      <w:r w:rsidR="00CD1399">
        <w:rPr>
          <w:rFonts w:ascii="Arial" w:eastAsia="Times New Roman" w:hAnsi="Arial" w:cs="Times New Roman"/>
          <w:b/>
          <w:szCs w:val="24"/>
          <w:lang w:val="en-US"/>
        </w:rPr>
        <w:t xml:space="preserve">; </w:t>
      </w:r>
      <w:r>
        <w:rPr>
          <w:rFonts w:ascii="Arial" w:eastAsia="Times New Roman" w:hAnsi="Arial" w:cs="Times New Roman"/>
          <w:b/>
          <w:szCs w:val="24"/>
          <w:lang w:val="en-US"/>
        </w:rPr>
        <w:t xml:space="preserve">Version </w:t>
      </w:r>
      <w:r w:rsidR="006443C5" w:rsidRPr="007E0C3B">
        <w:rPr>
          <w:rFonts w:ascii="Arial" w:eastAsia="Times New Roman" w:hAnsi="Arial" w:cs="Times New Roman"/>
          <w:b/>
          <w:szCs w:val="24"/>
          <w:lang w:val="en-US"/>
        </w:rPr>
        <w:t>2</w:t>
      </w:r>
      <w:r w:rsidR="0069262F">
        <w:rPr>
          <w:rFonts w:ascii="Arial" w:eastAsia="Times New Roman" w:hAnsi="Arial" w:cs="Times New Roman"/>
          <w:b/>
          <w:szCs w:val="24"/>
          <w:lang w:val="en-US"/>
        </w:rPr>
        <w:t>.</w:t>
      </w:r>
      <w:r w:rsidR="00DD236B">
        <w:rPr>
          <w:rFonts w:ascii="Arial" w:eastAsia="Times New Roman" w:hAnsi="Arial" w:cs="Times New Roman"/>
          <w:b/>
          <w:szCs w:val="24"/>
          <w:lang w:val="en-US"/>
        </w:rPr>
        <w:t>2</w:t>
      </w:r>
    </w:p>
    <w:p w14:paraId="4070D61D" w14:textId="77777777" w:rsidR="00887786" w:rsidRDefault="00887786" w:rsidP="00887786">
      <w:pPr>
        <w:pBdr>
          <w:top w:val="double" w:sz="6" w:space="1" w:color="auto"/>
          <w:left w:val="double" w:sz="6" w:space="4" w:color="auto"/>
          <w:bottom w:val="double" w:sz="6" w:space="1" w:color="auto"/>
          <w:right w:val="double" w:sz="6" w:space="4" w:color="auto"/>
        </w:pBdr>
        <w:spacing w:after="0" w:line="240" w:lineRule="auto"/>
        <w:jc w:val="center"/>
        <w:rPr>
          <w:rFonts w:ascii="Arial" w:eastAsia="Times New Roman" w:hAnsi="Arial"/>
          <w:b/>
          <w:szCs w:val="24"/>
          <w:lang w:val="en-US"/>
        </w:rPr>
      </w:pPr>
      <w:r>
        <w:rPr>
          <w:rFonts w:ascii="Arial" w:eastAsia="Times New Roman" w:hAnsi="Arial"/>
          <w:b/>
          <w:szCs w:val="24"/>
          <w:lang w:val="en-US"/>
        </w:rPr>
        <w:t xml:space="preserve">Methotrexate (oral and subcutaneous) use in adults: </w:t>
      </w:r>
    </w:p>
    <w:p w14:paraId="750B7639" w14:textId="097FF120" w:rsidR="0069262F" w:rsidRDefault="0069262F" w:rsidP="0069262F">
      <w:pPr>
        <w:pBdr>
          <w:top w:val="double" w:sz="6" w:space="1" w:color="auto"/>
          <w:left w:val="double" w:sz="6" w:space="4" w:color="auto"/>
          <w:bottom w:val="double" w:sz="6" w:space="1" w:color="auto"/>
          <w:right w:val="double" w:sz="6" w:space="4" w:color="auto"/>
        </w:pBdr>
        <w:spacing w:after="0" w:line="240" w:lineRule="auto"/>
        <w:jc w:val="center"/>
        <w:rPr>
          <w:rFonts w:ascii="Arial" w:eastAsia="Times New Roman" w:hAnsi="Arial"/>
          <w:b/>
          <w:szCs w:val="24"/>
          <w:lang w:val="en-US"/>
        </w:rPr>
      </w:pPr>
      <w:r>
        <w:rPr>
          <w:rFonts w:ascii="Arial" w:eastAsia="Times New Roman" w:hAnsi="Arial"/>
          <w:b/>
          <w:szCs w:val="24"/>
          <w:lang w:val="en-US"/>
        </w:rPr>
        <w:t xml:space="preserve">Rheumatology, Dermatology, Gastroenterology </w:t>
      </w:r>
      <w:r w:rsidRPr="00C06FA7">
        <w:rPr>
          <w:rFonts w:ascii="Arial" w:eastAsia="Times New Roman" w:hAnsi="Arial"/>
          <w:b/>
          <w:szCs w:val="24"/>
          <w:lang w:val="en-US"/>
        </w:rPr>
        <w:t>and Respiratory</w:t>
      </w:r>
    </w:p>
    <w:p w14:paraId="01A1A0C8" w14:textId="77777777" w:rsidR="00004CD4" w:rsidRPr="007615C2" w:rsidRDefault="00004CD4" w:rsidP="00004CD4">
      <w:pPr>
        <w:spacing w:after="0" w:line="240" w:lineRule="auto"/>
        <w:contextualSpacing/>
        <w:jc w:val="center"/>
        <w:rPr>
          <w:rFonts w:ascii="Arial" w:eastAsia="Times New Roman" w:hAnsi="Arial" w:cs="Times New Roman"/>
          <w:sz w:val="12"/>
          <w:szCs w:val="24"/>
          <w:lang w:val="en-US"/>
        </w:rPr>
      </w:pPr>
    </w:p>
    <w:p w14:paraId="30A1C624" w14:textId="0F736BD6" w:rsidR="007615C2" w:rsidRPr="002A009B" w:rsidRDefault="00004CD4" w:rsidP="002A009B">
      <w:pPr>
        <w:spacing w:after="120" w:line="240" w:lineRule="auto"/>
        <w:jc w:val="both"/>
        <w:rPr>
          <w:rFonts w:ascii="Arial" w:eastAsia="Times New Roman" w:hAnsi="Arial" w:cs="Arial"/>
          <w:szCs w:val="24"/>
          <w:lang w:val="en-US" w:eastAsia="en-GB"/>
        </w:rPr>
      </w:pPr>
      <w:r w:rsidRPr="006F4129">
        <w:rPr>
          <w:rFonts w:ascii="Arial" w:eastAsia="Times New Roman" w:hAnsi="Arial" w:cs="Times New Roman"/>
          <w:b/>
          <w:lang w:val="en-US" w:eastAsia="en-GB"/>
        </w:rPr>
        <w:t xml:space="preserve">This </w:t>
      </w:r>
      <w:r>
        <w:rPr>
          <w:rFonts w:ascii="Arial" w:eastAsia="Times New Roman" w:hAnsi="Arial" w:cs="Times New Roman"/>
          <w:b/>
          <w:lang w:val="en-US" w:eastAsia="en-GB"/>
        </w:rPr>
        <w:t xml:space="preserve">full </w:t>
      </w:r>
      <w:r w:rsidRPr="006F4129">
        <w:rPr>
          <w:rFonts w:ascii="Arial" w:eastAsia="Times New Roman" w:hAnsi="Arial" w:cs="Times New Roman"/>
          <w:b/>
          <w:lang w:val="en-US" w:eastAsia="en-GB"/>
        </w:rPr>
        <w:t>protocol provides prescrib</w:t>
      </w:r>
      <w:r>
        <w:rPr>
          <w:rFonts w:ascii="Arial" w:eastAsia="Times New Roman" w:hAnsi="Arial" w:cs="Times New Roman"/>
          <w:b/>
          <w:lang w:val="en-US" w:eastAsia="en-GB"/>
        </w:rPr>
        <w:t>ing and monitoring guidance</w:t>
      </w:r>
      <w:r w:rsidR="002E1C37">
        <w:rPr>
          <w:rFonts w:ascii="Arial" w:eastAsia="Times New Roman" w:hAnsi="Arial" w:cs="Times New Roman"/>
          <w:b/>
          <w:lang w:val="en-US" w:eastAsia="en-GB"/>
        </w:rPr>
        <w:t>-</w:t>
      </w:r>
      <w:r w:rsidRPr="00F85EC9">
        <w:rPr>
          <w:rFonts w:ascii="Arial" w:eastAsia="Times New Roman" w:hAnsi="Arial" w:cs="Times New Roman"/>
          <w:b/>
          <w:lang w:val="en-US" w:eastAsia="en-GB"/>
        </w:rPr>
        <w:t xml:space="preserve"> </w:t>
      </w:r>
      <w:hyperlink r:id="rId11" w:history="1">
        <w:r w:rsidRPr="00C83EBD">
          <w:rPr>
            <w:rStyle w:val="Hyperlink"/>
            <w:rFonts w:ascii="Arial" w:eastAsia="Times New Roman" w:hAnsi="Arial" w:cs="Times New Roman"/>
            <w:b/>
            <w:lang w:val="en-US" w:eastAsia="en-GB"/>
          </w:rPr>
          <w:t>Summary of Product Characteristics (SPC)</w:t>
        </w:r>
      </w:hyperlink>
      <w:r w:rsidR="00C83EBD">
        <w:rPr>
          <w:rFonts w:ascii="Arial" w:eastAsia="Times New Roman" w:hAnsi="Arial" w:cs="Times New Roman"/>
          <w:b/>
          <w:lang w:val="en-US" w:eastAsia="en-GB"/>
        </w:rPr>
        <w:t xml:space="preserve"> </w:t>
      </w:r>
      <w:r w:rsidRPr="006F4129">
        <w:rPr>
          <w:rFonts w:ascii="Arial" w:eastAsia="Times New Roman" w:hAnsi="Arial" w:cs="Times New Roman"/>
          <w:b/>
          <w:lang w:val="en-US" w:eastAsia="en-GB"/>
        </w:rPr>
        <w:t xml:space="preserve">and the </w:t>
      </w:r>
      <w:hyperlink r:id="rId12" w:history="1">
        <w:r w:rsidRPr="006F4129">
          <w:rPr>
            <w:rFonts w:ascii="Arial" w:eastAsia="Times New Roman" w:hAnsi="Arial" w:cs="Times New Roman"/>
            <w:b/>
            <w:color w:val="0000FF"/>
            <w:u w:val="single"/>
            <w:lang w:val="en-US" w:eastAsia="en-GB"/>
          </w:rPr>
          <w:t>BNF</w:t>
        </w:r>
      </w:hyperlink>
      <w:r w:rsidRPr="006F4129">
        <w:rPr>
          <w:rFonts w:ascii="Arial" w:eastAsia="Times New Roman" w:hAnsi="Arial" w:cs="Times New Roman"/>
          <w:b/>
          <w:lang w:val="en-US" w:eastAsia="en-GB"/>
        </w:rPr>
        <w:t>.</w:t>
      </w:r>
      <w:r>
        <w:rPr>
          <w:rFonts w:ascii="Arial" w:eastAsia="Times New Roman" w:hAnsi="Arial" w:cs="Times New Roman"/>
          <w:b/>
          <w:lang w:val="en-US" w:eastAsia="en-GB"/>
        </w:rPr>
        <w:t xml:space="preserve"> </w:t>
      </w:r>
    </w:p>
    <w:p w14:paraId="493B105F" w14:textId="0A9A0ABA" w:rsidR="00004CD4" w:rsidRDefault="00004CD4" w:rsidP="00004CD4">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004CD4">
        <w:rPr>
          <w:rFonts w:ascii="Arial" w:hAnsi="Arial" w:cs="Arial"/>
          <w:b/>
        </w:rPr>
        <w:t>BACKGROUND AND INDICATION(S) FOR USE</w:t>
      </w:r>
    </w:p>
    <w:p w14:paraId="529A2E14" w14:textId="7FE68B0E" w:rsidR="00B11148" w:rsidRDefault="00B11148" w:rsidP="00004CD4">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p>
    <w:p w14:paraId="34259C7D" w14:textId="77777777" w:rsidR="00097D24" w:rsidRDefault="00097D24" w:rsidP="00097D24">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bCs/>
          <w:lang w:val="en-US"/>
        </w:rPr>
      </w:pPr>
      <w:r>
        <w:rPr>
          <w:rFonts w:ascii="Arial" w:hAnsi="Arial" w:cs="Arial"/>
          <w:bCs/>
          <w:lang w:val="en-US"/>
        </w:rPr>
        <w:t>Methotrexate is a folic acid antagonist and is classified as an antimetabolite cytotoxic agent. It can be used in a wide range of conditions.</w:t>
      </w:r>
    </w:p>
    <w:p w14:paraId="21F141C7" w14:textId="77777777" w:rsidR="00097D24" w:rsidRDefault="00097D24" w:rsidP="00097D24">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bCs/>
          <w:lang w:val="en-US"/>
        </w:rPr>
      </w:pPr>
      <w:r>
        <w:rPr>
          <w:rFonts w:ascii="Arial" w:hAnsi="Arial" w:cs="Arial"/>
          <w:bCs/>
          <w:lang w:val="en-US"/>
        </w:rPr>
        <w:t>Indications not specified below are not covered by this Shared Care Protocol.</w:t>
      </w:r>
    </w:p>
    <w:p w14:paraId="3F752504"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lang w:val="en-US"/>
        </w:rPr>
      </w:pPr>
      <w:r>
        <w:rPr>
          <w:rFonts w:ascii="Arial" w:hAnsi="Arial" w:cs="Arial"/>
          <w:b/>
          <w:bCs/>
          <w:lang w:val="en-US"/>
        </w:rPr>
        <w:t>Rheumatology</w:t>
      </w:r>
    </w:p>
    <w:p w14:paraId="0C19ED5D" w14:textId="77777777" w:rsidR="00097D24" w:rsidRDefault="00097D24" w:rsidP="00097D24">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bCs/>
          <w:lang w:val="en-US"/>
        </w:rPr>
      </w:pPr>
      <w:r>
        <w:rPr>
          <w:rFonts w:ascii="Arial" w:hAnsi="Arial" w:cs="Arial"/>
          <w:bCs/>
          <w:lang w:val="en-US"/>
        </w:rPr>
        <w:t>Methotrexate is used as a disease modifying anti-rheumatic drug (DMARD) and as a steroid-sparing agent.</w:t>
      </w:r>
    </w:p>
    <w:p w14:paraId="59B3B345" w14:textId="77777777" w:rsidR="00097D24" w:rsidRDefault="00097D24" w:rsidP="00097D24">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lang w:val="en-US"/>
        </w:rPr>
      </w:pPr>
      <w:r>
        <w:rPr>
          <w:rFonts w:ascii="Arial" w:hAnsi="Arial" w:cs="Arial"/>
          <w:lang w:val="en-US"/>
        </w:rPr>
        <w:t>Licensed indication – rheumatoid arthritis (RA).</w:t>
      </w:r>
    </w:p>
    <w:p w14:paraId="5DF13787" w14:textId="77777777" w:rsidR="00097D24" w:rsidRDefault="00097D24" w:rsidP="00097D24">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lang w:val="en-US"/>
        </w:rPr>
      </w:pPr>
      <w:r>
        <w:rPr>
          <w:rFonts w:ascii="Arial" w:hAnsi="Arial" w:cs="Arial"/>
          <w:lang w:val="en-US"/>
        </w:rPr>
        <w:t>Unlicensed indications but recommended by the British Society of Rheumatology (BSR) – psoriatic arthritis (PsA), undifferentiated inflammatory arthritis, juvenile idiopathic arthritis (JIA), systemic lupus erythematosis, inflammatory myositis, scleroderma, vasculitis and polymyalgia rheumatica.</w:t>
      </w:r>
    </w:p>
    <w:p w14:paraId="09EC319A"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lang w:val="en-US"/>
        </w:rPr>
      </w:pPr>
      <w:r>
        <w:rPr>
          <w:rFonts w:ascii="Arial" w:hAnsi="Arial" w:cs="Arial"/>
          <w:b/>
          <w:lang w:val="en-US"/>
        </w:rPr>
        <w:t>Dermatology</w:t>
      </w:r>
    </w:p>
    <w:p w14:paraId="4537A894" w14:textId="77777777" w:rsidR="00097D24" w:rsidRDefault="00097D24" w:rsidP="00097D24">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lang w:val="en-US"/>
        </w:rPr>
      </w:pPr>
      <w:r>
        <w:rPr>
          <w:rFonts w:ascii="Arial" w:hAnsi="Arial" w:cs="Arial"/>
          <w:lang w:val="en-US"/>
        </w:rPr>
        <w:t>Licensed indication – Psoriasis.</w:t>
      </w:r>
    </w:p>
    <w:p w14:paraId="034B021F" w14:textId="77777777" w:rsidR="00097D24" w:rsidRDefault="00097D24" w:rsidP="00097D24">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b/>
          <w:lang w:val="en-US"/>
        </w:rPr>
      </w:pPr>
      <w:r>
        <w:rPr>
          <w:rFonts w:ascii="Arial" w:hAnsi="Arial" w:cs="Arial"/>
          <w:lang w:val="en-US"/>
        </w:rPr>
        <w:t xml:space="preserve">Unlicensed indications – Eczema, cutaneous sarcoidosis, systemic sclerosis, Bullous Pemphigoid, Pemphigus, cutaneous lupus erythematosis, cutaneous T cell lymphoma, cutaneous vasculitis and several other skin diseases (see Reference 3 for full list). </w:t>
      </w:r>
    </w:p>
    <w:p w14:paraId="6F9D1642"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lang w:val="en-US"/>
        </w:rPr>
      </w:pPr>
      <w:r>
        <w:rPr>
          <w:rFonts w:ascii="Arial" w:hAnsi="Arial" w:cs="Arial"/>
          <w:b/>
          <w:lang w:val="en-US"/>
        </w:rPr>
        <w:t xml:space="preserve">Gastroenterology </w:t>
      </w:r>
    </w:p>
    <w:p w14:paraId="786BC841" w14:textId="77777777" w:rsidR="00097D24" w:rsidRDefault="00097D24" w:rsidP="00097D24">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rPr>
      </w:pPr>
      <w:r>
        <w:rPr>
          <w:rFonts w:ascii="Arial" w:hAnsi="Arial" w:cs="Arial"/>
          <w:lang w:val="en-US"/>
        </w:rPr>
        <w:t>Unlicensed indication – Crohn’s disease.</w:t>
      </w:r>
    </w:p>
    <w:p w14:paraId="59EE5422"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rPr>
      </w:pPr>
      <w:r>
        <w:rPr>
          <w:rFonts w:ascii="Arial" w:hAnsi="Arial" w:cs="Arial"/>
          <w:b/>
        </w:rPr>
        <w:t>Respiratory</w:t>
      </w:r>
    </w:p>
    <w:p w14:paraId="271E7332" w14:textId="77777777" w:rsidR="00097D24" w:rsidRDefault="00097D24" w:rsidP="00097D24">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rPr>
      </w:pPr>
      <w:r>
        <w:rPr>
          <w:rFonts w:ascii="Arial" w:hAnsi="Arial" w:cs="Arial"/>
          <w:lang w:val="en-US"/>
        </w:rPr>
        <w:t xml:space="preserve">Unlicensed indication – </w:t>
      </w:r>
      <w:r>
        <w:rPr>
          <w:rFonts w:ascii="Arial" w:hAnsi="Arial" w:cs="Arial"/>
        </w:rPr>
        <w:t>pulmonary sarcoidosis.</w:t>
      </w:r>
    </w:p>
    <w:p w14:paraId="5A776090" w14:textId="77777777" w:rsidR="002A009B" w:rsidRPr="005430C6" w:rsidRDefault="002A009B" w:rsidP="002A009B">
      <w:pPr>
        <w:spacing w:after="0" w:line="240" w:lineRule="auto"/>
        <w:rPr>
          <w:rFonts w:ascii="Arial" w:hAnsi="Arial" w:cs="Arial"/>
          <w:b/>
          <w:sz w:val="18"/>
        </w:rPr>
      </w:pPr>
    </w:p>
    <w:p w14:paraId="30C04829" w14:textId="77777777" w:rsidR="002A009B" w:rsidRDefault="002A009B" w:rsidP="002A009B">
      <w:pPr>
        <w:pBdr>
          <w:top w:val="single" w:sz="4" w:space="1" w:color="auto"/>
          <w:left w:val="single" w:sz="4" w:space="4" w:color="auto"/>
          <w:bottom w:val="single" w:sz="4" w:space="1" w:color="auto"/>
          <w:right w:val="single" w:sz="4" w:space="4" w:color="auto"/>
        </w:pBdr>
        <w:spacing w:after="0" w:line="240" w:lineRule="auto"/>
      </w:pPr>
      <w:r w:rsidRPr="00004CD4">
        <w:rPr>
          <w:rFonts w:ascii="Arial" w:hAnsi="Arial" w:cs="Arial"/>
          <w:b/>
        </w:rPr>
        <w:t xml:space="preserve">DOSAGE, ROUTE OF ADMINISTRATION AND </w:t>
      </w:r>
      <w:r>
        <w:rPr>
          <w:rFonts w:ascii="Arial" w:hAnsi="Arial" w:cs="Arial"/>
          <w:b/>
        </w:rPr>
        <w:t>DURATION OF TREATMENT</w:t>
      </w:r>
      <w:r w:rsidRPr="00672B57">
        <w:t xml:space="preserve"> </w:t>
      </w:r>
    </w:p>
    <w:p w14:paraId="3B8340CD" w14:textId="010178B7" w:rsidR="00307B2B" w:rsidRDefault="00307B2B" w:rsidP="002A009B">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p>
    <w:p w14:paraId="28ACAE87"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Pr>
          <w:rFonts w:ascii="Arial" w:hAnsi="Arial" w:cs="Arial"/>
          <w:b/>
        </w:rPr>
        <w:t>Adult dosage and administration</w:t>
      </w:r>
    </w:p>
    <w:p w14:paraId="03B04C9C"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lang w:val="en-US"/>
        </w:rPr>
      </w:pPr>
      <w:r>
        <w:rPr>
          <w:rFonts w:ascii="Arial" w:hAnsi="Arial" w:cs="Arial"/>
          <w:b/>
          <w:lang w:val="en-US"/>
        </w:rPr>
        <w:t>Oral Methotrexate:</w:t>
      </w:r>
      <w:r>
        <w:rPr>
          <w:rFonts w:ascii="Arial" w:hAnsi="Arial" w:cs="Arial"/>
          <w:lang w:val="en-US"/>
        </w:rPr>
        <w:t xml:space="preserve"> 2.5mg and 10mg tablets are available but </w:t>
      </w:r>
      <w:r>
        <w:rPr>
          <w:rFonts w:ascii="Arial" w:hAnsi="Arial" w:cs="Arial"/>
          <w:b/>
          <w:lang w:val="en-US"/>
        </w:rPr>
        <w:t>ONLY multiples of the 2.5mg tablet</w:t>
      </w:r>
      <w:r>
        <w:rPr>
          <w:rFonts w:ascii="Arial" w:hAnsi="Arial" w:cs="Arial"/>
          <w:lang w:val="en-US"/>
        </w:rPr>
        <w:t xml:space="preserve"> should be prescribed and dispensed for patients covered by this guideline and this should remain consistent to avoid confusion and to allow flexibility in dosing</w:t>
      </w:r>
      <w:r>
        <w:rPr>
          <w:rFonts w:ascii="Arial" w:hAnsi="Arial" w:cs="Arial"/>
          <w:b/>
          <w:bCs/>
          <w:lang w:val="en-US"/>
        </w:rPr>
        <w:t>. The day of administration must be specified on the prescription.</w:t>
      </w:r>
    </w:p>
    <w:p w14:paraId="45D99971" w14:textId="77777777" w:rsidR="0069262F" w:rsidRDefault="0069262F"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lang w:val="en-US"/>
        </w:rPr>
      </w:pPr>
    </w:p>
    <w:p w14:paraId="12B62DD7" w14:textId="77777777" w:rsidR="0069262F" w:rsidRPr="0069262F" w:rsidRDefault="0069262F" w:rsidP="0069262F">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u w:val="single"/>
        </w:rPr>
      </w:pPr>
      <w:r w:rsidRPr="0069262F">
        <w:rPr>
          <w:rFonts w:ascii="Arial" w:hAnsi="Arial" w:cs="Arial"/>
          <w:u w:val="single"/>
        </w:rPr>
        <w:t>Swallowing difficulties</w:t>
      </w:r>
    </w:p>
    <w:p w14:paraId="1007060F" w14:textId="2FEE98D6" w:rsidR="0069262F" w:rsidRDefault="0069262F" w:rsidP="0069262F">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US"/>
        </w:rPr>
      </w:pPr>
      <w:r w:rsidRPr="0069262F">
        <w:rPr>
          <w:rFonts w:ascii="Arial" w:hAnsi="Arial" w:cs="Arial"/>
        </w:rPr>
        <w:t xml:space="preserve">Please refer to the </w:t>
      </w:r>
      <w:hyperlink r:id="rId13" w:history="1">
        <w:r w:rsidRPr="0069262F">
          <w:rPr>
            <w:rStyle w:val="Hyperlink"/>
            <w:rFonts w:ascii="Arial" w:hAnsi="Arial" w:cs="Arial"/>
          </w:rPr>
          <w:t>‘specials’ alternative guidance</w:t>
        </w:r>
      </w:hyperlink>
      <w:r w:rsidRPr="0069262F">
        <w:rPr>
          <w:rFonts w:ascii="Arial" w:hAnsi="Arial" w:cs="Arial"/>
        </w:rPr>
        <w:t xml:space="preserve"> for a list of commonly prescribed medicines and alternative methods of administration for patients with swallowing difficulties, feeding tubes or for patients prescribed unlicensed ‘specials’ medication. Each entry </w:t>
      </w:r>
      <w:proofErr w:type="gramStart"/>
      <w:r w:rsidRPr="0069262F">
        <w:rPr>
          <w:rFonts w:ascii="Arial" w:hAnsi="Arial" w:cs="Arial"/>
        </w:rPr>
        <w:t>takes into account</w:t>
      </w:r>
      <w:proofErr w:type="gramEnd"/>
      <w:r w:rsidRPr="0069262F">
        <w:rPr>
          <w:rFonts w:ascii="Arial" w:hAnsi="Arial" w:cs="Arial"/>
        </w:rPr>
        <w:t xml:space="preserve"> alternative medicines, formulations, cost and licensing. This list is not exhaustive. As not all medicines are listed, please contact the initiating specialist if required for individual patient advice if a patient has a swallowing difficulty</w:t>
      </w:r>
      <w:r>
        <w:rPr>
          <w:rFonts w:ascii="Arial" w:hAnsi="Arial" w:cs="Arial"/>
        </w:rPr>
        <w:t>.</w:t>
      </w:r>
    </w:p>
    <w:p w14:paraId="07F7290D" w14:textId="77777777" w:rsidR="0069262F" w:rsidRDefault="0069262F"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lang w:val="en-US"/>
        </w:rPr>
      </w:pPr>
    </w:p>
    <w:p w14:paraId="1D77AECD" w14:textId="47E06E60"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US"/>
        </w:rPr>
      </w:pPr>
      <w:r>
        <w:rPr>
          <w:rFonts w:ascii="Arial" w:hAnsi="Arial" w:cs="Arial"/>
          <w:b/>
          <w:lang w:val="en-US"/>
        </w:rPr>
        <w:t>Subcutaneous Methotrexate:</w:t>
      </w:r>
      <w:r>
        <w:rPr>
          <w:rFonts w:ascii="Arial" w:hAnsi="Arial" w:cs="Arial"/>
          <w:lang w:val="en-US"/>
        </w:rPr>
        <w:t xml:space="preserve"> </w:t>
      </w:r>
      <w:r>
        <w:rPr>
          <w:rFonts w:ascii="Arial" w:hAnsi="Arial" w:cs="Arial"/>
        </w:rPr>
        <w:t xml:space="preserve">The specialist will specify which brand of methotrexate subcutaneous injection should be prescribed. The brand </w:t>
      </w:r>
      <w:r>
        <w:rPr>
          <w:rFonts w:ascii="Arial" w:hAnsi="Arial" w:cs="Arial"/>
          <w:b/>
        </w:rPr>
        <w:t xml:space="preserve">must </w:t>
      </w:r>
      <w:r>
        <w:rPr>
          <w:rFonts w:ascii="Arial" w:hAnsi="Arial" w:cs="Arial"/>
        </w:rPr>
        <w:t xml:space="preserve">be stated on prescriptions written in both primary and secondary care. GPs should not switch to an alternative brand without discussion with the specialist team. </w:t>
      </w:r>
      <w:r>
        <w:rPr>
          <w:rFonts w:ascii="Arial" w:hAnsi="Arial" w:cs="Arial"/>
          <w:lang w:val="en-US"/>
        </w:rPr>
        <w:t xml:space="preserve">Pre-filled syringes of methotrexate are available in 7.5mg, 10mg, 12.5mg, 15mg, 17.5mg, 20mg, 22.5mg and 25mg strengths. Subcutaneous methotrexate can be used to overcome severe gastrointestinal side effects despite regular folic acid on 6 days a week or in non-responders to oral therapy </w:t>
      </w:r>
      <w:proofErr w:type="gramStart"/>
      <w:r>
        <w:rPr>
          <w:rFonts w:ascii="Arial" w:hAnsi="Arial" w:cs="Arial"/>
          <w:lang w:val="en-US"/>
        </w:rPr>
        <w:t>in order to</w:t>
      </w:r>
      <w:proofErr w:type="gramEnd"/>
      <w:r>
        <w:rPr>
          <w:rFonts w:ascii="Arial" w:hAnsi="Arial" w:cs="Arial"/>
          <w:lang w:val="en-US"/>
        </w:rPr>
        <w:t xml:space="preserve"> improve drug bioavailability. It should only be prescribed on advice of the specialist. The hospital specialist nurse will provide training in self-administration.</w:t>
      </w:r>
    </w:p>
    <w:p w14:paraId="1379B5CF"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US"/>
        </w:rPr>
      </w:pPr>
      <w:r>
        <w:rPr>
          <w:rFonts w:ascii="Arial" w:hAnsi="Arial" w:cs="Arial"/>
          <w:lang w:val="en-US"/>
        </w:rPr>
        <w:lastRenderedPageBreak/>
        <w:t>The hospital specialist nurse will advise on how to dispose methotrexate pre-filled syringes and provide a mauve top cytotoxic sharps bin. Once ready for disposal, the bin should be shut properly, the top wiped clean and returned to the relevant place as instructed by the specialist team.</w:t>
      </w:r>
    </w:p>
    <w:p w14:paraId="3F4076AE"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lang w:val="en-US"/>
        </w:rPr>
      </w:pPr>
    </w:p>
    <w:p w14:paraId="2715B8B2"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lang w:val="en-US"/>
        </w:rPr>
      </w:pPr>
      <w:r>
        <w:rPr>
          <w:rFonts w:ascii="Arial" w:hAnsi="Arial" w:cs="Arial"/>
          <w:b/>
          <w:lang w:val="en-US"/>
        </w:rPr>
        <w:t xml:space="preserve">Rheumatology </w:t>
      </w:r>
    </w:p>
    <w:p w14:paraId="075B4315"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US"/>
        </w:rPr>
      </w:pPr>
      <w:r>
        <w:rPr>
          <w:rFonts w:ascii="Arial" w:hAnsi="Arial" w:cs="Arial"/>
          <w:lang w:val="en-US"/>
        </w:rPr>
        <w:t xml:space="preserve">Typically commenced at 7.5 to 15mg </w:t>
      </w:r>
      <w:r>
        <w:rPr>
          <w:rFonts w:ascii="Arial" w:hAnsi="Arial" w:cs="Arial"/>
          <w:b/>
          <w:bCs/>
          <w:lang w:val="en-US"/>
        </w:rPr>
        <w:t>ONCE WEEKLY</w:t>
      </w:r>
      <w:r>
        <w:rPr>
          <w:rFonts w:ascii="Arial" w:hAnsi="Arial" w:cs="Arial"/>
          <w:lang w:val="en-US"/>
        </w:rPr>
        <w:t xml:space="preserve"> and increased by 2.5mg every 1 to 4 weeks until 15 to 25mg once weekly depending on response</w:t>
      </w:r>
      <w:r>
        <w:rPr>
          <w:rFonts w:ascii="Arial" w:hAnsi="Arial" w:cs="Arial"/>
          <w:b/>
          <w:bCs/>
        </w:rPr>
        <w:t xml:space="preserve">. </w:t>
      </w:r>
      <w:r>
        <w:rPr>
          <w:rFonts w:ascii="Arial" w:hAnsi="Arial" w:cs="Arial"/>
          <w:lang w:val="en-US"/>
        </w:rPr>
        <w:t xml:space="preserve">Dosing and toxicity risks are usually similar in oral and subcutaneous therapy. </w:t>
      </w:r>
      <w:r>
        <w:rPr>
          <w:rFonts w:ascii="Arial" w:hAnsi="Arial" w:cs="Arial"/>
          <w:bCs/>
        </w:rPr>
        <w:t>Lower doses are used i</w:t>
      </w:r>
      <w:r>
        <w:rPr>
          <w:rFonts w:ascii="Arial" w:hAnsi="Arial" w:cs="Arial"/>
          <w:lang w:val="en-US"/>
        </w:rPr>
        <w:t>n the elderly or in significant renal impairment. Methotrexate can take 6 weeks to 3 months to have full therapeutic effect. Treatment is long term. The specialist will advise the duration.</w:t>
      </w:r>
    </w:p>
    <w:p w14:paraId="53293BDE"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10"/>
          <w:szCs w:val="10"/>
          <w:lang w:val="en-US"/>
        </w:rPr>
      </w:pPr>
    </w:p>
    <w:p w14:paraId="6FEA992C"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lang w:val="en-US"/>
        </w:rPr>
      </w:pPr>
      <w:r>
        <w:rPr>
          <w:rFonts w:ascii="Arial" w:hAnsi="Arial" w:cs="Arial"/>
          <w:b/>
          <w:lang w:val="en-US"/>
        </w:rPr>
        <w:t>Dermatology</w:t>
      </w:r>
    </w:p>
    <w:p w14:paraId="160331E9"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lang w:val="en-US"/>
        </w:rPr>
      </w:pPr>
      <w:r>
        <w:rPr>
          <w:rFonts w:ascii="Arial" w:hAnsi="Arial" w:cs="Arial"/>
          <w:lang w:val="en-US"/>
        </w:rPr>
        <w:t xml:space="preserve">As for Rheumatology but initial doses of between 5 and 15 mg </w:t>
      </w:r>
      <w:r>
        <w:rPr>
          <w:rFonts w:ascii="Arial" w:hAnsi="Arial" w:cs="Arial"/>
          <w:b/>
          <w:bCs/>
          <w:lang w:val="en-US"/>
        </w:rPr>
        <w:t>ONCE WEEKLY.</w:t>
      </w:r>
    </w:p>
    <w:p w14:paraId="139E741D"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lang w:val="en-US"/>
        </w:rPr>
      </w:pPr>
    </w:p>
    <w:p w14:paraId="40D9466A"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lang w:val="en-US"/>
        </w:rPr>
      </w:pPr>
      <w:r>
        <w:rPr>
          <w:rFonts w:ascii="Arial" w:hAnsi="Arial" w:cs="Arial"/>
          <w:b/>
          <w:lang w:val="en-US"/>
        </w:rPr>
        <w:t xml:space="preserve">Gastroenterology </w:t>
      </w:r>
    </w:p>
    <w:p w14:paraId="6A6F2E17"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r>
        <w:rPr>
          <w:rFonts w:ascii="Arial" w:hAnsi="Arial" w:cs="Arial"/>
          <w:bCs/>
        </w:rPr>
        <w:t xml:space="preserve">Typically commenced at 25mg </w:t>
      </w:r>
      <w:r>
        <w:rPr>
          <w:rFonts w:ascii="Arial" w:hAnsi="Arial" w:cs="Arial"/>
          <w:b/>
          <w:bCs/>
        </w:rPr>
        <w:t>ONCE WEEKLY</w:t>
      </w:r>
      <w:r>
        <w:rPr>
          <w:rFonts w:ascii="Arial" w:hAnsi="Arial" w:cs="Arial"/>
          <w:bCs/>
        </w:rPr>
        <w:t xml:space="preserve"> for 3 months induction and thereafter maintained on 15mg </w:t>
      </w:r>
      <w:r>
        <w:rPr>
          <w:rFonts w:ascii="Arial" w:hAnsi="Arial" w:cs="Arial"/>
          <w:b/>
          <w:bCs/>
        </w:rPr>
        <w:t>ONCE WEEKLY</w:t>
      </w:r>
      <w:r>
        <w:rPr>
          <w:rFonts w:ascii="Arial" w:hAnsi="Arial" w:cs="Arial"/>
          <w:bCs/>
        </w:rPr>
        <w:t>.</w:t>
      </w:r>
    </w:p>
    <w:p w14:paraId="4648238A"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p>
    <w:p w14:paraId="58883049"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rPr>
      </w:pPr>
      <w:r>
        <w:rPr>
          <w:rFonts w:ascii="Arial" w:hAnsi="Arial" w:cs="Arial"/>
          <w:b/>
          <w:bCs/>
        </w:rPr>
        <w:t>Respiratory</w:t>
      </w:r>
    </w:p>
    <w:p w14:paraId="7BB14179"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r>
        <w:rPr>
          <w:rFonts w:ascii="Arial" w:hAnsi="Arial" w:cs="Arial"/>
          <w:bCs/>
        </w:rPr>
        <w:t xml:space="preserve">Starting dose as for rheumatology with all the monitoring and exclusion criteria but ceiling of therapy for pulmonary sarcoidosis is usually </w:t>
      </w:r>
      <w:r>
        <w:rPr>
          <w:rFonts w:ascii="Arial" w:hAnsi="Arial" w:cs="Arial"/>
          <w:b/>
          <w:bCs/>
        </w:rPr>
        <w:t>15mg ONCE WEEKLY</w:t>
      </w:r>
    </w:p>
    <w:p w14:paraId="5A29C0CE"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sz w:val="10"/>
          <w:szCs w:val="10"/>
        </w:rPr>
      </w:pPr>
    </w:p>
    <w:p w14:paraId="0ED696CD"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sz w:val="10"/>
          <w:szCs w:val="10"/>
        </w:rPr>
      </w:pPr>
    </w:p>
    <w:p w14:paraId="5963E287"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r>
        <w:rPr>
          <w:rFonts w:ascii="Arial" w:hAnsi="Arial" w:cs="Arial"/>
          <w:bCs/>
        </w:rPr>
        <w:t>Mode of administration is discussed with patient. For induction subcutaneous route is preferred. For maintenance can be switched to oral if patient preference.</w:t>
      </w:r>
    </w:p>
    <w:p w14:paraId="6F11B07D"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lang w:val="en-US"/>
        </w:rPr>
      </w:pPr>
    </w:p>
    <w:p w14:paraId="14ACA146"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lang w:val="en-US"/>
        </w:rPr>
      </w:pPr>
      <w:r>
        <w:rPr>
          <w:rFonts w:ascii="Arial" w:hAnsi="Arial" w:cs="Arial"/>
          <w:b/>
          <w:lang w:val="en-US"/>
        </w:rPr>
        <w:t>Folic Acid</w:t>
      </w:r>
    </w:p>
    <w:p w14:paraId="3DB3C9A1"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Pr>
          <w:rFonts w:ascii="Arial" w:hAnsi="Arial" w:cs="Arial"/>
          <w:lang w:val="en-US"/>
        </w:rPr>
        <w:t xml:space="preserve">Co-prescribe a minimum of 5mg once weekly on a </w:t>
      </w:r>
      <w:r>
        <w:rPr>
          <w:rFonts w:ascii="Arial" w:hAnsi="Arial" w:cs="Arial"/>
          <w:b/>
          <w:lang w:val="en-US"/>
        </w:rPr>
        <w:t>DIFFERENT</w:t>
      </w:r>
      <w:r>
        <w:rPr>
          <w:rFonts w:ascii="Arial" w:hAnsi="Arial" w:cs="Arial"/>
          <w:lang w:val="en-US"/>
        </w:rPr>
        <w:t xml:space="preserve"> day to methotrexate (preferably the day after) to minimise the risk of minor side effects and thereby improve compliance, and to minimise the risk of abnormal liver biochemistry. It can be increased to 5mg on 6 days a week to overcome certain side effects (see page 8/9</w:t>
      </w:r>
      <w:proofErr w:type="gramStart"/>
      <w:r>
        <w:rPr>
          <w:rFonts w:ascii="Arial" w:hAnsi="Arial" w:cs="Arial"/>
          <w:lang w:val="en-US"/>
        </w:rPr>
        <w:t>)</w:t>
      </w:r>
      <w:proofErr w:type="gramEnd"/>
      <w:r>
        <w:rPr>
          <w:rFonts w:ascii="Arial" w:hAnsi="Arial" w:cs="Arial"/>
          <w:lang w:val="en-US"/>
        </w:rPr>
        <w:t xml:space="preserve"> but it should not be taken on the same day as methotrexate.</w:t>
      </w:r>
    </w:p>
    <w:p w14:paraId="2F21B618" w14:textId="77777777" w:rsidR="00AE31E5" w:rsidRPr="002A009B" w:rsidRDefault="00AE31E5" w:rsidP="00AE31E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65E14DB2" w14:textId="77777777" w:rsidR="0057501A" w:rsidRDefault="0057501A" w:rsidP="0057501A">
      <w:pPr>
        <w:spacing w:after="0" w:line="240" w:lineRule="auto"/>
        <w:rPr>
          <w:rFonts w:ascii="Arial" w:hAnsi="Arial" w:cs="Arial"/>
          <w:b/>
          <w:sz w:val="18"/>
        </w:rPr>
      </w:pPr>
    </w:p>
    <w:p w14:paraId="0F6E95C3" w14:textId="77777777" w:rsidR="0057501A" w:rsidRPr="0057501A" w:rsidRDefault="0057501A" w:rsidP="0057501A">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57501A" w:rsidRPr="0057501A" w14:paraId="02A36541" w14:textId="77777777" w:rsidTr="0057501A">
        <w:trPr>
          <w:trHeight w:val="632"/>
        </w:trPr>
        <w:tc>
          <w:tcPr>
            <w:tcW w:w="10774" w:type="dxa"/>
            <w:shd w:val="clear" w:color="auto" w:fill="auto"/>
          </w:tcPr>
          <w:p w14:paraId="20740321" w14:textId="77777777" w:rsidR="0057501A" w:rsidRPr="0057501A" w:rsidRDefault="0057501A" w:rsidP="0057501A">
            <w:pPr>
              <w:spacing w:after="0" w:line="240" w:lineRule="auto"/>
              <w:rPr>
                <w:rFonts w:ascii="Arial" w:eastAsia="Times New Roman" w:hAnsi="Arial" w:cs="Arial"/>
                <w:b/>
                <w:bCs/>
                <w:lang w:eastAsia="en-GB"/>
              </w:rPr>
            </w:pPr>
            <w:r w:rsidRPr="0057501A">
              <w:rPr>
                <w:rFonts w:ascii="Arial" w:eastAsia="Times New Roman" w:hAnsi="Arial" w:cs="Arial"/>
                <w:b/>
                <w:bCs/>
                <w:lang w:eastAsia="en-GB"/>
              </w:rPr>
              <w:t>SPECIALIST RESPONSIBILITIES INCLUDING PRE-TREATMENT ASSESSMENT</w:t>
            </w:r>
          </w:p>
          <w:p w14:paraId="09756B4F" w14:textId="77777777" w:rsidR="00097D24" w:rsidRDefault="00097D24" w:rsidP="00097D24">
            <w:pPr>
              <w:numPr>
                <w:ilvl w:val="0"/>
                <w:numId w:val="29"/>
              </w:numPr>
              <w:spacing w:after="0" w:line="240" w:lineRule="auto"/>
              <w:ind w:left="357" w:hanging="357"/>
              <w:rPr>
                <w:rFonts w:ascii="Arial" w:eastAsia="Times New Roman" w:hAnsi="Arial" w:cs="Arial"/>
                <w:bCs/>
                <w:lang w:eastAsia="en-GB"/>
              </w:rPr>
            </w:pPr>
            <w:r>
              <w:rPr>
                <w:rFonts w:ascii="Arial" w:hAnsi="Arial" w:cs="Arial"/>
              </w:rPr>
              <w:t>Confirm diagnosis, indication for methotrexate and ensure there are no contra-indications to start drug.</w:t>
            </w:r>
            <w:r>
              <w:rPr>
                <w:rFonts w:ascii="Arial" w:eastAsia="Times New Roman" w:hAnsi="Arial" w:cs="Arial"/>
                <w:bCs/>
                <w:lang w:eastAsia="en-GB"/>
              </w:rPr>
              <w:t xml:space="preserve"> </w:t>
            </w:r>
          </w:p>
          <w:p w14:paraId="78A25D2F" w14:textId="77777777" w:rsidR="00097D24" w:rsidRDefault="00097D24" w:rsidP="00097D24">
            <w:pPr>
              <w:numPr>
                <w:ilvl w:val="0"/>
                <w:numId w:val="30"/>
              </w:numPr>
              <w:spacing w:after="0" w:line="240" w:lineRule="auto"/>
              <w:jc w:val="both"/>
            </w:pPr>
            <w:r>
              <w:rPr>
                <w:rFonts w:ascii="Arial" w:eastAsia="Times New Roman" w:hAnsi="Arial" w:cs="Arial"/>
                <w:bCs/>
                <w:lang w:eastAsia="en-GB"/>
              </w:rPr>
              <w:t xml:space="preserve">If treatment is </w:t>
            </w:r>
            <w:proofErr w:type="gramStart"/>
            <w:r>
              <w:rPr>
                <w:rFonts w:ascii="Arial" w:eastAsia="Times New Roman" w:hAnsi="Arial" w:cs="Arial"/>
                <w:bCs/>
                <w:lang w:eastAsia="en-GB"/>
              </w:rPr>
              <w:t>off-label</w:t>
            </w:r>
            <w:proofErr w:type="gramEnd"/>
            <w:r>
              <w:rPr>
                <w:rFonts w:ascii="Arial" w:eastAsia="Times New Roman" w:hAnsi="Arial" w:cs="Arial"/>
                <w:bCs/>
                <w:lang w:eastAsia="en-GB"/>
              </w:rPr>
              <w:t xml:space="preserve">, advise the patient. </w:t>
            </w:r>
          </w:p>
          <w:p w14:paraId="07DDC9B7" w14:textId="479597C8" w:rsidR="00097D24" w:rsidRDefault="00097D24" w:rsidP="00097D24">
            <w:pPr>
              <w:numPr>
                <w:ilvl w:val="0"/>
                <w:numId w:val="30"/>
              </w:numPr>
              <w:spacing w:after="0" w:line="240" w:lineRule="auto"/>
              <w:jc w:val="both"/>
            </w:pPr>
            <w:r>
              <w:rPr>
                <w:rFonts w:ascii="Arial" w:hAnsi="Arial" w:cs="Arial"/>
              </w:rPr>
              <w:t>Undertake pre-treatment assessment and screening (see table on page</w:t>
            </w:r>
            <w:r w:rsidR="00DD236B">
              <w:rPr>
                <w:rFonts w:ascii="Arial" w:hAnsi="Arial" w:cs="Arial"/>
              </w:rPr>
              <w:t xml:space="preserve"> 2-</w:t>
            </w:r>
            <w:r>
              <w:rPr>
                <w:rFonts w:ascii="Arial" w:hAnsi="Arial" w:cs="Arial"/>
              </w:rPr>
              <w:t>3).</w:t>
            </w:r>
          </w:p>
          <w:p w14:paraId="62902BD9" w14:textId="77777777" w:rsidR="00097D24" w:rsidRDefault="00097D24" w:rsidP="00097D24">
            <w:pPr>
              <w:pStyle w:val="Default"/>
              <w:numPr>
                <w:ilvl w:val="0"/>
                <w:numId w:val="30"/>
              </w:numPr>
              <w:jc w:val="both"/>
              <w:rPr>
                <w:color w:val="auto"/>
              </w:rPr>
            </w:pPr>
            <w:r>
              <w:rPr>
                <w:color w:val="auto"/>
                <w:sz w:val="22"/>
                <w:szCs w:val="22"/>
              </w:rPr>
              <w:t xml:space="preserve">Recommend yearly influenza vaccination and a one off pneumoccal vaccination </w:t>
            </w:r>
            <w:r>
              <w:rPr>
                <w:rFonts w:eastAsia="Times New Roman"/>
                <w:bCs/>
                <w:color w:val="auto"/>
                <w:sz w:val="22"/>
                <w:szCs w:val="22"/>
              </w:rPr>
              <w:t>(</w:t>
            </w:r>
            <w:r>
              <w:rPr>
                <w:color w:val="auto"/>
                <w:sz w:val="22"/>
                <w:szCs w:val="22"/>
              </w:rPr>
              <w:t xml:space="preserve">Pneumovax®) if not previously administered. </w:t>
            </w:r>
          </w:p>
          <w:p w14:paraId="4FEF10C7" w14:textId="77777777" w:rsidR="00097D24" w:rsidRDefault="00097D24" w:rsidP="00097D24">
            <w:pPr>
              <w:pStyle w:val="Default"/>
              <w:numPr>
                <w:ilvl w:val="0"/>
                <w:numId w:val="30"/>
              </w:numPr>
              <w:jc w:val="both"/>
              <w:rPr>
                <w:color w:val="auto"/>
              </w:rPr>
            </w:pPr>
            <w:r>
              <w:rPr>
                <w:color w:val="auto"/>
                <w:sz w:val="22"/>
                <w:szCs w:val="22"/>
              </w:rPr>
              <w:t xml:space="preserve">Offer smoking </w:t>
            </w:r>
            <w:r>
              <w:rPr>
                <w:rFonts w:eastAsia="Times New Roman"/>
                <w:bCs/>
                <w:color w:val="auto"/>
                <w:sz w:val="22"/>
                <w:szCs w:val="22"/>
              </w:rPr>
              <w:t>cessation to any patient currently smoking</w:t>
            </w:r>
            <w:r>
              <w:rPr>
                <w:rFonts w:eastAsia="Times New Roman"/>
                <w:bCs/>
                <w:color w:val="auto"/>
              </w:rPr>
              <w:t>.</w:t>
            </w:r>
          </w:p>
          <w:p w14:paraId="2163802E" w14:textId="77777777" w:rsidR="00097D24" w:rsidRDefault="00097D24" w:rsidP="00097D24">
            <w:pPr>
              <w:pStyle w:val="Default"/>
              <w:numPr>
                <w:ilvl w:val="0"/>
                <w:numId w:val="30"/>
              </w:numPr>
              <w:spacing w:after="13"/>
              <w:rPr>
                <w:color w:val="auto"/>
                <w:sz w:val="22"/>
                <w:szCs w:val="22"/>
              </w:rPr>
            </w:pPr>
            <w:r>
              <w:rPr>
                <w:color w:val="auto"/>
                <w:sz w:val="22"/>
                <w:szCs w:val="22"/>
              </w:rPr>
              <w:t>Undertake pre-treatment counselling and document discussion in patient’s records including patient preferences, the rationale and benefits of treatment and time to expected response.</w:t>
            </w:r>
          </w:p>
          <w:p w14:paraId="01392F0B" w14:textId="77777777" w:rsidR="00097D24" w:rsidRDefault="00097D24" w:rsidP="00097D24">
            <w:pPr>
              <w:pStyle w:val="Default"/>
              <w:numPr>
                <w:ilvl w:val="0"/>
                <w:numId w:val="30"/>
              </w:numPr>
              <w:spacing w:after="13"/>
              <w:rPr>
                <w:color w:val="auto"/>
                <w:sz w:val="22"/>
                <w:szCs w:val="22"/>
              </w:rPr>
            </w:pPr>
            <w:r>
              <w:rPr>
                <w:color w:val="auto"/>
                <w:sz w:val="22"/>
                <w:szCs w:val="22"/>
              </w:rPr>
              <w:t>Discuss the side effects of treatment with the patient, the need to report them promptly and to whom.</w:t>
            </w:r>
          </w:p>
          <w:p w14:paraId="09CE73AB" w14:textId="4E945A73" w:rsidR="00097D24" w:rsidRDefault="00097D24" w:rsidP="00097D24">
            <w:pPr>
              <w:pStyle w:val="Default"/>
              <w:numPr>
                <w:ilvl w:val="0"/>
                <w:numId w:val="30"/>
              </w:numPr>
              <w:spacing w:after="13"/>
              <w:rPr>
                <w:color w:val="auto"/>
                <w:sz w:val="22"/>
                <w:szCs w:val="22"/>
              </w:rPr>
            </w:pPr>
            <w:r>
              <w:rPr>
                <w:color w:val="auto"/>
                <w:sz w:val="22"/>
                <w:szCs w:val="22"/>
              </w:rPr>
              <w:t>When appropriate, patients should be advised on the impact of methotrexate on fertility, pregnancy and breastfeeding.</w:t>
            </w:r>
          </w:p>
          <w:p w14:paraId="22B0F749" w14:textId="7161264E" w:rsidR="006443C5" w:rsidRPr="00C06FA7" w:rsidRDefault="006443C5" w:rsidP="00317FCC">
            <w:pPr>
              <w:pStyle w:val="Default"/>
              <w:numPr>
                <w:ilvl w:val="0"/>
                <w:numId w:val="30"/>
              </w:numPr>
              <w:spacing w:after="13"/>
              <w:rPr>
                <w:color w:val="auto"/>
                <w:sz w:val="22"/>
                <w:szCs w:val="22"/>
              </w:rPr>
            </w:pPr>
            <w:r w:rsidRPr="00C06FA7">
              <w:rPr>
                <w:color w:val="auto"/>
                <w:sz w:val="22"/>
                <w:szCs w:val="22"/>
              </w:rPr>
              <w:t xml:space="preserve">Advise the patient their skin may be more sensitive to exposure to UV light while taking methotrexate. </w:t>
            </w:r>
            <w:r w:rsidR="00C06FA7" w:rsidRPr="00C06FA7">
              <w:rPr>
                <w:color w:val="auto"/>
                <w:sz w:val="22"/>
                <w:szCs w:val="22"/>
              </w:rPr>
              <w:t>U</w:t>
            </w:r>
            <w:r w:rsidRPr="00C06FA7">
              <w:rPr>
                <w:color w:val="auto"/>
                <w:sz w:val="22"/>
                <w:szCs w:val="22"/>
              </w:rPr>
              <w:t>se appropriate self-care: e.g. sun avoidance, protective clothing, avoiding tanning (including</w:t>
            </w:r>
            <w:r w:rsidR="00C06FA7">
              <w:rPr>
                <w:color w:val="auto"/>
                <w:sz w:val="22"/>
                <w:szCs w:val="22"/>
              </w:rPr>
              <w:t xml:space="preserve"> </w:t>
            </w:r>
            <w:r w:rsidRPr="00C06FA7">
              <w:rPr>
                <w:color w:val="auto"/>
                <w:sz w:val="22"/>
                <w:szCs w:val="22"/>
              </w:rPr>
              <w:t xml:space="preserve">tanning beds) and to purchase and use a </w:t>
            </w:r>
            <w:proofErr w:type="gramStart"/>
            <w:r w:rsidRPr="00C06FA7">
              <w:rPr>
                <w:color w:val="auto"/>
                <w:sz w:val="22"/>
                <w:szCs w:val="22"/>
              </w:rPr>
              <w:t>broad spectrum</w:t>
            </w:r>
            <w:proofErr w:type="gramEnd"/>
            <w:r w:rsidRPr="00C06FA7">
              <w:rPr>
                <w:color w:val="auto"/>
                <w:sz w:val="22"/>
                <w:szCs w:val="22"/>
              </w:rPr>
              <w:t xml:space="preserve"> sunscreen (at least SPF30).</w:t>
            </w:r>
          </w:p>
          <w:p w14:paraId="50382337" w14:textId="141A4FC6" w:rsidR="00097D24" w:rsidRDefault="00097D24" w:rsidP="00097D24">
            <w:pPr>
              <w:pStyle w:val="Default"/>
              <w:numPr>
                <w:ilvl w:val="0"/>
                <w:numId w:val="30"/>
              </w:numPr>
              <w:spacing w:after="13"/>
              <w:rPr>
                <w:color w:val="auto"/>
                <w:sz w:val="22"/>
                <w:szCs w:val="22"/>
              </w:rPr>
            </w:pPr>
            <w:r>
              <w:rPr>
                <w:color w:val="auto"/>
                <w:sz w:val="22"/>
                <w:szCs w:val="22"/>
              </w:rPr>
              <w:t xml:space="preserve">Before prescribing methotrexate, ensure the patient </w:t>
            </w:r>
            <w:proofErr w:type="gramStart"/>
            <w:r>
              <w:rPr>
                <w:color w:val="auto"/>
                <w:sz w:val="22"/>
                <w:szCs w:val="22"/>
              </w:rPr>
              <w:t>is able to</w:t>
            </w:r>
            <w:proofErr w:type="gramEnd"/>
            <w:r>
              <w:rPr>
                <w:color w:val="auto"/>
                <w:sz w:val="22"/>
                <w:szCs w:val="22"/>
              </w:rPr>
              <w:t xml:space="preserve"> understand and comply with once weekly dosing regimen, highlighting the potentially fatal risk of accidental overdose if methotrexate is taken more frequently. Advise the patient to promptly seek medical advice if they think they have taken too much.</w:t>
            </w:r>
          </w:p>
          <w:p w14:paraId="0FFF2BF8" w14:textId="77777777" w:rsidR="006443C5" w:rsidRPr="00C06FA7" w:rsidRDefault="006443C5" w:rsidP="006443C5">
            <w:pPr>
              <w:pStyle w:val="Default"/>
              <w:numPr>
                <w:ilvl w:val="0"/>
                <w:numId w:val="30"/>
              </w:numPr>
              <w:spacing w:after="13"/>
              <w:rPr>
                <w:color w:val="auto"/>
                <w:sz w:val="22"/>
                <w:szCs w:val="22"/>
              </w:rPr>
            </w:pPr>
            <w:r w:rsidRPr="00C06FA7">
              <w:rPr>
                <w:color w:val="auto"/>
                <w:sz w:val="22"/>
                <w:szCs w:val="22"/>
              </w:rPr>
              <w:t>For patients taking tablets, advise that they will only ever be prescribed methotrexate 2.5 mg tablets. Patients who receive 10 mg tablets should always question the discrepancy</w:t>
            </w:r>
          </w:p>
          <w:p w14:paraId="14ABCDE3" w14:textId="77777777" w:rsidR="00097D24" w:rsidRDefault="00097D24" w:rsidP="00097D24">
            <w:pPr>
              <w:pStyle w:val="Default"/>
              <w:numPr>
                <w:ilvl w:val="0"/>
                <w:numId w:val="30"/>
              </w:numPr>
              <w:spacing w:after="13"/>
              <w:rPr>
                <w:color w:val="auto"/>
                <w:sz w:val="22"/>
                <w:szCs w:val="22"/>
              </w:rPr>
            </w:pPr>
            <w:r>
              <w:rPr>
                <w:color w:val="auto"/>
                <w:sz w:val="22"/>
                <w:szCs w:val="22"/>
              </w:rPr>
              <w:t>Decide with the patient which day of the week they will take their methotrexate and note this day down in full on the prescription.</w:t>
            </w:r>
          </w:p>
          <w:p w14:paraId="1E06319E" w14:textId="77777777" w:rsidR="00097D24" w:rsidRDefault="00097D24" w:rsidP="00097D24">
            <w:pPr>
              <w:pStyle w:val="Default"/>
              <w:numPr>
                <w:ilvl w:val="0"/>
                <w:numId w:val="30"/>
              </w:numPr>
              <w:spacing w:after="13"/>
              <w:rPr>
                <w:color w:val="auto"/>
                <w:sz w:val="22"/>
                <w:szCs w:val="22"/>
              </w:rPr>
            </w:pPr>
            <w:r>
              <w:rPr>
                <w:color w:val="auto"/>
                <w:sz w:val="22"/>
                <w:szCs w:val="22"/>
              </w:rPr>
              <w:t>Provide patient with the methotrexate information leaflet and NPSA drug monitoring booklet.</w:t>
            </w:r>
          </w:p>
          <w:p w14:paraId="6EAA3E0E" w14:textId="77777777" w:rsidR="00097D24" w:rsidRDefault="00097D24" w:rsidP="00097D24">
            <w:pPr>
              <w:pStyle w:val="Default"/>
              <w:numPr>
                <w:ilvl w:val="0"/>
                <w:numId w:val="30"/>
              </w:numPr>
              <w:spacing w:after="13"/>
              <w:rPr>
                <w:color w:val="auto"/>
                <w:sz w:val="22"/>
                <w:szCs w:val="22"/>
              </w:rPr>
            </w:pPr>
            <w:r>
              <w:rPr>
                <w:sz w:val="22"/>
                <w:szCs w:val="22"/>
              </w:rPr>
              <w:t xml:space="preserve">Encourage the patient to carry the warning card that comes with each dispensing of oral methotrexate upon their person (e.g. in their wallet or purse). This will prompt patients to take methotrexate once a </w:t>
            </w:r>
            <w:r>
              <w:rPr>
                <w:sz w:val="22"/>
                <w:szCs w:val="22"/>
              </w:rPr>
              <w:lastRenderedPageBreak/>
              <w:t>week and to record the day of intake. It will also help patients identify the signs and symptoms of overdose.</w:t>
            </w:r>
          </w:p>
          <w:p w14:paraId="141BA01E" w14:textId="77777777" w:rsidR="00097D24" w:rsidRDefault="00097D24" w:rsidP="00097D24">
            <w:pPr>
              <w:pStyle w:val="Default"/>
              <w:numPr>
                <w:ilvl w:val="0"/>
                <w:numId w:val="30"/>
              </w:numPr>
              <w:spacing w:after="13"/>
              <w:rPr>
                <w:color w:val="auto"/>
                <w:sz w:val="22"/>
                <w:szCs w:val="22"/>
              </w:rPr>
            </w:pPr>
            <w:r>
              <w:rPr>
                <w:color w:val="auto"/>
                <w:sz w:val="22"/>
                <w:szCs w:val="22"/>
              </w:rPr>
              <w:t xml:space="preserve">Initiate and prescribe methotrexate and arrange appropriate blood test monitoring for the initial stabilisation period (usually for 12 weeks) and/or until the GP formally agrees to shared care.  </w:t>
            </w:r>
          </w:p>
          <w:p w14:paraId="02DA4A49" w14:textId="77777777" w:rsidR="00097D24" w:rsidRDefault="00097D24" w:rsidP="00097D24">
            <w:pPr>
              <w:pStyle w:val="Default"/>
              <w:numPr>
                <w:ilvl w:val="0"/>
                <w:numId w:val="30"/>
              </w:numPr>
              <w:spacing w:after="13"/>
              <w:rPr>
                <w:color w:val="auto"/>
                <w:sz w:val="22"/>
                <w:szCs w:val="22"/>
              </w:rPr>
            </w:pPr>
            <w:r>
              <w:rPr>
                <w:color w:val="auto"/>
                <w:sz w:val="22"/>
                <w:szCs w:val="22"/>
              </w:rPr>
              <w:t xml:space="preserve">Record baseline and on-going results and medicine dosages in clinic communication to GP and patient’s hospital records. </w:t>
            </w:r>
            <w:r>
              <w:t>R</w:t>
            </w:r>
            <w:r>
              <w:rPr>
                <w:color w:val="auto"/>
                <w:sz w:val="22"/>
                <w:szCs w:val="22"/>
              </w:rPr>
              <w:t>ecording of on-going results and medicine dosages in the NPSA monitoring booklet is optiona</w:t>
            </w:r>
            <w:r>
              <w:t>l.</w:t>
            </w:r>
            <w:r>
              <w:rPr>
                <w:color w:val="auto"/>
                <w:sz w:val="22"/>
                <w:szCs w:val="22"/>
              </w:rPr>
              <w:t xml:space="preserve"> For patients who are out-of-area (i.e. no common electronic results system), print results and give to patient. </w:t>
            </w:r>
          </w:p>
          <w:p w14:paraId="0B608C84" w14:textId="77777777" w:rsidR="00097D24" w:rsidRDefault="00097D24" w:rsidP="00097D24">
            <w:pPr>
              <w:pStyle w:val="Default"/>
              <w:numPr>
                <w:ilvl w:val="0"/>
                <w:numId w:val="30"/>
              </w:numPr>
              <w:spacing w:after="13"/>
              <w:rPr>
                <w:color w:val="auto"/>
                <w:sz w:val="22"/>
                <w:szCs w:val="22"/>
              </w:rPr>
            </w:pPr>
            <w:r>
              <w:rPr>
                <w:color w:val="auto"/>
                <w:sz w:val="22"/>
                <w:szCs w:val="22"/>
              </w:rPr>
              <w:t xml:space="preserve">Explain shared care arrangements and responsibilities to the patient including the need for regular clinical review and blood tests to allow continued prescription of drug. </w:t>
            </w:r>
          </w:p>
          <w:p w14:paraId="11FB6E10" w14:textId="77777777" w:rsidR="00097D24" w:rsidRDefault="00097D24" w:rsidP="00097D24">
            <w:pPr>
              <w:pStyle w:val="Default"/>
              <w:numPr>
                <w:ilvl w:val="0"/>
                <w:numId w:val="30"/>
              </w:numPr>
              <w:spacing w:after="13"/>
              <w:rPr>
                <w:color w:val="auto"/>
                <w:sz w:val="22"/>
                <w:szCs w:val="22"/>
              </w:rPr>
            </w:pPr>
            <w:r>
              <w:rPr>
                <w:color w:val="auto"/>
                <w:sz w:val="22"/>
                <w:szCs w:val="22"/>
              </w:rPr>
              <w:t>Obtain agreement and consent to shared care from patient. Obtain signature from patient on the shared care agreement form and complete and sign the specialist section. Provide any additional instructions on monitoring on page 1. NB This should include advice regarding whether GP is required to undertake regular ESR/CRP testing (i.e. which of these test(s) are required/frequency required)</w:t>
            </w:r>
            <w:r>
              <w:rPr>
                <w:color w:val="1F497D"/>
                <w:sz w:val="22"/>
                <w:szCs w:val="22"/>
              </w:rPr>
              <w:t>.</w:t>
            </w:r>
          </w:p>
          <w:p w14:paraId="75BA1891" w14:textId="77777777" w:rsidR="00097D24" w:rsidRDefault="00097D24" w:rsidP="00097D24">
            <w:pPr>
              <w:pStyle w:val="Default"/>
              <w:numPr>
                <w:ilvl w:val="0"/>
                <w:numId w:val="30"/>
              </w:numPr>
              <w:rPr>
                <w:color w:val="auto"/>
                <w:sz w:val="22"/>
                <w:szCs w:val="22"/>
              </w:rPr>
            </w:pPr>
            <w:r>
              <w:rPr>
                <w:color w:val="auto"/>
                <w:sz w:val="22"/>
                <w:szCs w:val="22"/>
              </w:rPr>
              <w:t xml:space="preserve">Request GP to confirm acceptance of shared care by sending the shared care protocol and completed agreement form by secure email, allowing 2 weeks for response. Record outcome in patient records. If accepted, transfer prescribing/blood monitoring to GP. If declined, retain prescribing/blood monitoring within hospital. </w:t>
            </w:r>
          </w:p>
          <w:p w14:paraId="7F4D6F8A" w14:textId="77777777" w:rsidR="00097D24" w:rsidRDefault="00097D24" w:rsidP="00097D24">
            <w:pPr>
              <w:pStyle w:val="Default"/>
              <w:numPr>
                <w:ilvl w:val="0"/>
                <w:numId w:val="30"/>
              </w:numPr>
              <w:rPr>
                <w:color w:val="auto"/>
                <w:sz w:val="22"/>
                <w:szCs w:val="22"/>
              </w:rPr>
            </w:pPr>
            <w:r>
              <w:rPr>
                <w:color w:val="auto"/>
                <w:sz w:val="22"/>
                <w:szCs w:val="22"/>
              </w:rPr>
              <w:t>Provide regular outpatient clinic review to assess disease activity, make dose adjustments, review adverse drug effects (both clinical and on blood tests) and to advise on when to stop treatment. Notify GP promptly via written clinic communication and for more important or more urgent changes by secure email or telephone.</w:t>
            </w:r>
          </w:p>
          <w:p w14:paraId="58BD0947" w14:textId="77777777" w:rsidR="00097D24" w:rsidRPr="00BC1749" w:rsidRDefault="00097D24" w:rsidP="00097D24">
            <w:pPr>
              <w:pStyle w:val="Default"/>
              <w:numPr>
                <w:ilvl w:val="0"/>
                <w:numId w:val="30"/>
              </w:numPr>
              <w:rPr>
                <w:color w:val="auto"/>
                <w:sz w:val="22"/>
                <w:szCs w:val="22"/>
              </w:rPr>
            </w:pPr>
            <w:r w:rsidRPr="00BC1749">
              <w:rPr>
                <w:color w:val="auto"/>
                <w:sz w:val="22"/>
                <w:szCs w:val="22"/>
              </w:rPr>
              <w:t xml:space="preserve">Notify GP if failure to attend specialist clinic review and advise on action(s) to take.  </w:t>
            </w:r>
          </w:p>
          <w:p w14:paraId="7886706A" w14:textId="77777777" w:rsidR="00615095" w:rsidRPr="00BC1749" w:rsidRDefault="00097D24" w:rsidP="00615095">
            <w:pPr>
              <w:pStyle w:val="Default"/>
              <w:numPr>
                <w:ilvl w:val="0"/>
                <w:numId w:val="30"/>
              </w:numPr>
              <w:rPr>
                <w:color w:val="auto"/>
                <w:sz w:val="22"/>
                <w:szCs w:val="22"/>
              </w:rPr>
            </w:pPr>
            <w:r w:rsidRPr="00BC1749">
              <w:rPr>
                <w:color w:val="auto"/>
                <w:sz w:val="22"/>
                <w:szCs w:val="22"/>
              </w:rPr>
              <w:t xml:space="preserve">Provide clear arrangements and contact telephone numbers for back-up advice and support for patients and GPs throughout. </w:t>
            </w:r>
          </w:p>
          <w:p w14:paraId="7A6F9037" w14:textId="77777777" w:rsidR="0057501A" w:rsidRPr="00BC1749" w:rsidRDefault="00097D24" w:rsidP="00615095">
            <w:pPr>
              <w:pStyle w:val="Default"/>
              <w:numPr>
                <w:ilvl w:val="0"/>
                <w:numId w:val="30"/>
              </w:numPr>
              <w:rPr>
                <w:color w:val="auto"/>
                <w:sz w:val="22"/>
                <w:szCs w:val="22"/>
              </w:rPr>
            </w:pPr>
            <w:r w:rsidRPr="00BC1749">
              <w:rPr>
                <w:sz w:val="22"/>
                <w:szCs w:val="22"/>
              </w:rPr>
              <w:t>Support any training arrangements to ensure that GPs have the skills to ensure safe practice.</w:t>
            </w:r>
          </w:p>
          <w:p w14:paraId="51F1C18D" w14:textId="77777777" w:rsidR="00BC1749" w:rsidRPr="00C06FA7" w:rsidRDefault="00BC1749" w:rsidP="00BC1749">
            <w:pPr>
              <w:pStyle w:val="Default"/>
              <w:numPr>
                <w:ilvl w:val="0"/>
                <w:numId w:val="30"/>
              </w:numPr>
              <w:rPr>
                <w:sz w:val="22"/>
                <w:szCs w:val="22"/>
              </w:rPr>
            </w:pPr>
            <w:r w:rsidRPr="00C06FA7">
              <w:rPr>
                <w:sz w:val="22"/>
                <w:szCs w:val="22"/>
              </w:rPr>
              <w:t>For patients under the care of Princess Alexandra Hospital Rheumatology Consultant refer patients with stable disease markers and DAS S&lt;3.2 for ongoing case management after 6 months of consultant led care to General Practitioner with Specialist Interest in Rheumatology; inform the GP</w:t>
            </w:r>
          </w:p>
          <w:p w14:paraId="52617635" w14:textId="77777777" w:rsidR="006A5754" w:rsidRPr="00C06FA7" w:rsidRDefault="006A5754" w:rsidP="006A5754">
            <w:pPr>
              <w:pStyle w:val="Default"/>
              <w:rPr>
                <w:sz w:val="22"/>
                <w:szCs w:val="22"/>
              </w:rPr>
            </w:pPr>
          </w:p>
          <w:p w14:paraId="53561E20" w14:textId="77777777" w:rsidR="006A5754" w:rsidRPr="00C06FA7" w:rsidRDefault="006A5754" w:rsidP="006A5754">
            <w:pPr>
              <w:spacing w:after="0" w:line="240" w:lineRule="auto"/>
              <w:rPr>
                <w:rFonts w:ascii="Arial" w:eastAsia="Times New Roman" w:hAnsi="Arial" w:cs="Arial"/>
                <w:b/>
                <w:sz w:val="24"/>
                <w:szCs w:val="24"/>
                <w:lang w:eastAsia="en-GB"/>
              </w:rPr>
            </w:pPr>
            <w:r w:rsidRPr="00C06FA7">
              <w:rPr>
                <w:rFonts w:ascii="Arial" w:eastAsia="Times New Roman" w:hAnsi="Arial" w:cs="Arial"/>
                <w:b/>
                <w:sz w:val="24"/>
                <w:szCs w:val="24"/>
                <w:lang w:eastAsia="en-GB"/>
              </w:rPr>
              <w:t>General Practitioner with Specialist Interest in Rheumatology (for West Essex patients under the care of Princess Alexandra Hospital)</w:t>
            </w:r>
          </w:p>
          <w:p w14:paraId="29CE92F5" w14:textId="77777777" w:rsidR="006A5754" w:rsidRPr="00C06FA7" w:rsidRDefault="006A5754" w:rsidP="006A5754">
            <w:pPr>
              <w:pStyle w:val="ListParagraph"/>
              <w:numPr>
                <w:ilvl w:val="0"/>
                <w:numId w:val="43"/>
              </w:numPr>
              <w:spacing w:after="0" w:line="240" w:lineRule="auto"/>
              <w:rPr>
                <w:rFonts w:ascii="Arial" w:eastAsia="Times New Roman" w:hAnsi="Arial" w:cs="Arial"/>
                <w:bCs/>
                <w:lang w:eastAsia="en-GB"/>
              </w:rPr>
            </w:pPr>
            <w:r w:rsidRPr="00C06FA7">
              <w:rPr>
                <w:rFonts w:ascii="Arial" w:eastAsia="Times New Roman" w:hAnsi="Arial" w:cs="Arial"/>
                <w:bCs/>
                <w:lang w:eastAsia="en-GB"/>
              </w:rPr>
              <w:t>Accept patients with stable disease markers and DAS&lt;3.2 for ongoing case management after 6 months of consultant led care.</w:t>
            </w:r>
          </w:p>
          <w:p w14:paraId="74E898F8" w14:textId="77777777" w:rsidR="006A5754" w:rsidRPr="00C06FA7" w:rsidRDefault="006A5754" w:rsidP="006A5754">
            <w:pPr>
              <w:pStyle w:val="ListParagraph"/>
              <w:numPr>
                <w:ilvl w:val="0"/>
                <w:numId w:val="43"/>
              </w:numPr>
              <w:spacing w:after="0" w:line="240" w:lineRule="auto"/>
              <w:rPr>
                <w:rFonts w:ascii="Arial" w:eastAsia="Times New Roman" w:hAnsi="Arial" w:cs="Arial"/>
                <w:bCs/>
                <w:lang w:eastAsia="en-GB"/>
              </w:rPr>
            </w:pPr>
            <w:r w:rsidRPr="00C06FA7">
              <w:rPr>
                <w:rFonts w:ascii="Arial" w:eastAsia="Times New Roman" w:hAnsi="Arial" w:cs="Arial"/>
                <w:bCs/>
                <w:lang w:eastAsia="en-GB"/>
              </w:rPr>
              <w:t>Provide ongoing patient education</w:t>
            </w:r>
          </w:p>
          <w:p w14:paraId="1A414560" w14:textId="77777777" w:rsidR="006A5754" w:rsidRPr="00C06FA7" w:rsidRDefault="006A5754" w:rsidP="006A5754">
            <w:pPr>
              <w:pStyle w:val="ListParagraph"/>
              <w:numPr>
                <w:ilvl w:val="0"/>
                <w:numId w:val="43"/>
              </w:numPr>
              <w:spacing w:after="0" w:line="240" w:lineRule="auto"/>
              <w:rPr>
                <w:rFonts w:ascii="Arial" w:eastAsia="Times New Roman" w:hAnsi="Arial" w:cs="Arial"/>
                <w:bCs/>
                <w:lang w:eastAsia="en-GB"/>
              </w:rPr>
            </w:pPr>
            <w:r w:rsidRPr="00C06FA7">
              <w:rPr>
                <w:rFonts w:ascii="Arial" w:eastAsia="Times New Roman" w:hAnsi="Arial" w:cs="Arial"/>
                <w:bCs/>
                <w:lang w:eastAsia="en-GB"/>
              </w:rPr>
              <w:t>Annual review of all patients as per NICE guidance</w:t>
            </w:r>
          </w:p>
          <w:p w14:paraId="550F4146" w14:textId="77777777" w:rsidR="006A5754" w:rsidRPr="00C06FA7" w:rsidRDefault="006A5754" w:rsidP="006A5754">
            <w:pPr>
              <w:pStyle w:val="ListParagraph"/>
              <w:numPr>
                <w:ilvl w:val="0"/>
                <w:numId w:val="43"/>
              </w:numPr>
              <w:spacing w:after="0" w:line="240" w:lineRule="auto"/>
              <w:rPr>
                <w:rFonts w:ascii="Arial" w:eastAsia="Times New Roman" w:hAnsi="Arial" w:cs="Arial"/>
                <w:bCs/>
                <w:lang w:eastAsia="en-GB"/>
              </w:rPr>
            </w:pPr>
            <w:r w:rsidRPr="00C06FA7">
              <w:rPr>
                <w:rFonts w:ascii="Arial" w:eastAsia="Times New Roman" w:hAnsi="Arial" w:cs="Arial"/>
                <w:bCs/>
                <w:lang w:eastAsia="en-GB"/>
              </w:rPr>
              <w:t>Review the patient annually or as clinically appropriate and advise the GP promptly after these reviews on when to adjust the dose, stop treatment or consult with the Specialist.</w:t>
            </w:r>
          </w:p>
          <w:p w14:paraId="45480C9F" w14:textId="77777777" w:rsidR="006A5754" w:rsidRPr="00C06FA7" w:rsidRDefault="006A5754" w:rsidP="006A5754">
            <w:pPr>
              <w:pStyle w:val="ListParagraph"/>
              <w:numPr>
                <w:ilvl w:val="0"/>
                <w:numId w:val="43"/>
              </w:numPr>
              <w:spacing w:after="0" w:line="240" w:lineRule="auto"/>
              <w:rPr>
                <w:rFonts w:ascii="Arial" w:eastAsia="Times New Roman" w:hAnsi="Arial" w:cs="Arial"/>
                <w:bCs/>
                <w:lang w:eastAsia="en-GB"/>
              </w:rPr>
            </w:pPr>
            <w:r w:rsidRPr="00C06FA7">
              <w:rPr>
                <w:rFonts w:ascii="Arial" w:eastAsia="Times New Roman" w:hAnsi="Arial" w:cs="Arial"/>
                <w:bCs/>
                <w:lang w:eastAsia="en-GB"/>
              </w:rPr>
              <w:t>Ensure patient understands that dosing is ONCE WEEKLY: inform the patient and their caregivers of the potentially fatal risk of accidental overdose if methotrexate is taken more frequently than once a week; specifically, that it should not be taken daily</w:t>
            </w:r>
          </w:p>
          <w:p w14:paraId="781902B4" w14:textId="77777777" w:rsidR="006A5754" w:rsidRPr="00C06FA7" w:rsidRDefault="006A5754" w:rsidP="006A5754">
            <w:pPr>
              <w:pStyle w:val="ListParagraph"/>
              <w:numPr>
                <w:ilvl w:val="0"/>
                <w:numId w:val="43"/>
              </w:numPr>
              <w:spacing w:after="0" w:line="240" w:lineRule="auto"/>
              <w:rPr>
                <w:rFonts w:ascii="Arial" w:eastAsia="Times New Roman" w:hAnsi="Arial" w:cs="Arial"/>
                <w:bCs/>
                <w:lang w:eastAsia="en-GB"/>
              </w:rPr>
            </w:pPr>
            <w:r w:rsidRPr="00C06FA7">
              <w:rPr>
                <w:rFonts w:ascii="Arial" w:eastAsia="Times New Roman" w:hAnsi="Arial" w:cs="Arial"/>
                <w:bCs/>
                <w:lang w:eastAsia="en-GB"/>
              </w:rPr>
              <w:t>Advise patients of the need to promptly seek medical advice if they think they have taken too much</w:t>
            </w:r>
          </w:p>
          <w:p w14:paraId="7289B683" w14:textId="77777777" w:rsidR="006A5754" w:rsidRPr="00C06FA7" w:rsidRDefault="006A5754" w:rsidP="006A5754">
            <w:pPr>
              <w:pStyle w:val="ListParagraph"/>
              <w:numPr>
                <w:ilvl w:val="0"/>
                <w:numId w:val="43"/>
              </w:numPr>
              <w:spacing w:after="0" w:line="240" w:lineRule="auto"/>
              <w:rPr>
                <w:rFonts w:ascii="Arial" w:eastAsia="Times New Roman" w:hAnsi="Arial" w:cs="Arial"/>
                <w:bCs/>
                <w:lang w:eastAsia="en-GB"/>
              </w:rPr>
            </w:pPr>
            <w:r w:rsidRPr="00C06FA7">
              <w:rPr>
                <w:rFonts w:ascii="Arial" w:eastAsia="Times New Roman" w:hAnsi="Arial" w:cs="Arial"/>
                <w:bCs/>
                <w:lang w:eastAsia="en-GB"/>
              </w:rPr>
              <w:t>Inform GP, by letter, of each clinic attendance and action taken for the management of the patient ensuring current dose, most recent blood results and frequency of monitoring are stated.</w:t>
            </w:r>
          </w:p>
          <w:p w14:paraId="282BBB00" w14:textId="77777777" w:rsidR="006A5754" w:rsidRPr="00C06FA7" w:rsidRDefault="006A5754" w:rsidP="006A5754">
            <w:pPr>
              <w:pStyle w:val="ListParagraph"/>
              <w:numPr>
                <w:ilvl w:val="0"/>
                <w:numId w:val="43"/>
              </w:numPr>
              <w:spacing w:after="0" w:line="240" w:lineRule="auto"/>
              <w:rPr>
                <w:rFonts w:ascii="Arial" w:eastAsia="Times New Roman" w:hAnsi="Arial" w:cs="Arial"/>
                <w:bCs/>
                <w:lang w:eastAsia="en-GB"/>
              </w:rPr>
            </w:pPr>
            <w:r w:rsidRPr="00C06FA7">
              <w:rPr>
                <w:rFonts w:ascii="Arial" w:eastAsia="Times New Roman" w:hAnsi="Arial" w:cs="Arial"/>
                <w:bCs/>
                <w:lang w:eastAsia="en-GB"/>
              </w:rPr>
              <w:t>Evaluate any reported adverse effects by GP or patient.</w:t>
            </w:r>
          </w:p>
          <w:p w14:paraId="30B1A8C5" w14:textId="77777777" w:rsidR="006A5754" w:rsidRPr="00C06FA7" w:rsidRDefault="006A5754" w:rsidP="006A5754">
            <w:pPr>
              <w:pStyle w:val="ListParagraph"/>
              <w:numPr>
                <w:ilvl w:val="0"/>
                <w:numId w:val="43"/>
              </w:numPr>
              <w:spacing w:after="0" w:line="240" w:lineRule="auto"/>
              <w:rPr>
                <w:rFonts w:ascii="Arial" w:eastAsia="Times New Roman" w:hAnsi="Arial" w:cs="Arial"/>
                <w:bCs/>
                <w:lang w:eastAsia="en-GB"/>
              </w:rPr>
            </w:pPr>
            <w:r w:rsidRPr="00C06FA7">
              <w:rPr>
                <w:rFonts w:ascii="Arial" w:eastAsia="Times New Roman" w:hAnsi="Arial" w:cs="Arial"/>
                <w:bCs/>
                <w:lang w:eastAsia="en-GB"/>
              </w:rPr>
              <w:t>Inform GP of patients who do not attend clinic appointments and contact patient to rearrange.</w:t>
            </w:r>
          </w:p>
          <w:p w14:paraId="7CF94A46" w14:textId="429B142A" w:rsidR="006A5754" w:rsidRPr="00BC1749" w:rsidRDefault="006A5754" w:rsidP="006A5754">
            <w:pPr>
              <w:pStyle w:val="Default"/>
              <w:rPr>
                <w:sz w:val="22"/>
                <w:szCs w:val="22"/>
              </w:rPr>
            </w:pPr>
          </w:p>
        </w:tc>
      </w:tr>
    </w:tbl>
    <w:p w14:paraId="517031F9" w14:textId="77777777" w:rsidR="005E21BE" w:rsidRDefault="005E21BE" w:rsidP="00004CD4">
      <w:pPr>
        <w:spacing w:after="0" w:line="240" w:lineRule="auto"/>
        <w:rPr>
          <w:rFonts w:ascii="Arial" w:hAnsi="Arial" w:cs="Arial"/>
          <w:b/>
          <w:sz w:val="18"/>
        </w:rPr>
      </w:pPr>
    </w:p>
    <w:p w14:paraId="583A029D" w14:textId="77777777" w:rsidR="005E21BE" w:rsidRPr="00004CD4" w:rsidRDefault="005E21BE" w:rsidP="00CA1BB1">
      <w:pPr>
        <w:keepNext/>
        <w:pBdr>
          <w:top w:val="single" w:sz="4" w:space="1" w:color="auto"/>
          <w:left w:val="single" w:sz="4" w:space="4" w:color="auto"/>
          <w:bottom w:val="single" w:sz="4" w:space="1" w:color="auto"/>
          <w:right w:val="single" w:sz="4" w:space="6" w:color="auto"/>
        </w:pBdr>
        <w:tabs>
          <w:tab w:val="left" w:pos="357"/>
        </w:tabs>
        <w:spacing w:after="0" w:line="240" w:lineRule="auto"/>
        <w:contextualSpacing/>
        <w:jc w:val="both"/>
        <w:outlineLvl w:val="0"/>
        <w:rPr>
          <w:rFonts w:ascii="Arial" w:eastAsia="Times New Roman" w:hAnsi="Arial" w:cs="Arial"/>
          <w:b/>
          <w:bCs/>
          <w:szCs w:val="24"/>
        </w:rPr>
      </w:pPr>
      <w:r w:rsidRPr="00004CD4">
        <w:rPr>
          <w:rFonts w:ascii="Arial" w:eastAsia="Times New Roman" w:hAnsi="Arial" w:cs="Arial"/>
          <w:b/>
          <w:bCs/>
          <w:szCs w:val="24"/>
        </w:rPr>
        <w:t>GP RESPONSIBILITIES</w:t>
      </w:r>
    </w:p>
    <w:p w14:paraId="448313C2" w14:textId="22C01333" w:rsidR="005E21BE" w:rsidRDefault="005E21BE" w:rsidP="00CA1BB1">
      <w:pPr>
        <w:keepNext/>
        <w:pBdr>
          <w:top w:val="single" w:sz="4" w:space="1" w:color="auto"/>
          <w:left w:val="single" w:sz="4" w:space="4" w:color="auto"/>
          <w:bottom w:val="single" w:sz="4" w:space="1" w:color="auto"/>
          <w:right w:val="single" w:sz="4" w:space="6" w:color="auto"/>
        </w:pBdr>
        <w:tabs>
          <w:tab w:val="left" w:pos="357"/>
        </w:tabs>
        <w:spacing w:after="0" w:line="240" w:lineRule="auto"/>
        <w:contextualSpacing/>
        <w:jc w:val="both"/>
        <w:outlineLvl w:val="0"/>
        <w:rPr>
          <w:rFonts w:ascii="Arial" w:eastAsia="Times New Roman" w:hAnsi="Arial" w:cs="Arial"/>
          <w:bCs/>
          <w:szCs w:val="24"/>
        </w:rPr>
      </w:pPr>
      <w:r>
        <w:rPr>
          <w:rFonts w:ascii="Arial" w:eastAsia="Times New Roman" w:hAnsi="Arial" w:cs="Arial"/>
          <w:bCs/>
          <w:szCs w:val="24"/>
        </w:rPr>
        <w:t xml:space="preserve">Refer to page </w:t>
      </w:r>
      <w:r w:rsidR="00AF6D3E">
        <w:rPr>
          <w:rFonts w:ascii="Arial" w:eastAsia="Times New Roman" w:hAnsi="Arial" w:cs="Arial"/>
          <w:bCs/>
          <w:szCs w:val="24"/>
        </w:rPr>
        <w:t>1</w:t>
      </w:r>
      <w:r w:rsidR="006443C5">
        <w:rPr>
          <w:rFonts w:ascii="Arial" w:eastAsia="Times New Roman" w:hAnsi="Arial" w:cs="Arial"/>
          <w:bCs/>
          <w:szCs w:val="24"/>
        </w:rPr>
        <w:t>&amp;</w:t>
      </w:r>
      <w:r w:rsidR="00AF6D3E">
        <w:rPr>
          <w:rFonts w:ascii="Arial" w:eastAsia="Times New Roman" w:hAnsi="Arial" w:cs="Arial"/>
          <w:bCs/>
          <w:szCs w:val="24"/>
        </w:rPr>
        <w:t xml:space="preserve">2 and </w:t>
      </w:r>
      <w:r w:rsidR="00AF6D3E" w:rsidRPr="00AF6D3E">
        <w:rPr>
          <w:rFonts w:ascii="Arial" w:eastAsia="Times New Roman" w:hAnsi="Arial" w:cs="Arial"/>
          <w:bCs/>
          <w:szCs w:val="24"/>
        </w:rPr>
        <w:t>GP Considerations for Shared Care</w:t>
      </w:r>
      <w:r w:rsidR="00AF6D3E">
        <w:rPr>
          <w:rFonts w:ascii="Arial" w:eastAsia="Times New Roman" w:hAnsi="Arial" w:cs="Arial"/>
          <w:bCs/>
          <w:szCs w:val="24"/>
        </w:rPr>
        <w:t xml:space="preserve"> page 1</w:t>
      </w:r>
      <w:r w:rsidR="00DD236B">
        <w:rPr>
          <w:rFonts w:ascii="Arial" w:eastAsia="Times New Roman" w:hAnsi="Arial" w:cs="Arial"/>
          <w:bCs/>
          <w:szCs w:val="24"/>
        </w:rPr>
        <w:t>2</w:t>
      </w:r>
      <w:r w:rsidR="00E06022">
        <w:rPr>
          <w:rFonts w:ascii="Arial" w:eastAsia="Times New Roman" w:hAnsi="Arial" w:cs="Arial"/>
          <w:bCs/>
          <w:szCs w:val="24"/>
        </w:rPr>
        <w:t>.</w:t>
      </w:r>
    </w:p>
    <w:p w14:paraId="7399C154" w14:textId="77777777" w:rsidR="005E21BE" w:rsidRDefault="005E21BE" w:rsidP="00004CD4">
      <w:pPr>
        <w:spacing w:after="0" w:line="240" w:lineRule="auto"/>
        <w:rPr>
          <w:rFonts w:ascii="Arial" w:hAnsi="Arial" w:cs="Arial"/>
          <w:b/>
          <w:sz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0314E301" w14:textId="77777777" w:rsidTr="008C60E5">
        <w:trPr>
          <w:trHeight w:val="632"/>
        </w:trPr>
        <w:tc>
          <w:tcPr>
            <w:tcW w:w="10774" w:type="dxa"/>
            <w:shd w:val="clear" w:color="auto" w:fill="auto"/>
          </w:tcPr>
          <w:p w14:paraId="6C9ABB22" w14:textId="7A1AE05A"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PATIENT RESPONSIBILITIES</w:t>
            </w:r>
            <w:r w:rsidR="000678AD">
              <w:rPr>
                <w:rFonts w:ascii="Arial" w:eastAsia="Times New Roman" w:hAnsi="Arial" w:cs="Arial"/>
                <w:b/>
                <w:bCs/>
                <w:lang w:eastAsia="en-GB"/>
              </w:rPr>
              <w:t xml:space="preserve"> </w:t>
            </w:r>
            <w:r w:rsidR="000678AD" w:rsidRPr="000678AD">
              <w:rPr>
                <w:rFonts w:ascii="Arial" w:eastAsia="Times New Roman" w:hAnsi="Arial" w:cs="Arial"/>
                <w:b/>
                <w:bCs/>
                <w:lang w:eastAsia="en-GB"/>
              </w:rPr>
              <w:t>IN COOPERATION WITH SPECIALIST AND GP</w:t>
            </w:r>
          </w:p>
          <w:p w14:paraId="5AAB0121" w14:textId="77777777" w:rsidR="00615095" w:rsidRDefault="00615095" w:rsidP="00615095">
            <w:pPr>
              <w:numPr>
                <w:ilvl w:val="0"/>
                <w:numId w:val="8"/>
              </w:numPr>
              <w:spacing w:after="0" w:line="240" w:lineRule="auto"/>
              <w:rPr>
                <w:rFonts w:ascii="Arial" w:eastAsia="Times New Roman" w:hAnsi="Arial" w:cs="Arial"/>
                <w:bCs/>
                <w:lang w:eastAsia="en-GB"/>
              </w:rPr>
            </w:pPr>
            <w:r>
              <w:rPr>
                <w:rFonts w:ascii="Arial" w:eastAsia="Times New Roman" w:hAnsi="Arial" w:cs="Arial"/>
                <w:bCs/>
                <w:lang w:eastAsia="en-GB"/>
              </w:rPr>
              <w:t>Confirm their agreement with the decision to move to a shared care model for their ongoing care and their understanding of the shared care agreement.</w:t>
            </w:r>
          </w:p>
          <w:p w14:paraId="6D572B26" w14:textId="77777777" w:rsidR="00615095" w:rsidRDefault="00615095" w:rsidP="00615095">
            <w:pPr>
              <w:numPr>
                <w:ilvl w:val="0"/>
                <w:numId w:val="8"/>
              </w:numPr>
              <w:spacing w:after="0" w:line="240" w:lineRule="auto"/>
              <w:rPr>
                <w:rFonts w:ascii="Arial" w:eastAsia="Times New Roman" w:hAnsi="Arial" w:cs="Arial"/>
                <w:bCs/>
                <w:lang w:eastAsia="en-GB"/>
              </w:rPr>
            </w:pPr>
            <w:r>
              <w:rPr>
                <w:rFonts w:ascii="Arial" w:eastAsia="Times New Roman" w:hAnsi="Arial" w:cs="Arial"/>
                <w:bCs/>
                <w:lang w:eastAsia="en-GB"/>
              </w:rPr>
              <w:t>Consent to share care and complete/sign specialist and patient agreement section of Shared Care Agreement form.</w:t>
            </w:r>
          </w:p>
          <w:p w14:paraId="441F3AAE" w14:textId="77777777" w:rsidR="00615095" w:rsidRDefault="00615095" w:rsidP="00615095">
            <w:pPr>
              <w:pStyle w:val="ListParagraph"/>
              <w:numPr>
                <w:ilvl w:val="0"/>
                <w:numId w:val="8"/>
              </w:numPr>
              <w:spacing w:after="0" w:line="240" w:lineRule="auto"/>
              <w:rPr>
                <w:rFonts w:ascii="Arial" w:eastAsia="Times New Roman" w:hAnsi="Arial" w:cs="Arial"/>
                <w:bCs/>
                <w:lang w:eastAsia="en-GB"/>
              </w:rPr>
            </w:pPr>
            <w:r>
              <w:rPr>
                <w:rFonts w:ascii="Arial" w:eastAsia="Times New Roman" w:hAnsi="Arial" w:cs="Arial"/>
                <w:bCs/>
                <w:lang w:eastAsia="en-GB"/>
              </w:rPr>
              <w:lastRenderedPageBreak/>
              <w:t xml:space="preserve">Confirm their understanding of the treatment and agreeing to contact the specialist/GP if they subsequently do not have a clear understanding of the treatment (patient to be provided with relevant contact details for GP/specialist in and out of hours). </w:t>
            </w:r>
          </w:p>
          <w:p w14:paraId="23C48C69" w14:textId="77777777" w:rsidR="006443C5" w:rsidRPr="00C06FA7" w:rsidRDefault="006443C5" w:rsidP="006443C5">
            <w:pPr>
              <w:pStyle w:val="ListParagraph"/>
              <w:numPr>
                <w:ilvl w:val="0"/>
                <w:numId w:val="8"/>
              </w:numPr>
              <w:spacing w:after="0" w:line="240" w:lineRule="auto"/>
              <w:rPr>
                <w:rFonts w:ascii="Arial" w:eastAsia="Times New Roman" w:hAnsi="Arial" w:cs="Arial"/>
                <w:bCs/>
                <w:lang w:eastAsia="en-GB"/>
              </w:rPr>
            </w:pPr>
            <w:r w:rsidRPr="00C06FA7">
              <w:rPr>
                <w:rFonts w:ascii="Arial" w:eastAsia="Times New Roman" w:hAnsi="Arial" w:cs="Arial"/>
                <w:bCs/>
                <w:lang w:eastAsia="en-GB"/>
              </w:rPr>
              <w:t>For patients taking tablets, confirm their understanding that they will only ever be prescribed methotrexate 2.5 mg tablets and patients who receive 10 mg tablets should always question the discrepancy.</w:t>
            </w:r>
          </w:p>
          <w:p w14:paraId="7D1AF202" w14:textId="40413B77" w:rsidR="00615095" w:rsidRDefault="00615095" w:rsidP="00615095">
            <w:pPr>
              <w:numPr>
                <w:ilvl w:val="0"/>
                <w:numId w:val="8"/>
              </w:numPr>
              <w:spacing w:after="0" w:line="240" w:lineRule="auto"/>
              <w:rPr>
                <w:rFonts w:ascii="Arial" w:eastAsia="Times New Roman" w:hAnsi="Arial" w:cs="Arial"/>
                <w:bCs/>
                <w:lang w:eastAsia="en-GB"/>
              </w:rPr>
            </w:pPr>
            <w:r>
              <w:rPr>
                <w:rFonts w:ascii="Arial" w:eastAsia="Times New Roman" w:hAnsi="Arial" w:cs="Arial"/>
                <w:bCs/>
                <w:lang w:eastAsia="en-GB"/>
              </w:rPr>
              <w:t xml:space="preserve">Attending for blood monitoring and follow up hospital or GP appointments. </w:t>
            </w:r>
          </w:p>
          <w:p w14:paraId="0DC33DE7" w14:textId="77777777" w:rsidR="00615095" w:rsidRDefault="00615095" w:rsidP="00615095">
            <w:pPr>
              <w:pStyle w:val="ListParagraph"/>
              <w:numPr>
                <w:ilvl w:val="0"/>
                <w:numId w:val="8"/>
              </w:numPr>
              <w:spacing w:after="0" w:line="240" w:lineRule="auto"/>
              <w:rPr>
                <w:rFonts w:ascii="Arial" w:eastAsia="Times New Roman" w:hAnsi="Arial" w:cs="Arial"/>
                <w:bCs/>
                <w:lang w:eastAsia="en-GB"/>
              </w:rPr>
            </w:pPr>
            <w:r>
              <w:rPr>
                <w:rFonts w:ascii="Arial" w:eastAsia="Times New Roman" w:hAnsi="Arial" w:cs="Arial"/>
                <w:bCs/>
                <w:lang w:eastAsia="en-GB"/>
              </w:rPr>
              <w:t xml:space="preserve">Ensuring a list of all medications are brought to all GP surgery, outpatient and A&amp;E consultations. </w:t>
            </w:r>
          </w:p>
          <w:p w14:paraId="162A6E1C" w14:textId="77777777" w:rsidR="00615095" w:rsidRDefault="00615095" w:rsidP="00615095">
            <w:pPr>
              <w:pStyle w:val="ListParagraph"/>
              <w:numPr>
                <w:ilvl w:val="0"/>
                <w:numId w:val="8"/>
              </w:numPr>
              <w:spacing w:after="0" w:line="240" w:lineRule="auto"/>
              <w:rPr>
                <w:rFonts w:ascii="Arial" w:eastAsia="Times New Roman" w:hAnsi="Arial" w:cs="Arial"/>
                <w:bCs/>
                <w:lang w:eastAsia="en-GB"/>
              </w:rPr>
            </w:pPr>
            <w:r>
              <w:rPr>
                <w:rFonts w:ascii="Arial" w:hAnsi="Arial" w:cs="Arial"/>
              </w:rPr>
              <w:t>When GP and hospital are unable to view blood results on a shared electronic system, ensure the printed blood results from specialist and GP are kept up to date and bought to all GP and outpatient consultations.</w:t>
            </w:r>
          </w:p>
          <w:p w14:paraId="74CEDB92" w14:textId="77777777" w:rsidR="00615095" w:rsidRDefault="00615095" w:rsidP="00615095">
            <w:pPr>
              <w:numPr>
                <w:ilvl w:val="0"/>
                <w:numId w:val="8"/>
              </w:numPr>
              <w:spacing w:after="0" w:line="240" w:lineRule="auto"/>
              <w:rPr>
                <w:rFonts w:ascii="Arial" w:eastAsia="Times New Roman" w:hAnsi="Arial" w:cs="Arial"/>
                <w:bCs/>
                <w:lang w:eastAsia="en-GB"/>
              </w:rPr>
            </w:pPr>
            <w:r>
              <w:rPr>
                <w:rFonts w:ascii="Arial" w:eastAsia="Times New Roman" w:hAnsi="Arial" w:cs="Arial"/>
                <w:bCs/>
                <w:lang w:eastAsia="en-GB"/>
              </w:rPr>
              <w:t xml:space="preserve">Reporting any change in symptoms and adverse effects promptly to the clinician who is currently prescribing. </w:t>
            </w:r>
          </w:p>
          <w:p w14:paraId="3ECA611B" w14:textId="77777777" w:rsidR="00615095" w:rsidRDefault="00615095" w:rsidP="00615095">
            <w:pPr>
              <w:pStyle w:val="ListParagraph"/>
              <w:numPr>
                <w:ilvl w:val="0"/>
                <w:numId w:val="8"/>
              </w:numPr>
              <w:spacing w:after="0" w:line="240" w:lineRule="auto"/>
              <w:rPr>
                <w:rFonts w:ascii="Arial" w:eastAsia="Times New Roman" w:hAnsi="Arial" w:cs="Arial"/>
                <w:bCs/>
                <w:lang w:eastAsia="en-GB"/>
              </w:rPr>
            </w:pPr>
            <w:r>
              <w:rPr>
                <w:rFonts w:ascii="Arial" w:eastAsia="Times New Roman" w:hAnsi="Arial" w:cs="Arial"/>
                <w:bCs/>
                <w:lang w:eastAsia="en-GB"/>
              </w:rPr>
              <w:t>Confirm that no new medicines are started (including over the counter preparations) unless this has been discussed with the GP, specialist or pharmacist.</w:t>
            </w:r>
          </w:p>
          <w:p w14:paraId="74FC2664" w14:textId="77777777" w:rsidR="00615095" w:rsidRDefault="00615095" w:rsidP="00615095">
            <w:pPr>
              <w:numPr>
                <w:ilvl w:val="0"/>
                <w:numId w:val="8"/>
              </w:numPr>
              <w:spacing w:after="0" w:line="240" w:lineRule="auto"/>
              <w:rPr>
                <w:rFonts w:ascii="Arial" w:eastAsia="Times New Roman" w:hAnsi="Arial" w:cs="Arial"/>
                <w:bCs/>
                <w:lang w:eastAsia="en-GB"/>
              </w:rPr>
            </w:pPr>
            <w:r>
              <w:rPr>
                <w:rFonts w:ascii="Arial" w:eastAsia="Times New Roman" w:hAnsi="Arial" w:cs="Arial"/>
                <w:bCs/>
                <w:lang w:eastAsia="en-GB"/>
              </w:rPr>
              <w:t xml:space="preserve">Alert GP and/or specialist of any changes of circumstance which could affect management of disease e.g. plans for pregnancy; plans to move/change GP practice. </w:t>
            </w:r>
          </w:p>
          <w:p w14:paraId="0859C584" w14:textId="71DBAE5B" w:rsidR="00615095" w:rsidRDefault="00615095" w:rsidP="00615095">
            <w:pPr>
              <w:pStyle w:val="Default"/>
              <w:numPr>
                <w:ilvl w:val="0"/>
                <w:numId w:val="8"/>
              </w:numPr>
              <w:jc w:val="both"/>
              <w:rPr>
                <w:sz w:val="22"/>
                <w:szCs w:val="22"/>
              </w:rPr>
            </w:pPr>
            <w:r>
              <w:rPr>
                <w:sz w:val="22"/>
                <w:szCs w:val="22"/>
              </w:rPr>
              <w:t>Patients should take adequate precautions to avoid pregnancy.</w:t>
            </w:r>
          </w:p>
          <w:p w14:paraId="7785076C" w14:textId="012D3FC9" w:rsidR="006443C5" w:rsidRPr="00C06FA7" w:rsidRDefault="006443C5" w:rsidP="00BC5E4E">
            <w:pPr>
              <w:pStyle w:val="Default"/>
              <w:numPr>
                <w:ilvl w:val="0"/>
                <w:numId w:val="8"/>
              </w:numPr>
              <w:jc w:val="both"/>
              <w:rPr>
                <w:sz w:val="22"/>
                <w:szCs w:val="22"/>
              </w:rPr>
            </w:pPr>
            <w:r w:rsidRPr="00C06FA7">
              <w:rPr>
                <w:sz w:val="22"/>
                <w:szCs w:val="22"/>
              </w:rPr>
              <w:t xml:space="preserve">Be aware skin may be more sensitive to exposure to UV light while taking methotrexate. </w:t>
            </w:r>
            <w:r w:rsidR="00C06FA7" w:rsidRPr="00C06FA7">
              <w:rPr>
                <w:sz w:val="22"/>
                <w:szCs w:val="22"/>
              </w:rPr>
              <w:t>U</w:t>
            </w:r>
            <w:r w:rsidRPr="00C06FA7">
              <w:rPr>
                <w:sz w:val="22"/>
                <w:szCs w:val="22"/>
              </w:rPr>
              <w:t>se appropriate self-care: e.g. sun avoidance, protective clothing, avoiding tanning (including</w:t>
            </w:r>
            <w:r w:rsidR="00C06FA7">
              <w:rPr>
                <w:sz w:val="22"/>
                <w:szCs w:val="22"/>
              </w:rPr>
              <w:t xml:space="preserve"> </w:t>
            </w:r>
            <w:r w:rsidRPr="00C06FA7">
              <w:rPr>
                <w:sz w:val="22"/>
                <w:szCs w:val="22"/>
              </w:rPr>
              <w:t xml:space="preserve">tanning beds) and to purchase and use a </w:t>
            </w:r>
            <w:proofErr w:type="gramStart"/>
            <w:r w:rsidRPr="00C06FA7">
              <w:rPr>
                <w:sz w:val="22"/>
                <w:szCs w:val="22"/>
              </w:rPr>
              <w:t>broad spectrum</w:t>
            </w:r>
            <w:proofErr w:type="gramEnd"/>
            <w:r w:rsidRPr="00C06FA7">
              <w:rPr>
                <w:sz w:val="22"/>
                <w:szCs w:val="22"/>
              </w:rPr>
              <w:t xml:space="preserve"> sunscreen (at least SPF30).</w:t>
            </w:r>
          </w:p>
          <w:p w14:paraId="19B6562E" w14:textId="76FAFDBD" w:rsidR="008B71E0" w:rsidRPr="008B71E0" w:rsidRDefault="00615095" w:rsidP="00615095">
            <w:pPr>
              <w:pStyle w:val="ListParagraph"/>
              <w:numPr>
                <w:ilvl w:val="0"/>
                <w:numId w:val="8"/>
              </w:numPr>
              <w:rPr>
                <w:rFonts w:ascii="Arial" w:eastAsia="Times New Roman" w:hAnsi="Arial" w:cs="Arial"/>
                <w:bCs/>
                <w:lang w:eastAsia="en-GB"/>
              </w:rPr>
            </w:pPr>
            <w:r>
              <w:rPr>
                <w:rFonts w:ascii="Arial" w:hAnsi="Arial" w:cs="Arial"/>
              </w:rPr>
              <w:t>To reduce alcohol to lowest possible intake and remain within maximum national allowed weekly limit</w:t>
            </w:r>
          </w:p>
        </w:tc>
      </w:tr>
    </w:tbl>
    <w:p w14:paraId="53554AFE" w14:textId="77777777" w:rsidR="00CA1BB1" w:rsidRDefault="00CA1BB1" w:rsidP="00004CD4">
      <w:pPr>
        <w:spacing w:after="0" w:line="240" w:lineRule="auto"/>
        <w:rPr>
          <w:rFonts w:ascii="Arial" w:hAnsi="Arial" w:cs="Arial"/>
          <w:b/>
          <w:sz w:val="18"/>
        </w:rPr>
      </w:pPr>
    </w:p>
    <w:p w14:paraId="0A2AE3DF" w14:textId="77777777" w:rsidR="00CA1BB1" w:rsidRPr="00CA1BB1" w:rsidRDefault="00CA1BB1" w:rsidP="00CA1BB1">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19337B99" w14:textId="77777777" w:rsidTr="008C60E5">
        <w:trPr>
          <w:trHeight w:val="632"/>
        </w:trPr>
        <w:tc>
          <w:tcPr>
            <w:tcW w:w="10774" w:type="dxa"/>
            <w:shd w:val="clear" w:color="auto" w:fill="auto"/>
          </w:tcPr>
          <w:p w14:paraId="2A749437" w14:textId="77777777"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DISPENSING PHARMACIST RESPONSIBILITIES</w:t>
            </w:r>
          </w:p>
          <w:p w14:paraId="5566D048" w14:textId="77777777" w:rsidR="00CA1BB1" w:rsidRPr="00CA1BB1" w:rsidRDefault="00CA1BB1">
            <w:pPr>
              <w:pStyle w:val="ListParagraph"/>
              <w:numPr>
                <w:ilvl w:val="0"/>
                <w:numId w:val="9"/>
              </w:numPr>
              <w:spacing w:after="0" w:line="240" w:lineRule="auto"/>
              <w:rPr>
                <w:rFonts w:ascii="Arial" w:eastAsia="Times New Roman" w:hAnsi="Arial" w:cs="Arial"/>
                <w:bCs/>
                <w:lang w:eastAsia="en-GB"/>
              </w:rPr>
            </w:pPr>
            <w:r w:rsidRPr="00CA1BB1">
              <w:rPr>
                <w:rFonts w:ascii="Arial" w:eastAsia="Times New Roman" w:hAnsi="Arial" w:cs="Arial"/>
                <w:bCs/>
                <w:lang w:eastAsia="en-GB"/>
              </w:rPr>
              <w:t xml:space="preserve">Confirming that the patient has received verbal and written patient counselling / information and provide additional counselling should this be required. </w:t>
            </w:r>
          </w:p>
          <w:p w14:paraId="64512CE0" w14:textId="77777777" w:rsidR="00CA1BB1" w:rsidRPr="00CA1BB1" w:rsidRDefault="00CA1BB1">
            <w:pPr>
              <w:pStyle w:val="ListParagraph"/>
              <w:numPr>
                <w:ilvl w:val="0"/>
                <w:numId w:val="9"/>
              </w:numPr>
              <w:spacing w:after="0" w:line="240" w:lineRule="auto"/>
              <w:rPr>
                <w:rFonts w:ascii="Arial" w:eastAsia="Times New Roman" w:hAnsi="Arial" w:cs="Arial"/>
                <w:bCs/>
                <w:lang w:eastAsia="en-GB"/>
              </w:rPr>
            </w:pPr>
            <w:r w:rsidRPr="00CA1BB1">
              <w:rPr>
                <w:rFonts w:ascii="Arial" w:eastAsia="Times New Roman" w:hAnsi="Arial" w:cs="Arial"/>
                <w:bCs/>
                <w:lang w:eastAsia="en-GB"/>
              </w:rPr>
              <w:t>Check the patient is being monitored regularly, e.g. using the patient held monitoring booklet where available, to ensure that it is safe before issuing or dispensing prescriptions.</w:t>
            </w:r>
          </w:p>
        </w:tc>
      </w:tr>
    </w:tbl>
    <w:p w14:paraId="67195779" w14:textId="77777777" w:rsidR="00CA1BB1" w:rsidRDefault="00CA1BB1" w:rsidP="00004CD4">
      <w:pPr>
        <w:spacing w:after="0" w:line="240" w:lineRule="auto"/>
        <w:rPr>
          <w:rFonts w:ascii="Arial" w:hAnsi="Arial" w:cs="Arial"/>
          <w:b/>
          <w:sz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171787F8" w14:textId="77777777" w:rsidTr="008C60E5">
        <w:trPr>
          <w:trHeight w:val="632"/>
        </w:trPr>
        <w:tc>
          <w:tcPr>
            <w:tcW w:w="10774" w:type="dxa"/>
            <w:shd w:val="clear" w:color="auto" w:fill="auto"/>
          </w:tcPr>
          <w:p w14:paraId="523DB451" w14:textId="77777777"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MONITORING AND ACTIONS TO BE TAKEN</w:t>
            </w:r>
          </w:p>
          <w:p w14:paraId="243B6ED4" w14:textId="03522F52" w:rsidR="00CA1BB1" w:rsidRPr="00CA1BB1" w:rsidRDefault="00DD1664">
            <w:pPr>
              <w:pStyle w:val="ListParagraph"/>
              <w:numPr>
                <w:ilvl w:val="0"/>
                <w:numId w:val="9"/>
              </w:numPr>
              <w:spacing w:after="0" w:line="240" w:lineRule="auto"/>
              <w:rPr>
                <w:rFonts w:ascii="Arial" w:eastAsia="Times New Roman" w:hAnsi="Arial" w:cs="Arial"/>
                <w:bCs/>
                <w:lang w:eastAsia="en-GB"/>
              </w:rPr>
            </w:pPr>
            <w:r>
              <w:rPr>
                <w:rFonts w:ascii="Arial" w:eastAsia="Times New Roman" w:hAnsi="Arial" w:cs="Arial"/>
                <w:bCs/>
                <w:lang w:eastAsia="en-GB"/>
              </w:rPr>
              <w:t xml:space="preserve">Refer to page </w:t>
            </w:r>
            <w:r w:rsidR="00CA1BB1" w:rsidRPr="00CA1BB1">
              <w:rPr>
                <w:rFonts w:ascii="Arial" w:eastAsia="Times New Roman" w:hAnsi="Arial" w:cs="Arial"/>
                <w:bCs/>
                <w:lang w:eastAsia="en-GB"/>
              </w:rPr>
              <w:t>2</w:t>
            </w:r>
            <w:r w:rsidR="006443C5">
              <w:rPr>
                <w:rFonts w:ascii="Arial" w:eastAsia="Times New Roman" w:hAnsi="Arial" w:cs="Arial"/>
                <w:bCs/>
                <w:lang w:eastAsia="en-GB"/>
              </w:rPr>
              <w:t>-4</w:t>
            </w:r>
            <w:r w:rsidR="00C74787">
              <w:rPr>
                <w:rFonts w:ascii="Arial" w:eastAsia="Times New Roman" w:hAnsi="Arial" w:cs="Arial"/>
                <w:bCs/>
                <w:lang w:eastAsia="en-GB"/>
              </w:rPr>
              <w:t>.</w:t>
            </w:r>
          </w:p>
        </w:tc>
      </w:tr>
    </w:tbl>
    <w:p w14:paraId="7CC7FD79" w14:textId="77777777" w:rsidR="00CA1BB1" w:rsidRDefault="00CA1BB1" w:rsidP="00004CD4">
      <w:pPr>
        <w:spacing w:after="0" w:line="240" w:lineRule="auto"/>
        <w:rPr>
          <w:rFonts w:ascii="Arial" w:hAnsi="Arial" w:cs="Arial"/>
          <w:b/>
          <w:sz w:val="18"/>
        </w:rPr>
      </w:pPr>
    </w:p>
    <w:p w14:paraId="1F53F6A2" w14:textId="77777777" w:rsidR="00CA1BB1" w:rsidRPr="00CA1BB1" w:rsidRDefault="00CA1BB1" w:rsidP="00CA1BB1">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4008C1FA" w14:textId="77777777" w:rsidTr="00CA1BB1">
        <w:trPr>
          <w:trHeight w:val="632"/>
        </w:trPr>
        <w:tc>
          <w:tcPr>
            <w:tcW w:w="10774" w:type="dxa"/>
            <w:shd w:val="clear" w:color="auto" w:fill="auto"/>
          </w:tcPr>
          <w:p w14:paraId="73295913" w14:textId="77777777" w:rsidR="008C60E5" w:rsidRPr="008C60E5" w:rsidRDefault="008C60E5" w:rsidP="008C60E5">
            <w:pPr>
              <w:spacing w:after="0"/>
              <w:rPr>
                <w:rFonts w:ascii="Arial" w:hAnsi="Arial" w:cs="Arial"/>
                <w:b/>
                <w:bCs/>
                <w:sz w:val="2"/>
              </w:rPr>
            </w:pPr>
          </w:p>
          <w:p w14:paraId="144B1EE6" w14:textId="77777777" w:rsidR="00CA1BB1" w:rsidRDefault="00CA1BB1" w:rsidP="000C7F57">
            <w:pPr>
              <w:spacing w:after="0"/>
              <w:rPr>
                <w:rFonts w:ascii="Arial" w:hAnsi="Arial" w:cs="Arial"/>
                <w:b/>
                <w:bCs/>
              </w:rPr>
            </w:pPr>
            <w:r w:rsidRPr="00D92131">
              <w:rPr>
                <w:rFonts w:ascii="Arial" w:hAnsi="Arial" w:cs="Arial"/>
                <w:b/>
                <w:bCs/>
              </w:rPr>
              <w:t>SIDE EFFECTS AND ACTIONS TO BE TAKEN</w:t>
            </w:r>
            <w:r w:rsidR="00D73BA6">
              <w:rPr>
                <w:rFonts w:ascii="Arial" w:hAnsi="Arial" w:cs="Arial"/>
                <w:b/>
                <w:bCs/>
              </w:rPr>
              <w:t xml:space="preserve"> </w:t>
            </w:r>
            <w:r w:rsidR="00D73BA6" w:rsidRPr="00D73BA6">
              <w:rPr>
                <w:rFonts w:ascii="Arial" w:hAnsi="Arial" w:cs="Arial"/>
                <w:b/>
                <w:bCs/>
              </w:rPr>
              <w:t xml:space="preserve">(REFER TO </w:t>
            </w:r>
            <w:hyperlink r:id="rId14" w:history="1">
              <w:r w:rsidR="00D73BA6" w:rsidRPr="00D73BA6">
                <w:rPr>
                  <w:rStyle w:val="Hyperlink"/>
                  <w:rFonts w:ascii="Arial" w:hAnsi="Arial" w:cs="Arial"/>
                  <w:b/>
                  <w:bCs/>
                </w:rPr>
                <w:t>BNF</w:t>
              </w:r>
            </w:hyperlink>
            <w:r w:rsidR="00D73BA6" w:rsidRPr="00D73BA6">
              <w:rPr>
                <w:rFonts w:ascii="Arial" w:hAnsi="Arial" w:cs="Arial"/>
                <w:b/>
                <w:bCs/>
              </w:rPr>
              <w:t xml:space="preserve"> AND </w:t>
            </w:r>
            <w:hyperlink r:id="rId15" w:history="1">
              <w:r w:rsidR="00D73BA6" w:rsidRPr="00D73BA6">
                <w:rPr>
                  <w:rStyle w:val="Hyperlink"/>
                  <w:rFonts w:ascii="Arial" w:hAnsi="Arial" w:cs="Arial"/>
                  <w:b/>
                  <w:bCs/>
                </w:rPr>
                <w:t>SPC</w:t>
              </w:r>
            </w:hyperlink>
            <w:r w:rsidR="00D73BA6" w:rsidRPr="00D73BA6">
              <w:rPr>
                <w:rFonts w:ascii="Arial" w:hAnsi="Arial" w:cs="Arial"/>
                <w:b/>
                <w:bCs/>
              </w:rPr>
              <w:t xml:space="preserve"> for full details)</w:t>
            </w:r>
          </w:p>
          <w:p w14:paraId="20ED0DBC" w14:textId="77777777" w:rsidR="00D73BA6" w:rsidRDefault="00D73BA6">
            <w:pPr>
              <w:pStyle w:val="ListParagraph"/>
              <w:numPr>
                <w:ilvl w:val="0"/>
                <w:numId w:val="9"/>
              </w:numPr>
              <w:spacing w:after="0" w:line="240" w:lineRule="auto"/>
              <w:ind w:left="357" w:hanging="357"/>
              <w:rPr>
                <w:rFonts w:ascii="Arial" w:hAnsi="Arial" w:cs="Arial"/>
                <w:bCs/>
              </w:rPr>
            </w:pPr>
            <w:r w:rsidRPr="000C7F57">
              <w:rPr>
                <w:rFonts w:ascii="Arial" w:hAnsi="Arial" w:cs="Arial"/>
                <w:bCs/>
              </w:rPr>
              <w:t>GP to liaise with specialist if any side effects are a cause for concern</w:t>
            </w:r>
          </w:p>
          <w:p w14:paraId="1E67A0F8" w14:textId="61D68878" w:rsidR="00D73BA6" w:rsidRDefault="00A543B5">
            <w:pPr>
              <w:pStyle w:val="ListParagraph"/>
              <w:numPr>
                <w:ilvl w:val="0"/>
                <w:numId w:val="9"/>
              </w:numPr>
              <w:spacing w:after="0" w:line="240" w:lineRule="auto"/>
              <w:ind w:left="357" w:hanging="357"/>
              <w:rPr>
                <w:rFonts w:ascii="Arial" w:hAnsi="Arial" w:cs="Arial"/>
                <w:bCs/>
              </w:rPr>
            </w:pPr>
            <w:r>
              <w:rPr>
                <w:rFonts w:ascii="Arial" w:hAnsi="Arial" w:cs="Arial"/>
                <w:bCs/>
              </w:rPr>
              <w:t xml:space="preserve">Patients </w:t>
            </w:r>
            <w:r w:rsidRPr="00A543B5">
              <w:rPr>
                <w:rFonts w:ascii="Arial" w:hAnsi="Arial" w:cs="Arial"/>
                <w:bCs/>
              </w:rPr>
              <w:t>should be instructed to report immediately any evidence of infection, unexpected bruising or bleeding or other manifesta</w:t>
            </w:r>
            <w:r>
              <w:rPr>
                <w:rFonts w:ascii="Arial" w:hAnsi="Arial" w:cs="Arial"/>
                <w:bCs/>
              </w:rPr>
              <w:t>tions of bone marrow depression - a</w:t>
            </w:r>
            <w:r w:rsidR="00D73BA6">
              <w:rPr>
                <w:rFonts w:ascii="Arial" w:hAnsi="Arial" w:cs="Arial"/>
                <w:bCs/>
              </w:rPr>
              <w:t>lso refer to monitoring section</w:t>
            </w:r>
            <w:r w:rsidR="00E06022">
              <w:rPr>
                <w:rFonts w:ascii="Arial" w:hAnsi="Arial" w:cs="Arial"/>
                <w:bCs/>
              </w:rPr>
              <w:t>.</w:t>
            </w:r>
            <w:r w:rsidR="00D73BA6">
              <w:rPr>
                <w:rFonts w:ascii="Arial" w:hAnsi="Arial" w:cs="Arial"/>
                <w:bCs/>
              </w:rPr>
              <w:t xml:space="preserve"> </w:t>
            </w:r>
          </w:p>
          <w:p w14:paraId="7E3E5ABA" w14:textId="73CE8BD8" w:rsidR="00B061F6" w:rsidRDefault="00B061F6" w:rsidP="00B061F6">
            <w:pPr>
              <w:spacing w:after="0" w:line="240" w:lineRule="auto"/>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245"/>
            </w:tblGrid>
            <w:tr w:rsidR="00615095" w14:paraId="1EC42547" w14:textId="77777777" w:rsidTr="00615095">
              <w:tc>
                <w:tcPr>
                  <w:tcW w:w="5211" w:type="dxa"/>
                  <w:tcBorders>
                    <w:top w:val="single" w:sz="4" w:space="0" w:color="auto"/>
                    <w:left w:val="single" w:sz="4" w:space="0" w:color="auto"/>
                    <w:bottom w:val="single" w:sz="4" w:space="0" w:color="auto"/>
                    <w:right w:val="single" w:sz="4" w:space="0" w:color="auto"/>
                  </w:tcBorders>
                  <w:hideMark/>
                </w:tcPr>
                <w:p w14:paraId="7DEDFFDB" w14:textId="77777777" w:rsidR="00615095" w:rsidRDefault="00615095" w:rsidP="00615095">
                  <w:pPr>
                    <w:spacing w:after="0" w:line="240" w:lineRule="auto"/>
                    <w:jc w:val="center"/>
                    <w:rPr>
                      <w:rFonts w:ascii="Arial" w:hAnsi="Arial" w:cs="Arial"/>
                      <w:b/>
                      <w:bCs/>
                    </w:rPr>
                  </w:pPr>
                  <w:r>
                    <w:rPr>
                      <w:rFonts w:ascii="Arial" w:hAnsi="Arial" w:cs="Arial"/>
                      <w:b/>
                      <w:bCs/>
                    </w:rPr>
                    <w:t>Side Effect</w:t>
                  </w:r>
                </w:p>
              </w:tc>
              <w:tc>
                <w:tcPr>
                  <w:tcW w:w="5245" w:type="dxa"/>
                  <w:tcBorders>
                    <w:top w:val="single" w:sz="4" w:space="0" w:color="auto"/>
                    <w:left w:val="single" w:sz="4" w:space="0" w:color="auto"/>
                    <w:bottom w:val="single" w:sz="4" w:space="0" w:color="auto"/>
                    <w:right w:val="single" w:sz="4" w:space="0" w:color="auto"/>
                  </w:tcBorders>
                  <w:shd w:val="pct10" w:color="auto" w:fill="auto"/>
                  <w:hideMark/>
                </w:tcPr>
                <w:p w14:paraId="2E7D7A28" w14:textId="77777777" w:rsidR="00615095" w:rsidRDefault="00615095" w:rsidP="00615095">
                  <w:pPr>
                    <w:spacing w:after="0" w:line="240" w:lineRule="auto"/>
                    <w:jc w:val="center"/>
                    <w:rPr>
                      <w:rFonts w:ascii="Arial" w:hAnsi="Arial" w:cs="Arial"/>
                      <w:b/>
                      <w:bCs/>
                    </w:rPr>
                  </w:pPr>
                  <w:r>
                    <w:rPr>
                      <w:rFonts w:ascii="Arial" w:hAnsi="Arial" w:cs="Arial"/>
                      <w:b/>
                      <w:bCs/>
                    </w:rPr>
                    <w:t>Action to be taken by GP</w:t>
                  </w:r>
                </w:p>
              </w:tc>
            </w:tr>
            <w:tr w:rsidR="00615095" w14:paraId="4C2DEA2A" w14:textId="77777777" w:rsidTr="00615095">
              <w:trPr>
                <w:trHeight w:val="52"/>
              </w:trPr>
              <w:tc>
                <w:tcPr>
                  <w:tcW w:w="5211" w:type="dxa"/>
                  <w:tcBorders>
                    <w:top w:val="single" w:sz="4" w:space="0" w:color="auto"/>
                    <w:left w:val="single" w:sz="4" w:space="0" w:color="auto"/>
                    <w:bottom w:val="single" w:sz="4" w:space="0" w:color="auto"/>
                    <w:right w:val="single" w:sz="4" w:space="0" w:color="auto"/>
                  </w:tcBorders>
                </w:tcPr>
                <w:p w14:paraId="65D6D8FA" w14:textId="77777777" w:rsidR="00615095" w:rsidRDefault="00615095" w:rsidP="00615095">
                  <w:pPr>
                    <w:spacing w:after="0" w:line="240" w:lineRule="auto"/>
                    <w:rPr>
                      <w:rFonts w:ascii="Arial" w:hAnsi="Arial" w:cs="Arial"/>
                      <w:bCs/>
                    </w:rPr>
                  </w:pPr>
                  <w:r>
                    <w:rPr>
                      <w:rFonts w:ascii="Arial" w:hAnsi="Arial" w:cs="Arial"/>
                      <w:bCs/>
                    </w:rPr>
                    <w:t>Nausea, diarrhoea, headache</w:t>
                  </w:r>
                </w:p>
                <w:p w14:paraId="7E4ED3E5" w14:textId="77777777" w:rsidR="00615095" w:rsidRDefault="00615095" w:rsidP="00615095">
                  <w:pPr>
                    <w:spacing w:after="0" w:line="240" w:lineRule="auto"/>
                    <w:rPr>
                      <w:rFonts w:ascii="Arial" w:hAnsi="Arial" w:cs="Arial"/>
                      <w:b/>
                      <w:bCs/>
                    </w:rPr>
                  </w:pPr>
                </w:p>
              </w:tc>
              <w:tc>
                <w:tcPr>
                  <w:tcW w:w="5245" w:type="dxa"/>
                  <w:tcBorders>
                    <w:top w:val="single" w:sz="4" w:space="0" w:color="auto"/>
                    <w:left w:val="single" w:sz="4" w:space="0" w:color="auto"/>
                    <w:bottom w:val="single" w:sz="4" w:space="0" w:color="auto"/>
                    <w:right w:val="single" w:sz="4" w:space="0" w:color="auto"/>
                  </w:tcBorders>
                  <w:shd w:val="pct10" w:color="auto" w:fill="auto"/>
                  <w:hideMark/>
                </w:tcPr>
                <w:p w14:paraId="3123F9AB" w14:textId="77777777" w:rsidR="00615095" w:rsidRDefault="00615095" w:rsidP="00615095">
                  <w:pPr>
                    <w:spacing w:after="0" w:line="240" w:lineRule="auto"/>
                    <w:rPr>
                      <w:rFonts w:ascii="Arial" w:hAnsi="Arial" w:cs="Arial"/>
                      <w:b/>
                      <w:bCs/>
                      <w:highlight w:val="green"/>
                    </w:rPr>
                  </w:pPr>
                  <w:r>
                    <w:rPr>
                      <w:rFonts w:ascii="Arial" w:hAnsi="Arial" w:cs="Arial"/>
                    </w:rPr>
                    <w:t xml:space="preserve">Can increase folic acid to 5mg daily up to 6 days a week except on the day of methotrexate </w:t>
                  </w:r>
                </w:p>
              </w:tc>
            </w:tr>
            <w:tr w:rsidR="00615095" w14:paraId="5F71096D" w14:textId="77777777" w:rsidTr="00615095">
              <w:trPr>
                <w:trHeight w:val="51"/>
              </w:trPr>
              <w:tc>
                <w:tcPr>
                  <w:tcW w:w="5211" w:type="dxa"/>
                  <w:tcBorders>
                    <w:top w:val="single" w:sz="4" w:space="0" w:color="auto"/>
                    <w:left w:val="single" w:sz="4" w:space="0" w:color="auto"/>
                    <w:bottom w:val="single" w:sz="4" w:space="0" w:color="auto"/>
                    <w:right w:val="single" w:sz="4" w:space="0" w:color="auto"/>
                  </w:tcBorders>
                  <w:hideMark/>
                </w:tcPr>
                <w:p w14:paraId="187D2D52" w14:textId="77777777" w:rsidR="00615095" w:rsidRDefault="00615095" w:rsidP="00615095">
                  <w:pPr>
                    <w:spacing w:after="0" w:line="240" w:lineRule="auto"/>
                    <w:rPr>
                      <w:rFonts w:ascii="Arial" w:hAnsi="Arial" w:cs="Arial"/>
                      <w:b/>
                      <w:bCs/>
                    </w:rPr>
                  </w:pPr>
                  <w:r>
                    <w:rPr>
                      <w:rFonts w:ascii="Arial" w:hAnsi="Arial" w:cs="Arial"/>
                    </w:rPr>
                    <w:t>Mouth ulcers, mucositis</w:t>
                  </w:r>
                </w:p>
              </w:tc>
              <w:tc>
                <w:tcPr>
                  <w:tcW w:w="5245" w:type="dxa"/>
                  <w:tcBorders>
                    <w:top w:val="single" w:sz="4" w:space="0" w:color="auto"/>
                    <w:left w:val="single" w:sz="4" w:space="0" w:color="auto"/>
                    <w:bottom w:val="single" w:sz="4" w:space="0" w:color="auto"/>
                    <w:right w:val="single" w:sz="4" w:space="0" w:color="auto"/>
                  </w:tcBorders>
                  <w:shd w:val="pct10" w:color="auto" w:fill="auto"/>
                  <w:hideMark/>
                </w:tcPr>
                <w:p w14:paraId="15405106" w14:textId="77777777" w:rsidR="00615095" w:rsidRDefault="00615095" w:rsidP="00615095">
                  <w:pPr>
                    <w:spacing w:after="0" w:line="240" w:lineRule="auto"/>
                    <w:rPr>
                      <w:rFonts w:ascii="Arial" w:hAnsi="Arial" w:cs="Arial"/>
                    </w:rPr>
                  </w:pPr>
                  <w:r>
                    <w:rPr>
                      <w:rFonts w:ascii="Arial" w:hAnsi="Arial" w:cs="Arial"/>
                    </w:rPr>
                    <w:t>Increase folic acid as for nausea but if persists stop methotrexate and contact specialist</w:t>
                  </w:r>
                </w:p>
              </w:tc>
            </w:tr>
            <w:tr w:rsidR="00615095" w14:paraId="57153462" w14:textId="77777777" w:rsidTr="00615095">
              <w:trPr>
                <w:trHeight w:val="51"/>
              </w:trPr>
              <w:tc>
                <w:tcPr>
                  <w:tcW w:w="5211" w:type="dxa"/>
                  <w:tcBorders>
                    <w:top w:val="single" w:sz="4" w:space="0" w:color="auto"/>
                    <w:left w:val="single" w:sz="4" w:space="0" w:color="auto"/>
                    <w:bottom w:val="single" w:sz="4" w:space="0" w:color="auto"/>
                    <w:right w:val="single" w:sz="4" w:space="0" w:color="auto"/>
                  </w:tcBorders>
                  <w:hideMark/>
                </w:tcPr>
                <w:p w14:paraId="0E8387EC" w14:textId="77777777" w:rsidR="00615095" w:rsidRDefault="00615095" w:rsidP="00615095">
                  <w:pPr>
                    <w:spacing w:after="0" w:line="240" w:lineRule="auto"/>
                    <w:rPr>
                      <w:rFonts w:ascii="Arial" w:hAnsi="Arial" w:cs="Arial"/>
                      <w:b/>
                      <w:bCs/>
                    </w:rPr>
                  </w:pPr>
                  <w:r>
                    <w:rPr>
                      <w:rFonts w:ascii="Arial" w:hAnsi="Arial" w:cs="Arial"/>
                    </w:rPr>
                    <w:t>Abnormal bruising, high fever or severe sore throat</w:t>
                  </w:r>
                </w:p>
              </w:tc>
              <w:tc>
                <w:tcPr>
                  <w:tcW w:w="5245" w:type="dxa"/>
                  <w:tcBorders>
                    <w:top w:val="single" w:sz="4" w:space="0" w:color="auto"/>
                    <w:left w:val="single" w:sz="4" w:space="0" w:color="auto"/>
                    <w:bottom w:val="single" w:sz="4" w:space="0" w:color="auto"/>
                    <w:right w:val="single" w:sz="4" w:space="0" w:color="auto"/>
                  </w:tcBorders>
                  <w:shd w:val="pct10" w:color="auto" w:fill="auto"/>
                  <w:hideMark/>
                </w:tcPr>
                <w:p w14:paraId="67021CBC" w14:textId="77777777" w:rsidR="00615095" w:rsidRDefault="00615095" w:rsidP="00615095">
                  <w:pPr>
                    <w:spacing w:after="0" w:line="240" w:lineRule="auto"/>
                    <w:rPr>
                      <w:rFonts w:ascii="Arial" w:hAnsi="Arial" w:cs="Arial"/>
                      <w:b/>
                      <w:bCs/>
                    </w:rPr>
                  </w:pPr>
                  <w:r>
                    <w:rPr>
                      <w:rFonts w:ascii="Arial" w:hAnsi="Arial" w:cs="Arial"/>
                    </w:rPr>
                    <w:t>Stop until urgent FBC result available and discuss with specialist if abnormal</w:t>
                  </w:r>
                </w:p>
              </w:tc>
            </w:tr>
            <w:tr w:rsidR="00615095" w14:paraId="728CF45D" w14:textId="77777777" w:rsidTr="00615095">
              <w:trPr>
                <w:trHeight w:val="51"/>
              </w:trPr>
              <w:tc>
                <w:tcPr>
                  <w:tcW w:w="5211" w:type="dxa"/>
                  <w:tcBorders>
                    <w:top w:val="single" w:sz="4" w:space="0" w:color="auto"/>
                    <w:left w:val="single" w:sz="4" w:space="0" w:color="auto"/>
                    <w:bottom w:val="single" w:sz="4" w:space="0" w:color="auto"/>
                    <w:right w:val="single" w:sz="4" w:space="0" w:color="auto"/>
                  </w:tcBorders>
                  <w:hideMark/>
                </w:tcPr>
                <w:p w14:paraId="63877681" w14:textId="77777777" w:rsidR="00615095" w:rsidRDefault="00615095" w:rsidP="00615095">
                  <w:pPr>
                    <w:spacing w:after="0" w:line="240" w:lineRule="auto"/>
                    <w:rPr>
                      <w:rFonts w:ascii="Arial" w:hAnsi="Arial" w:cs="Arial"/>
                      <w:b/>
                      <w:bCs/>
                    </w:rPr>
                  </w:pPr>
                  <w:r>
                    <w:rPr>
                      <w:rFonts w:ascii="Arial" w:hAnsi="Arial" w:cs="Arial"/>
                    </w:rPr>
                    <w:t>Unexplained cough or breathlessness</w:t>
                  </w:r>
                </w:p>
              </w:tc>
              <w:tc>
                <w:tcPr>
                  <w:tcW w:w="5245" w:type="dxa"/>
                  <w:tcBorders>
                    <w:top w:val="single" w:sz="4" w:space="0" w:color="auto"/>
                    <w:left w:val="single" w:sz="4" w:space="0" w:color="auto"/>
                    <w:bottom w:val="single" w:sz="4" w:space="0" w:color="auto"/>
                    <w:right w:val="single" w:sz="4" w:space="0" w:color="auto"/>
                  </w:tcBorders>
                  <w:shd w:val="pct10" w:color="auto" w:fill="auto"/>
                  <w:hideMark/>
                </w:tcPr>
                <w:p w14:paraId="5EDA2A13" w14:textId="77777777" w:rsidR="00615095" w:rsidRDefault="00615095" w:rsidP="00615095">
                  <w:pPr>
                    <w:spacing w:after="0" w:line="240" w:lineRule="auto"/>
                    <w:rPr>
                      <w:rFonts w:ascii="Arial" w:hAnsi="Arial" w:cs="Arial"/>
                    </w:rPr>
                  </w:pPr>
                  <w:r>
                    <w:rPr>
                      <w:rFonts w:ascii="Arial" w:hAnsi="Arial" w:cs="Arial"/>
                    </w:rPr>
                    <w:t xml:space="preserve">Withhold methotrexate, arrange urgent chest X-Ray and discuss urgently with specialist </w:t>
                  </w:r>
                </w:p>
              </w:tc>
            </w:tr>
            <w:tr w:rsidR="00615095" w14:paraId="4241C22B" w14:textId="77777777" w:rsidTr="00615095">
              <w:trPr>
                <w:trHeight w:val="51"/>
              </w:trPr>
              <w:tc>
                <w:tcPr>
                  <w:tcW w:w="5211" w:type="dxa"/>
                  <w:tcBorders>
                    <w:top w:val="single" w:sz="4" w:space="0" w:color="auto"/>
                    <w:left w:val="single" w:sz="4" w:space="0" w:color="auto"/>
                    <w:bottom w:val="single" w:sz="4" w:space="0" w:color="auto"/>
                    <w:right w:val="single" w:sz="4" w:space="0" w:color="auto"/>
                  </w:tcBorders>
                  <w:hideMark/>
                </w:tcPr>
                <w:p w14:paraId="24878F58" w14:textId="77777777" w:rsidR="00615095" w:rsidRDefault="00615095" w:rsidP="00615095">
                  <w:pPr>
                    <w:spacing w:after="0" w:line="240" w:lineRule="auto"/>
                    <w:rPr>
                      <w:rFonts w:ascii="Arial" w:hAnsi="Arial" w:cs="Arial"/>
                      <w:bCs/>
                    </w:rPr>
                  </w:pPr>
                  <w:r>
                    <w:rPr>
                      <w:rFonts w:ascii="Arial" w:hAnsi="Arial" w:cs="Arial"/>
                      <w:bCs/>
                    </w:rPr>
                    <w:t>Unexplained rash</w:t>
                  </w:r>
                </w:p>
              </w:tc>
              <w:tc>
                <w:tcPr>
                  <w:tcW w:w="5245" w:type="dxa"/>
                  <w:tcBorders>
                    <w:top w:val="single" w:sz="4" w:space="0" w:color="auto"/>
                    <w:left w:val="single" w:sz="4" w:space="0" w:color="auto"/>
                    <w:bottom w:val="single" w:sz="4" w:space="0" w:color="auto"/>
                    <w:right w:val="single" w:sz="4" w:space="0" w:color="auto"/>
                  </w:tcBorders>
                  <w:shd w:val="pct10" w:color="auto" w:fill="auto"/>
                  <w:hideMark/>
                </w:tcPr>
                <w:p w14:paraId="7F92EAAC" w14:textId="77777777" w:rsidR="00615095" w:rsidRDefault="00615095" w:rsidP="00615095">
                  <w:pPr>
                    <w:spacing w:after="0" w:line="240" w:lineRule="auto"/>
                    <w:rPr>
                      <w:rFonts w:ascii="Arial" w:hAnsi="Arial" w:cs="Arial"/>
                      <w:bCs/>
                    </w:rPr>
                  </w:pPr>
                  <w:r>
                    <w:rPr>
                      <w:rFonts w:ascii="Arial" w:hAnsi="Arial" w:cs="Arial"/>
                      <w:bCs/>
                    </w:rPr>
                    <w:t>Withhold and discuss with specialist</w:t>
                  </w:r>
                </w:p>
              </w:tc>
            </w:tr>
            <w:tr w:rsidR="00615095" w14:paraId="1060658D" w14:textId="77777777" w:rsidTr="00615095">
              <w:trPr>
                <w:trHeight w:val="51"/>
              </w:trPr>
              <w:tc>
                <w:tcPr>
                  <w:tcW w:w="5211" w:type="dxa"/>
                  <w:tcBorders>
                    <w:top w:val="single" w:sz="4" w:space="0" w:color="auto"/>
                    <w:left w:val="single" w:sz="4" w:space="0" w:color="auto"/>
                    <w:bottom w:val="single" w:sz="4" w:space="0" w:color="auto"/>
                    <w:right w:val="single" w:sz="4" w:space="0" w:color="auto"/>
                  </w:tcBorders>
                  <w:hideMark/>
                </w:tcPr>
                <w:p w14:paraId="6FC2C4DC" w14:textId="77777777" w:rsidR="00615095" w:rsidRDefault="00615095" w:rsidP="00615095">
                  <w:pPr>
                    <w:spacing w:after="0" w:line="240" w:lineRule="auto"/>
                    <w:rPr>
                      <w:rFonts w:ascii="Arial" w:hAnsi="Arial" w:cs="Arial"/>
                      <w:bCs/>
                    </w:rPr>
                  </w:pPr>
                  <w:r>
                    <w:rPr>
                      <w:rFonts w:ascii="Arial" w:hAnsi="Arial" w:cs="Arial"/>
                      <w:bCs/>
                    </w:rPr>
                    <w:t>Hair loss</w:t>
                  </w:r>
                </w:p>
              </w:tc>
              <w:tc>
                <w:tcPr>
                  <w:tcW w:w="5245" w:type="dxa"/>
                  <w:tcBorders>
                    <w:top w:val="single" w:sz="4" w:space="0" w:color="auto"/>
                    <w:left w:val="single" w:sz="4" w:space="0" w:color="auto"/>
                    <w:bottom w:val="single" w:sz="4" w:space="0" w:color="auto"/>
                    <w:right w:val="single" w:sz="4" w:space="0" w:color="auto"/>
                  </w:tcBorders>
                  <w:shd w:val="pct10" w:color="auto" w:fill="auto"/>
                  <w:hideMark/>
                </w:tcPr>
                <w:p w14:paraId="1E071293" w14:textId="77777777" w:rsidR="00615095" w:rsidRDefault="00615095" w:rsidP="00615095">
                  <w:pPr>
                    <w:spacing w:after="0" w:line="240" w:lineRule="auto"/>
                    <w:rPr>
                      <w:rFonts w:ascii="Arial" w:hAnsi="Arial" w:cs="Arial"/>
                      <w:bCs/>
                    </w:rPr>
                  </w:pPr>
                  <w:r>
                    <w:rPr>
                      <w:rFonts w:ascii="Arial" w:hAnsi="Arial" w:cs="Arial"/>
                      <w:bCs/>
                    </w:rPr>
                    <w:t>Rarely significant but can increase folic acid as for nausea. If concern discuss with specialist</w:t>
                  </w:r>
                </w:p>
              </w:tc>
            </w:tr>
          </w:tbl>
          <w:p w14:paraId="330F8072" w14:textId="77777777" w:rsidR="00B061F6" w:rsidRPr="00B061F6" w:rsidRDefault="00B061F6" w:rsidP="00B061F6">
            <w:pPr>
              <w:spacing w:after="0" w:line="240" w:lineRule="auto"/>
              <w:rPr>
                <w:rFonts w:ascii="Arial" w:hAnsi="Arial" w:cs="Arial"/>
                <w:bCs/>
              </w:rPr>
            </w:pPr>
          </w:p>
          <w:p w14:paraId="52EF43CC" w14:textId="77777777" w:rsidR="00CA1BB1" w:rsidRPr="00CA1BB1" w:rsidRDefault="00CA1BB1" w:rsidP="00CA1BB1">
            <w:pPr>
              <w:spacing w:after="0" w:line="240" w:lineRule="auto"/>
              <w:rPr>
                <w:rFonts w:ascii="Arial" w:eastAsia="Times New Roman" w:hAnsi="Arial" w:cs="Arial"/>
                <w:bCs/>
                <w:lang w:eastAsia="en-GB"/>
              </w:rPr>
            </w:pPr>
          </w:p>
        </w:tc>
      </w:tr>
    </w:tbl>
    <w:p w14:paraId="2B0657A2" w14:textId="77777777" w:rsidR="00D73BA6" w:rsidRPr="005430C6" w:rsidRDefault="00D73BA6" w:rsidP="00004CD4">
      <w:pPr>
        <w:keepNext/>
        <w:spacing w:after="0" w:line="240" w:lineRule="auto"/>
        <w:contextualSpacing/>
        <w:jc w:val="both"/>
        <w:outlineLvl w:val="0"/>
        <w:rPr>
          <w:rFonts w:ascii="Arial" w:eastAsia="Times New Roman" w:hAnsi="Arial" w:cs="Times New Roman"/>
          <w:b/>
          <w:bCs/>
          <w:sz w:val="18"/>
          <w:szCs w:val="24"/>
        </w:rPr>
      </w:pPr>
    </w:p>
    <w:p w14:paraId="2D5CA417" w14:textId="77777777" w:rsidR="00A23128" w:rsidRDefault="00004CD4" w:rsidP="00B10C94">
      <w:pPr>
        <w:pBdr>
          <w:top w:val="single" w:sz="4" w:space="1" w:color="auto"/>
          <w:left w:val="single" w:sz="4" w:space="4" w:color="auto"/>
          <w:bottom w:val="single" w:sz="4" w:space="0" w:color="auto"/>
          <w:right w:val="single" w:sz="4" w:space="5" w:color="auto"/>
        </w:pBdr>
        <w:spacing w:after="0"/>
      </w:pPr>
      <w:r w:rsidRPr="00004CD4">
        <w:rPr>
          <w:rFonts w:ascii="Arial" w:eastAsia="Times New Roman" w:hAnsi="Arial" w:cs="Times New Roman"/>
          <w:b/>
          <w:bCs/>
          <w:szCs w:val="24"/>
        </w:rPr>
        <w:t>CONTRAINDICATIONS AND PRECAUTIONS</w:t>
      </w:r>
      <w:r w:rsidR="00A23128" w:rsidRPr="00A23128">
        <w:t xml:space="preserve"> </w:t>
      </w:r>
      <w:r w:rsidR="00A543B5">
        <w:rPr>
          <w:rFonts w:ascii="Arial" w:hAnsi="Arial" w:cs="Arial"/>
          <w:b/>
          <w:bCs/>
        </w:rPr>
        <w:t xml:space="preserve"> </w:t>
      </w:r>
      <w:r w:rsidR="00A543B5" w:rsidRPr="00D73BA6">
        <w:rPr>
          <w:rFonts w:ascii="Arial" w:hAnsi="Arial" w:cs="Arial"/>
          <w:b/>
          <w:bCs/>
        </w:rPr>
        <w:t xml:space="preserve">(REFER TO </w:t>
      </w:r>
      <w:hyperlink r:id="rId16" w:history="1">
        <w:r w:rsidR="00A543B5" w:rsidRPr="00D73BA6">
          <w:rPr>
            <w:rStyle w:val="Hyperlink"/>
            <w:rFonts w:ascii="Arial" w:hAnsi="Arial" w:cs="Arial"/>
            <w:b/>
            <w:bCs/>
          </w:rPr>
          <w:t>BNF</w:t>
        </w:r>
      </w:hyperlink>
      <w:r w:rsidR="00A543B5" w:rsidRPr="00D73BA6">
        <w:rPr>
          <w:rFonts w:ascii="Arial" w:hAnsi="Arial" w:cs="Arial"/>
          <w:b/>
          <w:bCs/>
        </w:rPr>
        <w:t xml:space="preserve"> AND </w:t>
      </w:r>
      <w:hyperlink r:id="rId17" w:history="1">
        <w:r w:rsidR="00A543B5" w:rsidRPr="00D73BA6">
          <w:rPr>
            <w:rStyle w:val="Hyperlink"/>
            <w:rFonts w:ascii="Arial" w:hAnsi="Arial" w:cs="Arial"/>
            <w:b/>
            <w:bCs/>
          </w:rPr>
          <w:t>SPC</w:t>
        </w:r>
      </w:hyperlink>
      <w:r w:rsidR="00A543B5" w:rsidRPr="00D73BA6">
        <w:rPr>
          <w:rFonts w:ascii="Arial" w:hAnsi="Arial" w:cs="Arial"/>
          <w:b/>
          <w:bCs/>
        </w:rPr>
        <w:t xml:space="preserve"> for full details)</w:t>
      </w:r>
    </w:p>
    <w:p w14:paraId="57301F33" w14:textId="77777777" w:rsidR="00307B2B" w:rsidRDefault="00307B2B" w:rsidP="005E05B8">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
          <w:szCs w:val="24"/>
        </w:rPr>
      </w:pPr>
    </w:p>
    <w:p w14:paraId="157ED7E7"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lastRenderedPageBreak/>
        <w:t xml:space="preserve">Pregnancy – Methotrexate at any dose is contraindicated in pregnancy. There is differing advice between speciality societies; the SPC for methotrexate advises that women and men should stop methotrexate 6 months prior to attempting conception, however the specialist should discuss and agree the optimal timing to stop treatment with the individual patient. </w:t>
      </w:r>
    </w:p>
    <w:p w14:paraId="3E2D7217"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 xml:space="preserve">In women treated with low dose methotrexate (&lt;20 mg/week), folic acid 5 mg/day orally should be commenced prior to conception (usually within 3 months) and continued throughout the pregnancy. </w:t>
      </w:r>
    </w:p>
    <w:p w14:paraId="707EA688"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 xml:space="preserve">In case of accidental pregnancy, methotrexate should be stopped immediately, folic acid 5mg/day supplementation </w:t>
      </w:r>
      <w:proofErr w:type="gramStart"/>
      <w:r>
        <w:rPr>
          <w:rFonts w:ascii="Arial" w:hAnsi="Arial" w:cs="Arial"/>
        </w:rPr>
        <w:t>commenced</w:t>
      </w:r>
      <w:proofErr w:type="gramEnd"/>
      <w:r>
        <w:rPr>
          <w:rFonts w:ascii="Arial" w:hAnsi="Arial" w:cs="Arial"/>
        </w:rPr>
        <w:t xml:space="preserve"> and the patient should be referred to local experts for careful evaluation of foetal risk. </w:t>
      </w:r>
    </w:p>
    <w:p w14:paraId="45C7A8DD"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 xml:space="preserve">Breastfeeding – not recommended. </w:t>
      </w:r>
    </w:p>
    <w:p w14:paraId="17A61110"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Chronic kidney disease (CKD) – contra-indicated in stage IV and V CKD (eGFR &lt;30 ml/min) including in patients on dialysis. In CKD stage III (eGFR 30 - 59 ml/min), a 50% dose reduction is recommended.</w:t>
      </w:r>
    </w:p>
    <w:p w14:paraId="58E94011"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Pre-existing blood dyscrasia such as significant anaemia, leucopenia, thrombocytopenia.</w:t>
      </w:r>
    </w:p>
    <w:p w14:paraId="074BC14B"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 xml:space="preserve">Severe local or systemic infection (acute or chronic). </w:t>
      </w:r>
    </w:p>
    <w:p w14:paraId="00430A0E"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 xml:space="preserve">Active tuberculosis or other infectious disease. </w:t>
      </w:r>
    </w:p>
    <w:p w14:paraId="26E56A38"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Immunodeficiency syndrome.</w:t>
      </w:r>
    </w:p>
    <w:p w14:paraId="4A28A37D"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Live vaccinations – see below.</w:t>
      </w:r>
    </w:p>
    <w:p w14:paraId="1414BCAB"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Hypersensitivity to methotrexate or any of the excipients.</w:t>
      </w:r>
    </w:p>
    <w:p w14:paraId="7A969FD2"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 xml:space="preserve">Significant hepatic dysfunction/ disease, cirrhosis or recent/active hepatitis. </w:t>
      </w:r>
    </w:p>
    <w:p w14:paraId="7F7E21DD"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 xml:space="preserve">Active peptic ulceration. </w:t>
      </w:r>
    </w:p>
    <w:p w14:paraId="24E60EC0"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Co-prescription with drugs with anti-folate properties e.g. trimethoprim.</w:t>
      </w:r>
    </w:p>
    <w:p w14:paraId="28D0B225"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 xml:space="preserve">Pulmonary fibrosis or significantly reduced lung function. </w:t>
      </w:r>
    </w:p>
    <w:p w14:paraId="694EF979" w14:textId="77777777" w:rsidR="00897E3A" w:rsidRDefault="00897E3A" w:rsidP="00897E3A">
      <w:pPr>
        <w:pBdr>
          <w:top w:val="single" w:sz="4" w:space="1" w:color="auto"/>
          <w:left w:val="single" w:sz="4" w:space="4" w:color="auto"/>
          <w:bottom w:val="single" w:sz="4" w:space="0" w:color="auto"/>
          <w:right w:val="single" w:sz="4" w:space="5" w:color="auto"/>
        </w:pBdr>
        <w:spacing w:after="0"/>
        <w:rPr>
          <w:rFonts w:ascii="Arial" w:hAnsi="Arial" w:cs="Arial"/>
          <w:sz w:val="10"/>
          <w:szCs w:val="10"/>
          <w:lang w:val="en-US"/>
        </w:rPr>
      </w:pPr>
    </w:p>
    <w:p w14:paraId="15C59477" w14:textId="77777777" w:rsidR="00897E3A" w:rsidRDefault="00897E3A" w:rsidP="00897E3A">
      <w:pPr>
        <w:pBdr>
          <w:top w:val="single" w:sz="4" w:space="1" w:color="auto"/>
          <w:left w:val="single" w:sz="4" w:space="4" w:color="auto"/>
          <w:bottom w:val="single" w:sz="4" w:space="0" w:color="auto"/>
          <w:right w:val="single" w:sz="4" w:space="5" w:color="auto"/>
        </w:pBdr>
        <w:spacing w:after="0"/>
        <w:rPr>
          <w:rFonts w:ascii="Arial" w:hAnsi="Arial" w:cs="Arial"/>
          <w:b/>
          <w:lang w:val="en-US"/>
        </w:rPr>
      </w:pPr>
      <w:r>
        <w:rPr>
          <w:rFonts w:ascii="Arial" w:hAnsi="Arial" w:cs="Arial"/>
          <w:b/>
          <w:lang w:val="en-US"/>
        </w:rPr>
        <w:t>Relative Contra-indications</w:t>
      </w:r>
    </w:p>
    <w:p w14:paraId="57DD5639" w14:textId="77777777" w:rsidR="00897E3A" w:rsidRDefault="00897E3A" w:rsidP="00897E3A">
      <w:pPr>
        <w:numPr>
          <w:ilvl w:val="0"/>
          <w:numId w:val="33"/>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Chronic liver disease (if synthetic function is impaired).</w:t>
      </w:r>
    </w:p>
    <w:p w14:paraId="61419D00" w14:textId="77777777" w:rsidR="00897E3A" w:rsidRDefault="00897E3A" w:rsidP="00897E3A">
      <w:pPr>
        <w:numPr>
          <w:ilvl w:val="0"/>
          <w:numId w:val="33"/>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Alcoholism – should be used with extreme caution.</w:t>
      </w:r>
    </w:p>
    <w:p w14:paraId="2D30F01A" w14:textId="77777777" w:rsidR="00897E3A" w:rsidRDefault="00897E3A" w:rsidP="00897E3A">
      <w:pPr>
        <w:numPr>
          <w:ilvl w:val="0"/>
          <w:numId w:val="33"/>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Chronic hepatitis B and C – these patients should be discussed with gastroenterologists before initiation of treatment and to consider antiviral treatment if indicated.</w:t>
      </w:r>
    </w:p>
    <w:p w14:paraId="4977ECE3" w14:textId="77777777" w:rsidR="00897E3A" w:rsidRDefault="00897E3A" w:rsidP="00897E3A">
      <w:pPr>
        <w:numPr>
          <w:ilvl w:val="0"/>
          <w:numId w:val="33"/>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Active gastritis.</w:t>
      </w:r>
    </w:p>
    <w:p w14:paraId="18C79955" w14:textId="77777777" w:rsidR="00897E3A" w:rsidRDefault="00897E3A" w:rsidP="00897E3A">
      <w:pPr>
        <w:numPr>
          <w:ilvl w:val="0"/>
          <w:numId w:val="33"/>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CKD stage III (eGFR 30-59) – a 50% dose reduction is advised.</w:t>
      </w:r>
    </w:p>
    <w:p w14:paraId="3C5215B1" w14:textId="77777777" w:rsidR="00897E3A" w:rsidRDefault="00897E3A" w:rsidP="00897E3A">
      <w:pPr>
        <w:numPr>
          <w:ilvl w:val="0"/>
          <w:numId w:val="33"/>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Male partners of women wishing to conceive.</w:t>
      </w:r>
    </w:p>
    <w:p w14:paraId="3416E98A" w14:textId="77777777" w:rsidR="00897E3A" w:rsidRDefault="00897E3A" w:rsidP="00897E3A">
      <w:pPr>
        <w:pBdr>
          <w:top w:val="single" w:sz="4" w:space="1" w:color="auto"/>
          <w:left w:val="single" w:sz="4" w:space="4" w:color="auto"/>
          <w:bottom w:val="single" w:sz="4" w:space="0" w:color="auto"/>
          <w:right w:val="single" w:sz="4" w:space="5" w:color="auto"/>
        </w:pBdr>
        <w:spacing w:after="0"/>
        <w:rPr>
          <w:rFonts w:ascii="Arial" w:hAnsi="Arial" w:cs="Arial"/>
          <w:b/>
          <w:sz w:val="10"/>
          <w:szCs w:val="10"/>
          <w:lang w:val="en-US"/>
        </w:rPr>
      </w:pPr>
    </w:p>
    <w:p w14:paraId="6E0A1C7C" w14:textId="77777777" w:rsidR="00897E3A" w:rsidRDefault="00897E3A" w:rsidP="00897E3A">
      <w:pPr>
        <w:pBdr>
          <w:top w:val="single" w:sz="4" w:space="1" w:color="auto"/>
          <w:left w:val="single" w:sz="4" w:space="4" w:color="auto"/>
          <w:bottom w:val="single" w:sz="4" w:space="0" w:color="auto"/>
          <w:right w:val="single" w:sz="4" w:space="5" w:color="auto"/>
        </w:pBdr>
        <w:spacing w:after="0"/>
        <w:rPr>
          <w:rFonts w:ascii="Arial" w:hAnsi="Arial" w:cs="Arial"/>
          <w:b/>
          <w:lang w:val="en-US"/>
        </w:rPr>
      </w:pPr>
      <w:r>
        <w:rPr>
          <w:rFonts w:ascii="Arial" w:hAnsi="Arial" w:cs="Arial"/>
          <w:b/>
          <w:lang w:val="en-US"/>
        </w:rPr>
        <w:t>Precautions</w:t>
      </w:r>
    </w:p>
    <w:p w14:paraId="14F3BA95" w14:textId="77777777" w:rsidR="00897E3A" w:rsidRDefault="00897E3A" w:rsidP="00897E3A">
      <w:pPr>
        <w:numPr>
          <w:ilvl w:val="0"/>
          <w:numId w:val="34"/>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Alcohol intake - should be limited to lowest possible intake (maximum 4-6 units per week).</w:t>
      </w:r>
    </w:p>
    <w:p w14:paraId="6549B194" w14:textId="77777777" w:rsidR="00897E3A" w:rsidRDefault="00897E3A" w:rsidP="00897E3A">
      <w:pPr>
        <w:numPr>
          <w:ilvl w:val="0"/>
          <w:numId w:val="34"/>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Peri-operative management – methotrexate should NOT be routinely stopped in the peri-operative period. Attention to renal function is important and the dose might need to be adjusted accordingly. Individualised decisions in discussion with the specialist should be made for procedures that carry a high risk of infection as they may require methotrexate to be stopped 2 weeks before surgery and restarted once wound healing is satisfactory e.g. contaminated or dirty procedures or longer procedures (&gt;60 minutes).</w:t>
      </w:r>
    </w:p>
    <w:p w14:paraId="572E7798" w14:textId="77777777" w:rsidR="00897E3A" w:rsidRDefault="00897E3A" w:rsidP="00897E3A">
      <w:pPr>
        <w:numPr>
          <w:ilvl w:val="0"/>
          <w:numId w:val="34"/>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Intercurrent infection – for serious infection (e.g. patients receiving intravenous antibiotics or hospitalisation), methotrexate should be temporarily stopped until the patient has recovered from the infection. For minor infection requiring a short oral course of antibiotic, depending on the circumstance methotrexate can be continued in patients (e.g. uncomplicated UTI).</w:t>
      </w:r>
    </w:p>
    <w:p w14:paraId="2CAEF396" w14:textId="77777777" w:rsidR="00897E3A" w:rsidRDefault="00897E3A" w:rsidP="00897E3A">
      <w:pPr>
        <w:numPr>
          <w:ilvl w:val="0"/>
          <w:numId w:val="34"/>
        </w:numPr>
        <w:pBdr>
          <w:top w:val="single" w:sz="4" w:space="1" w:color="auto"/>
          <w:left w:val="single" w:sz="4" w:space="4" w:color="auto"/>
          <w:bottom w:val="single" w:sz="4" w:space="0" w:color="auto"/>
          <w:right w:val="single" w:sz="4" w:space="5" w:color="auto"/>
        </w:pBdr>
        <w:spacing w:after="0"/>
        <w:rPr>
          <w:rFonts w:ascii="Arial" w:hAnsi="Arial" w:cs="Arial"/>
          <w:b/>
          <w:bCs/>
          <w:sz w:val="10"/>
          <w:szCs w:val="10"/>
        </w:rPr>
      </w:pPr>
      <w:r>
        <w:rPr>
          <w:rFonts w:ascii="Arial" w:hAnsi="Arial" w:cs="Arial"/>
        </w:rPr>
        <w:t xml:space="preserve">Chicken pox/ shingles – for proven infection stop methotrexate and treat according to BNF for immunosuppressed patients. For susceptible immunosuppressed individuals with significant exposure to chickenpox (varicella) or shingles (zoster), follow latest national guidance on post exposure prophylaxis and use of anti-virals or varicella zoster immunoglobulin (VZIG) </w:t>
      </w:r>
      <w:hyperlink r:id="rId18" w:history="1">
        <w:r>
          <w:rPr>
            <w:rStyle w:val="Hyperlink"/>
            <w:rFonts w:ascii="Arial" w:hAnsi="Arial" w:cs="Arial"/>
          </w:rPr>
          <w:t>https://www.gov.uk/government/publications/varicella-zoster-immunoglobulin</w:t>
        </w:r>
      </w:hyperlink>
      <w:r>
        <w:rPr>
          <w:rFonts w:ascii="Arial" w:hAnsi="Arial" w:cs="Arial"/>
        </w:rPr>
        <w:t>. Inform specialist. VZV serology can be obtained urgently (within 24 hours) on discussion with microbiology.</w:t>
      </w:r>
    </w:p>
    <w:p w14:paraId="4EC39483" w14:textId="77777777" w:rsidR="00897E3A" w:rsidRDefault="00897E3A" w:rsidP="00897E3A">
      <w:pPr>
        <w:pBdr>
          <w:top w:val="single" w:sz="4" w:space="1" w:color="auto"/>
          <w:left w:val="single" w:sz="4" w:space="4" w:color="auto"/>
          <w:bottom w:val="single" w:sz="4" w:space="0" w:color="auto"/>
          <w:right w:val="single" w:sz="4" w:space="5" w:color="auto"/>
        </w:pBdr>
        <w:spacing w:after="0"/>
        <w:rPr>
          <w:rFonts w:ascii="Arial" w:hAnsi="Arial" w:cs="Arial"/>
          <w:b/>
          <w:bCs/>
        </w:rPr>
      </w:pPr>
    </w:p>
    <w:p w14:paraId="40254952" w14:textId="77777777" w:rsidR="00897E3A" w:rsidRDefault="00897E3A" w:rsidP="00897E3A">
      <w:pPr>
        <w:pBdr>
          <w:top w:val="single" w:sz="4" w:space="1" w:color="auto"/>
          <w:left w:val="single" w:sz="4" w:space="4" w:color="auto"/>
          <w:bottom w:val="single" w:sz="4" w:space="0" w:color="auto"/>
          <w:right w:val="single" w:sz="4" w:space="5" w:color="auto"/>
        </w:pBdr>
        <w:spacing w:after="0"/>
        <w:rPr>
          <w:rFonts w:ascii="Arial" w:hAnsi="Arial" w:cs="Arial"/>
          <w:b/>
          <w:bCs/>
        </w:rPr>
      </w:pPr>
      <w:r>
        <w:rPr>
          <w:rFonts w:ascii="Arial" w:hAnsi="Arial" w:cs="Arial"/>
          <w:b/>
          <w:bCs/>
        </w:rPr>
        <w:lastRenderedPageBreak/>
        <w:t xml:space="preserve">Vaccination </w:t>
      </w:r>
    </w:p>
    <w:p w14:paraId="717A9F8F" w14:textId="77777777" w:rsidR="00897E3A" w:rsidRDefault="00897E3A" w:rsidP="00897E3A">
      <w:pPr>
        <w:numPr>
          <w:ilvl w:val="0"/>
          <w:numId w:val="35"/>
        </w:numPr>
        <w:pBdr>
          <w:top w:val="single" w:sz="4" w:space="1" w:color="auto"/>
          <w:left w:val="single" w:sz="4" w:space="4" w:color="auto"/>
          <w:bottom w:val="single" w:sz="4" w:space="0" w:color="auto"/>
          <w:right w:val="single" w:sz="4" w:space="5" w:color="auto"/>
        </w:pBdr>
        <w:spacing w:after="0"/>
        <w:rPr>
          <w:rFonts w:ascii="Arial" w:hAnsi="Arial" w:cs="Arial"/>
          <w:bCs/>
        </w:rPr>
      </w:pPr>
      <w:r>
        <w:rPr>
          <w:rFonts w:ascii="Arial" w:hAnsi="Arial" w:cs="Arial"/>
          <w:bCs/>
        </w:rPr>
        <w:t xml:space="preserve">Refer to Chapter 7 Green Book as the definitive source of information regarding vaccination in patients commencing immunosuppression. </w:t>
      </w:r>
    </w:p>
    <w:p w14:paraId="77643E75" w14:textId="77777777" w:rsidR="007D4DA1" w:rsidRDefault="00897E3A" w:rsidP="00475476">
      <w:pPr>
        <w:numPr>
          <w:ilvl w:val="0"/>
          <w:numId w:val="35"/>
        </w:numPr>
        <w:pBdr>
          <w:top w:val="single" w:sz="4" w:space="1" w:color="auto"/>
          <w:left w:val="single" w:sz="4" w:space="4" w:color="auto"/>
          <w:bottom w:val="single" w:sz="4" w:space="0" w:color="auto"/>
          <w:right w:val="single" w:sz="4" w:space="5" w:color="auto"/>
        </w:pBdr>
        <w:spacing w:after="0"/>
        <w:rPr>
          <w:rFonts w:ascii="Arial" w:hAnsi="Arial" w:cs="Arial"/>
          <w:bCs/>
        </w:rPr>
      </w:pPr>
      <w:r w:rsidRPr="007D4DA1">
        <w:rPr>
          <w:rFonts w:ascii="Arial" w:hAnsi="Arial" w:cs="Arial"/>
          <w:bCs/>
        </w:rPr>
        <w:t>Annual influenza vaccination should be recommended to all patients on methotrexate.</w:t>
      </w:r>
    </w:p>
    <w:p w14:paraId="0B6BDDEF" w14:textId="77777777" w:rsidR="007D4DA1" w:rsidRPr="00C06FA7" w:rsidRDefault="007D4DA1" w:rsidP="007D4DA1">
      <w:pPr>
        <w:numPr>
          <w:ilvl w:val="0"/>
          <w:numId w:val="35"/>
        </w:numPr>
        <w:pBdr>
          <w:top w:val="single" w:sz="4" w:space="1" w:color="auto"/>
          <w:left w:val="single" w:sz="4" w:space="4" w:color="auto"/>
          <w:bottom w:val="single" w:sz="4" w:space="0" w:color="auto"/>
          <w:right w:val="single" w:sz="4" w:space="5" w:color="auto"/>
        </w:pBdr>
        <w:spacing w:after="0"/>
        <w:rPr>
          <w:rFonts w:ascii="Arial" w:hAnsi="Arial" w:cs="Arial"/>
          <w:bCs/>
        </w:rPr>
      </w:pPr>
      <w:r w:rsidRPr="00C06FA7">
        <w:rPr>
          <w:rFonts w:ascii="Arial" w:hAnsi="Arial" w:cs="Arial"/>
          <w:bCs/>
        </w:rPr>
        <w:t xml:space="preserve">COVID-19 vaccination (The Green Book, </w:t>
      </w:r>
      <w:hyperlink r:id="rId19" w:history="1">
        <w:r w:rsidRPr="00C06FA7">
          <w:rPr>
            <w:rStyle w:val="Hyperlink"/>
            <w:rFonts w:ascii="Arial" w:hAnsi="Arial" w:cs="Arial"/>
            <w:bCs/>
          </w:rPr>
          <w:t>Chapter 14a)</w:t>
        </w:r>
      </w:hyperlink>
      <w:r w:rsidRPr="00C06FA7">
        <w:rPr>
          <w:rFonts w:ascii="Arial" w:hAnsi="Arial" w:cs="Arial"/>
          <w:bCs/>
        </w:rPr>
        <w:t xml:space="preserve"> is safe and recommended.</w:t>
      </w:r>
    </w:p>
    <w:p w14:paraId="5378C396" w14:textId="5BBD0497" w:rsidR="00897E3A" w:rsidRPr="007D4DA1" w:rsidRDefault="00897E3A" w:rsidP="00475476">
      <w:pPr>
        <w:numPr>
          <w:ilvl w:val="0"/>
          <w:numId w:val="35"/>
        </w:numPr>
        <w:pBdr>
          <w:top w:val="single" w:sz="4" w:space="1" w:color="auto"/>
          <w:left w:val="single" w:sz="4" w:space="4" w:color="auto"/>
          <w:bottom w:val="single" w:sz="4" w:space="0" w:color="auto"/>
          <w:right w:val="single" w:sz="4" w:space="5" w:color="auto"/>
        </w:pBdr>
        <w:spacing w:after="0"/>
        <w:rPr>
          <w:rFonts w:ascii="Arial" w:hAnsi="Arial" w:cs="Arial"/>
          <w:bCs/>
        </w:rPr>
      </w:pPr>
      <w:r w:rsidRPr="007D4DA1">
        <w:rPr>
          <w:rFonts w:ascii="Arial" w:hAnsi="Arial" w:cs="Arial"/>
          <w:bCs/>
        </w:rPr>
        <w:t>A single pneumococcal vaccination (</w:t>
      </w:r>
      <w:r w:rsidRPr="007D4DA1">
        <w:rPr>
          <w:rFonts w:ascii="Arial" w:hAnsi="Arial" w:cs="Arial"/>
        </w:rPr>
        <w:t>Pneumovax</w:t>
      </w:r>
      <w:r w:rsidRPr="007D4DA1">
        <w:rPr>
          <w:rFonts w:ascii="Arial" w:hAnsi="Arial" w:cs="Arial"/>
          <w:lang w:val="en-US"/>
        </w:rPr>
        <w:t>®</w:t>
      </w:r>
      <w:r w:rsidRPr="007D4DA1">
        <w:rPr>
          <w:rFonts w:ascii="Arial" w:hAnsi="Arial" w:cs="Arial"/>
        </w:rPr>
        <w:t>) should be given to all patients if previously not vaccinated preferably prior to methotrexate initiation or as soon as possible after.</w:t>
      </w:r>
    </w:p>
    <w:p w14:paraId="5AF44614" w14:textId="77777777" w:rsidR="00897E3A" w:rsidRDefault="00897E3A" w:rsidP="00897E3A">
      <w:pPr>
        <w:numPr>
          <w:ilvl w:val="0"/>
          <w:numId w:val="35"/>
        </w:numPr>
        <w:pBdr>
          <w:top w:val="single" w:sz="4" w:space="1" w:color="auto"/>
          <w:left w:val="single" w:sz="4" w:space="4" w:color="auto"/>
          <w:bottom w:val="single" w:sz="4" w:space="0" w:color="auto"/>
          <w:right w:val="single" w:sz="4" w:space="5" w:color="auto"/>
        </w:pBdr>
        <w:spacing w:after="0"/>
        <w:rPr>
          <w:rFonts w:ascii="Arial" w:hAnsi="Arial" w:cs="Arial"/>
          <w:bCs/>
        </w:rPr>
      </w:pPr>
      <w:r>
        <w:rPr>
          <w:rFonts w:ascii="Arial" w:hAnsi="Arial" w:cs="Arial"/>
          <w:bCs/>
        </w:rPr>
        <w:t xml:space="preserve">Live vaccines (e.g. yellow fever) should not be given to patients on methotrexate or within 4 weeks of commencing treatment. </w:t>
      </w:r>
    </w:p>
    <w:p w14:paraId="68315F61" w14:textId="77777777" w:rsidR="00897E3A" w:rsidRDefault="00897E3A" w:rsidP="00897E3A">
      <w:pPr>
        <w:numPr>
          <w:ilvl w:val="0"/>
          <w:numId w:val="35"/>
        </w:numPr>
        <w:pBdr>
          <w:top w:val="single" w:sz="4" w:space="1" w:color="auto"/>
          <w:left w:val="single" w:sz="4" w:space="4" w:color="auto"/>
          <w:bottom w:val="single" w:sz="4" w:space="0" w:color="auto"/>
          <w:right w:val="single" w:sz="4" w:space="5" w:color="auto"/>
        </w:pBdr>
        <w:spacing w:after="0"/>
        <w:rPr>
          <w:rFonts w:ascii="Arial" w:hAnsi="Arial" w:cs="Arial"/>
          <w:b/>
          <w:bCs/>
        </w:rPr>
      </w:pPr>
      <w:r>
        <w:rPr>
          <w:rFonts w:ascii="Arial" w:hAnsi="Arial" w:cs="Arial"/>
          <w:bCs/>
        </w:rPr>
        <w:t>Zostavax</w:t>
      </w:r>
      <w:r>
        <w:rPr>
          <w:rFonts w:ascii="Arial" w:hAnsi="Arial" w:cs="Arial"/>
          <w:lang w:val="en-US"/>
        </w:rPr>
        <w:t>®</w:t>
      </w:r>
      <w:r>
        <w:rPr>
          <w:rFonts w:ascii="Arial" w:hAnsi="Arial" w:cs="Arial"/>
          <w:bCs/>
        </w:rPr>
        <w:t xml:space="preserve"> the live attenuated shingles vaccine is relatively contraindicated in immunosuppressed individuals. In people over the age of 69 years, low levels of immunosuppression e.g. corticosteroids &lt;20mg daily and methotrexate at standard doses (&lt;0.4mg/kg/week) are not considered an absolute contraindication but clinical discretion is advised. This recommendation does not extend to younger patients in the rheumatic disease population due to lack of robust efficacy and safety data.</w:t>
      </w:r>
    </w:p>
    <w:p w14:paraId="4924FE94" w14:textId="77777777" w:rsidR="00897E3A" w:rsidRDefault="00897E3A" w:rsidP="00897E3A">
      <w:pPr>
        <w:pBdr>
          <w:top w:val="single" w:sz="4" w:space="1" w:color="auto"/>
          <w:left w:val="single" w:sz="4" w:space="4" w:color="auto"/>
          <w:bottom w:val="single" w:sz="4" w:space="0" w:color="auto"/>
          <w:right w:val="single" w:sz="4" w:space="5" w:color="auto"/>
        </w:pBdr>
        <w:spacing w:after="0"/>
        <w:rPr>
          <w:rFonts w:ascii="Arial" w:hAnsi="Arial" w:cs="Arial"/>
          <w:b/>
          <w:bCs/>
          <w:sz w:val="10"/>
          <w:szCs w:val="10"/>
        </w:rPr>
      </w:pPr>
    </w:p>
    <w:p w14:paraId="2B4754A6" w14:textId="77777777" w:rsidR="00897E3A" w:rsidRDefault="00897E3A" w:rsidP="00897E3A">
      <w:pPr>
        <w:pBdr>
          <w:top w:val="single" w:sz="4" w:space="1" w:color="auto"/>
          <w:left w:val="single" w:sz="4" w:space="4" w:color="auto"/>
          <w:bottom w:val="single" w:sz="4" w:space="0" w:color="auto"/>
          <w:right w:val="single" w:sz="4" w:space="5" w:color="auto"/>
        </w:pBdr>
        <w:spacing w:after="0"/>
        <w:rPr>
          <w:rFonts w:ascii="Arial" w:hAnsi="Arial" w:cs="Arial"/>
          <w:b/>
          <w:bCs/>
        </w:rPr>
      </w:pPr>
      <w:r>
        <w:rPr>
          <w:rFonts w:ascii="Arial" w:hAnsi="Arial" w:cs="Arial"/>
          <w:b/>
          <w:bCs/>
        </w:rPr>
        <w:t>Methotrexate Overdose</w:t>
      </w:r>
    </w:p>
    <w:p w14:paraId="6A8738D2" w14:textId="77777777" w:rsidR="00897E3A" w:rsidRDefault="00897E3A" w:rsidP="00897E3A">
      <w:p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b/>
        </w:rPr>
        <w:t>Folinic Acid Rescue</w:t>
      </w:r>
      <w:r>
        <w:rPr>
          <w:rFonts w:ascii="Arial" w:hAnsi="Arial" w:cs="Arial"/>
        </w:rPr>
        <w:t xml:space="preserve">: Used in overdose or severe bone marrow toxicity under specialist direction. </w:t>
      </w:r>
    </w:p>
    <w:p w14:paraId="609BCC4B" w14:textId="77777777" w:rsidR="00897E3A" w:rsidRDefault="00897E3A" w:rsidP="00897E3A">
      <w:p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b/>
        </w:rPr>
        <w:t>Contact UK National Poisons Information Service – 0344 892 0111</w:t>
      </w:r>
      <w:r>
        <w:rPr>
          <w:rFonts w:ascii="Arial" w:hAnsi="Arial" w:cs="Arial"/>
        </w:rPr>
        <w:t xml:space="preserve"> (</w:t>
      </w:r>
      <w:hyperlink r:id="rId20" w:history="1">
        <w:r>
          <w:rPr>
            <w:rStyle w:val="Hyperlink"/>
            <w:rFonts w:ascii="Arial" w:hAnsi="Arial" w:cs="Arial"/>
          </w:rPr>
          <w:t>www.toxbase.org</w:t>
        </w:r>
      </w:hyperlink>
      <w:r>
        <w:rPr>
          <w:rFonts w:ascii="Arial" w:hAnsi="Arial" w:cs="Arial"/>
        </w:rPr>
        <w:t>)</w:t>
      </w:r>
    </w:p>
    <w:p w14:paraId="242F57F5" w14:textId="22D29935" w:rsidR="00B061F6" w:rsidRPr="007E0C3B" w:rsidRDefault="00897E3A" w:rsidP="007E0C3B">
      <w:p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 xml:space="preserve">The National Patient Safety Agency has published actions to reduce the risks associated with oral methotrexate: </w:t>
      </w:r>
      <w:hyperlink r:id="rId21" w:history="1">
        <w:r>
          <w:rPr>
            <w:rStyle w:val="Hyperlink"/>
            <w:rFonts w:ascii="Arial" w:hAnsi="Arial" w:cs="Arial"/>
          </w:rPr>
          <w:t>LINK</w:t>
        </w:r>
      </w:hyperlink>
      <w:r>
        <w:rPr>
          <w:rFonts w:ascii="Arial" w:hAnsi="Arial" w:cs="Arial"/>
        </w:rPr>
        <w:t xml:space="preserve">. More recently, the MHRA has issued additional safety measures to reduce the risk of fatal overdose due to inadvertent daily dosing instead of weekly dosing. The MHRA guidance also contains educational materials for healthcare professionals to minimise the risk of overdose: </w:t>
      </w:r>
      <w:hyperlink r:id="rId22" w:history="1">
        <w:r>
          <w:rPr>
            <w:rStyle w:val="Hyperlink"/>
            <w:rFonts w:ascii="Arial" w:hAnsi="Arial" w:cs="Arial"/>
          </w:rPr>
          <w:t>LINK</w:t>
        </w:r>
      </w:hyperlink>
      <w:r>
        <w:rPr>
          <w:rFonts w:ascii="Arial" w:hAnsi="Arial" w:cs="Arial"/>
        </w:rPr>
        <w:t>.</w:t>
      </w:r>
    </w:p>
    <w:p w14:paraId="7B44B9F3" w14:textId="3C299857" w:rsidR="00004CD4" w:rsidRDefault="00004CD4" w:rsidP="00004CD4">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
          <w:bCs/>
          <w:szCs w:val="24"/>
        </w:rPr>
      </w:pPr>
      <w:r w:rsidRPr="00004CD4">
        <w:rPr>
          <w:rFonts w:ascii="Arial" w:eastAsia="Times New Roman" w:hAnsi="Arial" w:cs="Arial"/>
          <w:b/>
          <w:bCs/>
          <w:szCs w:val="24"/>
        </w:rPr>
        <w:t xml:space="preserve">NOTABLE DRUG INTERACTIONS (REFER TO </w:t>
      </w:r>
      <w:hyperlink r:id="rId23" w:history="1">
        <w:r w:rsidRPr="00004CD4">
          <w:rPr>
            <w:rFonts w:ascii="Arial" w:eastAsia="Times New Roman" w:hAnsi="Arial" w:cs="Arial"/>
            <w:b/>
            <w:bCs/>
            <w:color w:val="0000FF"/>
            <w:szCs w:val="24"/>
            <w:u w:val="single"/>
          </w:rPr>
          <w:t>BNF</w:t>
        </w:r>
      </w:hyperlink>
      <w:r w:rsidRPr="00004CD4">
        <w:rPr>
          <w:rFonts w:ascii="Arial" w:eastAsia="Times New Roman" w:hAnsi="Arial" w:cs="Arial"/>
          <w:b/>
          <w:bCs/>
          <w:szCs w:val="24"/>
        </w:rPr>
        <w:t xml:space="preserve"> AND </w:t>
      </w:r>
      <w:hyperlink r:id="rId24" w:history="1">
        <w:r w:rsidRPr="00004CD4">
          <w:rPr>
            <w:rFonts w:ascii="Arial" w:eastAsia="Times New Roman" w:hAnsi="Arial" w:cs="Arial"/>
            <w:b/>
            <w:bCs/>
            <w:color w:val="0000FF"/>
            <w:szCs w:val="24"/>
            <w:u w:val="single"/>
          </w:rPr>
          <w:t>SPC</w:t>
        </w:r>
      </w:hyperlink>
      <w:r w:rsidR="002026D4">
        <w:rPr>
          <w:rFonts w:ascii="Arial" w:eastAsia="Times New Roman" w:hAnsi="Arial" w:cs="Arial"/>
          <w:b/>
          <w:bCs/>
          <w:szCs w:val="24"/>
        </w:rPr>
        <w:t xml:space="preserve"> for full details)</w:t>
      </w:r>
    </w:p>
    <w:p w14:paraId="34F8498C" w14:textId="342A5007" w:rsidR="005D2B7C" w:rsidRDefault="005D2B7C" w:rsidP="00E97C1A">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
          <w:bCs/>
        </w:rPr>
      </w:pPr>
    </w:p>
    <w:p w14:paraId="400CF62B" w14:textId="77777777" w:rsidR="00897E3A" w:rsidRDefault="00897E3A" w:rsidP="00897E3A">
      <w:pPr>
        <w:keepNext/>
        <w:pBdr>
          <w:top w:val="single" w:sz="4" w:space="1" w:color="auto"/>
          <w:left w:val="single" w:sz="4" w:space="4" w:color="auto"/>
          <w:bottom w:val="single" w:sz="4" w:space="1" w:color="auto"/>
          <w:right w:val="single" w:sz="4" w:space="4" w:color="auto"/>
        </w:pBdr>
        <w:spacing w:after="0" w:line="240" w:lineRule="auto"/>
        <w:ind w:left="357" w:hanging="357"/>
        <w:contextualSpacing/>
        <w:jc w:val="both"/>
        <w:outlineLvl w:val="0"/>
        <w:rPr>
          <w:rFonts w:ascii="Arial" w:eastAsia="Times New Roman" w:hAnsi="Arial" w:cs="Arial"/>
          <w:bCs/>
          <w:szCs w:val="24"/>
        </w:rPr>
      </w:pPr>
      <w:r>
        <w:rPr>
          <w:rFonts w:ascii="Arial" w:eastAsia="Times New Roman" w:hAnsi="Arial" w:cs="Arial"/>
          <w:bCs/>
          <w:szCs w:val="24"/>
        </w:rPr>
        <w:t>NSAID’s and salicylates – excretion of methotrexate may be impaired leading to toxicity but co-prescription of methotrexate with NSAID’s is common in rheumatology practice and a clinically significant interaction is rare. NSAIDs should be discontinued if liver function derangement occurs.</w:t>
      </w:r>
    </w:p>
    <w:p w14:paraId="4C4CA171" w14:textId="77777777" w:rsidR="00897E3A" w:rsidRDefault="00897E3A" w:rsidP="00897E3A">
      <w:pPr>
        <w:keepNext/>
        <w:pBdr>
          <w:top w:val="single" w:sz="4" w:space="1" w:color="auto"/>
          <w:left w:val="single" w:sz="4" w:space="4" w:color="auto"/>
          <w:bottom w:val="single" w:sz="4" w:space="1" w:color="auto"/>
          <w:right w:val="single" w:sz="4" w:space="4" w:color="auto"/>
        </w:pBdr>
        <w:spacing w:after="0" w:line="240" w:lineRule="auto"/>
        <w:ind w:left="357" w:hanging="357"/>
        <w:contextualSpacing/>
        <w:jc w:val="both"/>
        <w:outlineLvl w:val="0"/>
        <w:rPr>
          <w:rFonts w:ascii="Arial" w:eastAsia="Times New Roman" w:hAnsi="Arial" w:cs="Arial"/>
          <w:bCs/>
          <w:szCs w:val="24"/>
        </w:rPr>
      </w:pPr>
      <w:r>
        <w:rPr>
          <w:rFonts w:ascii="Arial" w:eastAsia="Times New Roman" w:hAnsi="Arial" w:cs="Arial"/>
          <w:bCs/>
          <w:szCs w:val="24"/>
        </w:rPr>
        <w:t>•</w:t>
      </w:r>
      <w:r>
        <w:rPr>
          <w:rFonts w:ascii="Arial" w:eastAsia="Times New Roman" w:hAnsi="Arial" w:cs="Arial"/>
          <w:bCs/>
          <w:szCs w:val="24"/>
        </w:rPr>
        <w:tab/>
        <w:t>Co-trimoxazole and trimethoprim – anti-folate effect of methotrexate is increased and greatly increases the risk of bone marrow aplasia. DO NOT CO-PRESCRIBE.</w:t>
      </w:r>
    </w:p>
    <w:p w14:paraId="32DA5361" w14:textId="77777777" w:rsidR="00897E3A" w:rsidRDefault="00897E3A" w:rsidP="00897E3A">
      <w:pPr>
        <w:keepNext/>
        <w:pBdr>
          <w:top w:val="single" w:sz="4" w:space="1" w:color="auto"/>
          <w:left w:val="single" w:sz="4" w:space="4" w:color="auto"/>
          <w:bottom w:val="single" w:sz="4" w:space="1" w:color="auto"/>
          <w:right w:val="single" w:sz="4" w:space="4" w:color="auto"/>
        </w:pBdr>
        <w:spacing w:line="240" w:lineRule="auto"/>
        <w:contextualSpacing/>
        <w:jc w:val="both"/>
        <w:outlineLvl w:val="0"/>
        <w:rPr>
          <w:rFonts w:ascii="Arial" w:eastAsia="Times New Roman" w:hAnsi="Arial" w:cs="Arial"/>
          <w:bCs/>
          <w:szCs w:val="24"/>
        </w:rPr>
      </w:pPr>
      <w:r>
        <w:rPr>
          <w:rFonts w:ascii="Arial" w:eastAsia="Times New Roman" w:hAnsi="Arial" w:cs="Arial"/>
          <w:bCs/>
          <w:szCs w:val="24"/>
        </w:rPr>
        <w:t>•</w:t>
      </w:r>
      <w:r>
        <w:rPr>
          <w:rFonts w:ascii="Arial" w:eastAsia="Times New Roman" w:hAnsi="Arial" w:cs="Arial"/>
          <w:bCs/>
          <w:szCs w:val="24"/>
        </w:rPr>
        <w:tab/>
        <w:t>Clozapine – avoid concomitant use due to increased risk of agranulocytosis.</w:t>
      </w:r>
    </w:p>
    <w:p w14:paraId="7CBD7638" w14:textId="77777777" w:rsidR="00897E3A" w:rsidRDefault="00897E3A" w:rsidP="00897E3A">
      <w:pPr>
        <w:keepNext/>
        <w:pBdr>
          <w:top w:val="single" w:sz="4" w:space="1" w:color="auto"/>
          <w:left w:val="single" w:sz="4" w:space="4" w:color="auto"/>
          <w:bottom w:val="single" w:sz="4" w:space="1" w:color="auto"/>
          <w:right w:val="single" w:sz="4" w:space="4" w:color="auto"/>
        </w:pBdr>
        <w:spacing w:after="0" w:line="240" w:lineRule="auto"/>
        <w:ind w:left="357" w:hanging="357"/>
        <w:contextualSpacing/>
        <w:jc w:val="both"/>
        <w:outlineLvl w:val="0"/>
        <w:rPr>
          <w:rFonts w:ascii="Arial" w:eastAsia="Times New Roman" w:hAnsi="Arial" w:cs="Arial"/>
          <w:bCs/>
          <w:szCs w:val="24"/>
        </w:rPr>
      </w:pPr>
      <w:r>
        <w:rPr>
          <w:rFonts w:ascii="Arial" w:eastAsia="Times New Roman" w:hAnsi="Arial" w:cs="Arial"/>
          <w:bCs/>
          <w:szCs w:val="24"/>
        </w:rPr>
        <w:t>•</w:t>
      </w:r>
      <w:r>
        <w:rPr>
          <w:rFonts w:ascii="Arial" w:eastAsia="Times New Roman" w:hAnsi="Arial" w:cs="Arial"/>
          <w:bCs/>
          <w:szCs w:val="24"/>
        </w:rPr>
        <w:tab/>
        <w:t>Ciclosporin – can increase methotrexate toxicity. The specialty team will provide patient- specific advice on co-prescriptions.</w:t>
      </w:r>
    </w:p>
    <w:p w14:paraId="564CF3C2" w14:textId="044C52AF" w:rsidR="005D2B7C" w:rsidRPr="007E0C3B" w:rsidRDefault="00897E3A" w:rsidP="007E0C3B">
      <w:pPr>
        <w:keepNext/>
        <w:pBdr>
          <w:top w:val="single" w:sz="4" w:space="1" w:color="auto"/>
          <w:left w:val="single" w:sz="4" w:space="4" w:color="auto"/>
          <w:bottom w:val="single" w:sz="4" w:space="1" w:color="auto"/>
          <w:right w:val="single" w:sz="4" w:space="4" w:color="auto"/>
        </w:pBdr>
        <w:spacing w:line="240" w:lineRule="auto"/>
        <w:contextualSpacing/>
        <w:jc w:val="both"/>
        <w:outlineLvl w:val="0"/>
        <w:rPr>
          <w:rFonts w:ascii="Arial" w:eastAsia="Times New Roman" w:hAnsi="Arial" w:cs="Arial"/>
          <w:bCs/>
          <w:szCs w:val="24"/>
        </w:rPr>
      </w:pPr>
      <w:r>
        <w:rPr>
          <w:rFonts w:ascii="Arial" w:eastAsia="Times New Roman" w:hAnsi="Arial" w:cs="Arial"/>
          <w:bCs/>
          <w:szCs w:val="24"/>
        </w:rPr>
        <w:t>•</w:t>
      </w:r>
      <w:r>
        <w:rPr>
          <w:rFonts w:ascii="Arial" w:eastAsia="Times New Roman" w:hAnsi="Arial" w:cs="Arial"/>
          <w:bCs/>
          <w:szCs w:val="24"/>
        </w:rPr>
        <w:tab/>
        <w:t>Probenecid – methotrexate excretion is reduced leading to toxicity.</w:t>
      </w:r>
    </w:p>
    <w:p w14:paraId="0E7769E3" w14:textId="63099776" w:rsidR="00BE545B" w:rsidRDefault="00BE545B" w:rsidP="00BE545B">
      <w:pPr>
        <w:spacing w:after="0"/>
        <w:rPr>
          <w:rFonts w:ascii="Arial" w:eastAsia="Times New Roman" w:hAnsi="Arial" w:cs="Arial"/>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5D2B7C" w:rsidRPr="00CA1BB1" w14:paraId="2CF869CA" w14:textId="77777777" w:rsidTr="006A5754">
        <w:trPr>
          <w:trHeight w:val="632"/>
        </w:trPr>
        <w:tc>
          <w:tcPr>
            <w:tcW w:w="10774" w:type="dxa"/>
            <w:shd w:val="clear" w:color="auto" w:fill="auto"/>
          </w:tcPr>
          <w:p w14:paraId="5108ED42" w14:textId="77777777" w:rsidR="005D2B7C" w:rsidRPr="008C60E5" w:rsidRDefault="005D2B7C" w:rsidP="00992C71">
            <w:pPr>
              <w:spacing w:after="0" w:line="240" w:lineRule="auto"/>
              <w:rPr>
                <w:rFonts w:ascii="Arial" w:eastAsia="Times New Roman" w:hAnsi="Arial" w:cs="Arial"/>
                <w:b/>
                <w:bCs/>
                <w:lang w:eastAsia="en-GB"/>
              </w:rPr>
            </w:pPr>
            <w:r w:rsidRPr="008C60E5">
              <w:rPr>
                <w:rFonts w:ascii="Arial" w:eastAsia="Times New Roman" w:hAnsi="Arial" w:cs="Arial"/>
                <w:b/>
                <w:bCs/>
                <w:lang w:eastAsia="en-GB"/>
              </w:rPr>
              <w:t xml:space="preserve">CONTACT DETAILS for BACK-UP INFORMATION / ADVICE </w:t>
            </w:r>
          </w:p>
          <w:p w14:paraId="5E82E01B" w14:textId="77777777" w:rsidR="005D2B7C" w:rsidRDefault="005D2B7C" w:rsidP="00992C71">
            <w:pPr>
              <w:spacing w:after="0" w:line="240" w:lineRule="auto"/>
              <w:rPr>
                <w:rFonts w:ascii="Arial" w:eastAsia="Times New Roman" w:hAnsi="Arial" w:cs="Arial"/>
                <w:b/>
                <w:bCs/>
                <w:lang w:eastAsia="en-GB"/>
              </w:rPr>
            </w:pPr>
          </w:p>
          <w:p w14:paraId="5DDC518F" w14:textId="4CD4878B" w:rsidR="005D2B7C" w:rsidRPr="00D43187" w:rsidRDefault="0093340C" w:rsidP="00992C71">
            <w:pPr>
              <w:spacing w:after="120" w:line="240" w:lineRule="auto"/>
              <w:rPr>
                <w:rFonts w:ascii="Arial" w:eastAsia="Times New Roman" w:hAnsi="Arial" w:cs="Arial"/>
                <w:b/>
                <w:bCs/>
                <w:u w:val="single"/>
                <w:lang w:eastAsia="en-GB"/>
              </w:rPr>
            </w:pPr>
            <w:r>
              <w:rPr>
                <w:rFonts w:ascii="Arial" w:eastAsia="Times New Roman" w:hAnsi="Arial" w:cs="Arial"/>
                <w:b/>
                <w:bCs/>
                <w:u w:val="single"/>
                <w:lang w:eastAsia="en-GB"/>
              </w:rPr>
              <w:t xml:space="preserve">Princess Alexandra Hospital NHS trust </w:t>
            </w:r>
          </w:p>
          <w:tbl>
            <w:tblPr>
              <w:tblStyle w:val="TableGrid"/>
              <w:tblW w:w="0" w:type="auto"/>
              <w:tblLook w:val="04A0" w:firstRow="1" w:lastRow="0" w:firstColumn="1" w:lastColumn="0" w:noHBand="0" w:noVBand="1"/>
            </w:tblPr>
            <w:tblGrid>
              <w:gridCol w:w="1883"/>
              <w:gridCol w:w="1510"/>
              <w:gridCol w:w="5316"/>
              <w:gridCol w:w="1806"/>
            </w:tblGrid>
            <w:tr w:rsidR="0093340C" w:rsidRPr="00D43187" w14:paraId="38F2CBC5" w14:textId="77777777" w:rsidTr="002C3764">
              <w:tc>
                <w:tcPr>
                  <w:tcW w:w="1883" w:type="dxa"/>
                  <w:shd w:val="clear" w:color="auto" w:fill="D9D9D9" w:themeFill="background1" w:themeFillShade="D9"/>
                </w:tcPr>
                <w:p w14:paraId="1060C900" w14:textId="77777777" w:rsidR="0093340C" w:rsidRPr="00D43187" w:rsidRDefault="0093340C" w:rsidP="0093340C">
                  <w:pPr>
                    <w:spacing w:after="40"/>
                    <w:rPr>
                      <w:rFonts w:ascii="Arial" w:eastAsia="Times New Roman" w:hAnsi="Arial" w:cs="Arial"/>
                      <w:b/>
                      <w:bCs/>
                      <w:lang w:eastAsia="en-GB"/>
                    </w:rPr>
                  </w:pPr>
                  <w:r w:rsidRPr="00D43187">
                    <w:rPr>
                      <w:rFonts w:ascii="Arial" w:eastAsia="Times New Roman" w:hAnsi="Arial" w:cs="Arial"/>
                      <w:b/>
                      <w:bCs/>
                      <w:lang w:eastAsia="en-GB"/>
                    </w:rPr>
                    <w:t>Department</w:t>
                  </w:r>
                </w:p>
              </w:tc>
              <w:tc>
                <w:tcPr>
                  <w:tcW w:w="1510" w:type="dxa"/>
                  <w:shd w:val="clear" w:color="auto" w:fill="D9D9D9" w:themeFill="background1" w:themeFillShade="D9"/>
                </w:tcPr>
                <w:p w14:paraId="6C0BAEE2" w14:textId="77777777" w:rsidR="0093340C" w:rsidRPr="00D43187" w:rsidRDefault="0093340C" w:rsidP="0093340C">
                  <w:pPr>
                    <w:spacing w:after="40"/>
                    <w:rPr>
                      <w:rFonts w:ascii="Arial" w:eastAsia="Times New Roman" w:hAnsi="Arial" w:cs="Arial"/>
                      <w:b/>
                      <w:bCs/>
                      <w:lang w:eastAsia="en-GB"/>
                    </w:rPr>
                  </w:pPr>
                  <w:r w:rsidRPr="00D43187">
                    <w:rPr>
                      <w:rFonts w:ascii="Arial" w:eastAsia="Times New Roman" w:hAnsi="Arial" w:cs="Arial"/>
                      <w:b/>
                      <w:bCs/>
                      <w:lang w:eastAsia="en-GB"/>
                    </w:rPr>
                    <w:t>Contact number</w:t>
                  </w:r>
                </w:p>
              </w:tc>
              <w:tc>
                <w:tcPr>
                  <w:tcW w:w="5316" w:type="dxa"/>
                  <w:shd w:val="clear" w:color="auto" w:fill="D9D9D9" w:themeFill="background1" w:themeFillShade="D9"/>
                </w:tcPr>
                <w:p w14:paraId="1741028C" w14:textId="77777777" w:rsidR="0093340C" w:rsidRPr="00D43187" w:rsidRDefault="0093340C" w:rsidP="0093340C">
                  <w:pPr>
                    <w:spacing w:after="40"/>
                    <w:rPr>
                      <w:rFonts w:ascii="Arial" w:eastAsia="Times New Roman" w:hAnsi="Arial" w:cs="Arial"/>
                      <w:b/>
                      <w:bCs/>
                      <w:lang w:eastAsia="en-GB"/>
                    </w:rPr>
                  </w:pPr>
                  <w:r w:rsidRPr="00D43187">
                    <w:rPr>
                      <w:rFonts w:ascii="Arial" w:eastAsia="Times New Roman" w:hAnsi="Arial" w:cs="Arial"/>
                      <w:b/>
                      <w:bCs/>
                      <w:lang w:eastAsia="en-GB"/>
                    </w:rPr>
                    <w:t>Specialist Team designated nhs.net email</w:t>
                  </w:r>
                </w:p>
              </w:tc>
              <w:tc>
                <w:tcPr>
                  <w:tcW w:w="1806" w:type="dxa"/>
                  <w:shd w:val="clear" w:color="auto" w:fill="D9D9D9" w:themeFill="background1" w:themeFillShade="D9"/>
                </w:tcPr>
                <w:p w14:paraId="340B84CF" w14:textId="77777777" w:rsidR="0093340C" w:rsidRPr="00D43187" w:rsidRDefault="0093340C" w:rsidP="0093340C">
                  <w:pPr>
                    <w:rPr>
                      <w:rFonts w:ascii="Arial" w:eastAsia="Times New Roman" w:hAnsi="Arial" w:cs="Arial"/>
                      <w:b/>
                      <w:bCs/>
                      <w:lang w:eastAsia="en-GB"/>
                    </w:rPr>
                  </w:pPr>
                  <w:r w:rsidRPr="00D43187">
                    <w:rPr>
                      <w:rFonts w:ascii="Arial" w:eastAsia="Times New Roman" w:hAnsi="Arial" w:cs="Arial"/>
                      <w:b/>
                      <w:bCs/>
                      <w:lang w:eastAsia="en-GB"/>
                    </w:rPr>
                    <w:t>Out of hours contact / switchboard</w:t>
                  </w:r>
                </w:p>
              </w:tc>
            </w:tr>
            <w:tr w:rsidR="002C3764" w:rsidRPr="00D43187" w14:paraId="7A18DB52" w14:textId="77777777" w:rsidTr="006A5754">
              <w:tc>
                <w:tcPr>
                  <w:tcW w:w="1883" w:type="dxa"/>
                </w:tcPr>
                <w:p w14:paraId="558024D9" w14:textId="77777777" w:rsidR="002C3764" w:rsidRPr="00D43187" w:rsidRDefault="002C3764" w:rsidP="0093340C">
                  <w:pPr>
                    <w:spacing w:after="40"/>
                    <w:rPr>
                      <w:rFonts w:ascii="Arial" w:eastAsia="Times New Roman" w:hAnsi="Arial" w:cs="Arial"/>
                      <w:b/>
                      <w:bCs/>
                      <w:sz w:val="20"/>
                      <w:szCs w:val="20"/>
                      <w:lang w:val="en-US" w:eastAsia="en-GB"/>
                    </w:rPr>
                  </w:pPr>
                  <w:r w:rsidRPr="00D43187">
                    <w:rPr>
                      <w:rFonts w:ascii="Arial" w:eastAsia="Times New Roman" w:hAnsi="Arial" w:cs="Arial"/>
                      <w:b/>
                      <w:bCs/>
                      <w:sz w:val="20"/>
                      <w:szCs w:val="20"/>
                      <w:lang w:val="en-US" w:eastAsia="en-GB"/>
                    </w:rPr>
                    <w:t>Gastroenterology</w:t>
                  </w:r>
                </w:p>
              </w:tc>
              <w:tc>
                <w:tcPr>
                  <w:tcW w:w="1510" w:type="dxa"/>
                </w:tcPr>
                <w:p w14:paraId="3DB46E59" w14:textId="77777777" w:rsidR="002C3764" w:rsidRPr="002C3764" w:rsidRDefault="002C3764" w:rsidP="002C3764">
                  <w:pPr>
                    <w:spacing w:after="40"/>
                    <w:rPr>
                      <w:rFonts w:ascii="Arial" w:hAnsi="Arial" w:cs="Arial"/>
                      <w:sz w:val="20"/>
                      <w:szCs w:val="20"/>
                      <w:lang w:eastAsia="en-GB"/>
                    </w:rPr>
                  </w:pPr>
                  <w:r w:rsidRPr="002C3764">
                    <w:rPr>
                      <w:rFonts w:ascii="Arial" w:hAnsi="Arial" w:cs="Arial"/>
                      <w:sz w:val="20"/>
                      <w:szCs w:val="20"/>
                      <w:lang w:eastAsia="en-GB"/>
                    </w:rPr>
                    <w:t>01279 278223</w:t>
                  </w:r>
                </w:p>
                <w:p w14:paraId="4DFA15C3" w14:textId="77777777" w:rsidR="002C3764" w:rsidRPr="002C3764" w:rsidRDefault="002C3764" w:rsidP="002C3764">
                  <w:pPr>
                    <w:spacing w:after="40"/>
                    <w:rPr>
                      <w:rFonts w:ascii="Arial" w:hAnsi="Arial" w:cs="Arial"/>
                      <w:sz w:val="20"/>
                      <w:szCs w:val="20"/>
                      <w:lang w:eastAsia="en-GB"/>
                    </w:rPr>
                  </w:pPr>
                  <w:r w:rsidRPr="002C3764">
                    <w:rPr>
                      <w:rFonts w:ascii="Arial" w:hAnsi="Arial" w:cs="Arial"/>
                      <w:sz w:val="20"/>
                      <w:szCs w:val="20"/>
                      <w:lang w:eastAsia="en-GB"/>
                    </w:rPr>
                    <w:t>(IBD advice line – answer machine)</w:t>
                  </w:r>
                </w:p>
                <w:p w14:paraId="0E21B3FB" w14:textId="77777777" w:rsidR="002C3764" w:rsidRPr="002C3764" w:rsidRDefault="002C3764" w:rsidP="002C3764">
                  <w:pPr>
                    <w:spacing w:after="40"/>
                    <w:rPr>
                      <w:rFonts w:ascii="Arial" w:hAnsi="Arial" w:cs="Arial"/>
                      <w:sz w:val="20"/>
                      <w:szCs w:val="20"/>
                      <w:lang w:eastAsia="en-GB"/>
                    </w:rPr>
                  </w:pPr>
                  <w:r w:rsidRPr="002C3764">
                    <w:rPr>
                      <w:rFonts w:ascii="Arial" w:hAnsi="Arial" w:cs="Arial"/>
                      <w:sz w:val="20"/>
                      <w:szCs w:val="20"/>
                      <w:lang w:eastAsia="en-GB"/>
                    </w:rPr>
                    <w:t>01279 278224</w:t>
                  </w:r>
                </w:p>
                <w:p w14:paraId="30128255" w14:textId="3E026B5E" w:rsidR="002C3764" w:rsidRPr="00D43187" w:rsidRDefault="002C3764" w:rsidP="002C3764">
                  <w:pPr>
                    <w:spacing w:after="40"/>
                    <w:rPr>
                      <w:rFonts w:ascii="Arial" w:hAnsi="Arial" w:cs="Arial"/>
                      <w:sz w:val="20"/>
                      <w:szCs w:val="20"/>
                      <w:lang w:eastAsia="en-GB"/>
                    </w:rPr>
                  </w:pPr>
                  <w:r w:rsidRPr="002C3764">
                    <w:rPr>
                      <w:rFonts w:ascii="Arial" w:hAnsi="Arial" w:cs="Arial"/>
                      <w:sz w:val="20"/>
                      <w:szCs w:val="20"/>
                      <w:lang w:eastAsia="en-GB"/>
                    </w:rPr>
                    <w:t>(Gastro Pharmacist)</w:t>
                  </w:r>
                </w:p>
              </w:tc>
              <w:tc>
                <w:tcPr>
                  <w:tcW w:w="5316" w:type="dxa"/>
                </w:tcPr>
                <w:p w14:paraId="511EC720" w14:textId="77777777" w:rsidR="002C3764" w:rsidRDefault="00DD236B" w:rsidP="0093340C">
                  <w:pPr>
                    <w:spacing w:after="40"/>
                  </w:pPr>
                  <w:hyperlink r:id="rId25" w:history="1">
                    <w:r w:rsidR="002C3764" w:rsidRPr="00752571">
                      <w:rPr>
                        <w:rStyle w:val="Hyperlink"/>
                      </w:rPr>
                      <w:t>Tpa-tr.gastroadminclinicalcorrespondence@nhs.net</w:t>
                    </w:r>
                  </w:hyperlink>
                </w:p>
                <w:p w14:paraId="24CA0512" w14:textId="77777777" w:rsidR="002C3764" w:rsidRPr="006D1A7D" w:rsidRDefault="00DD236B" w:rsidP="0093340C">
                  <w:pPr>
                    <w:spacing w:after="40"/>
                  </w:pPr>
                  <w:hyperlink r:id="rId26" w:history="1">
                    <w:r w:rsidR="002C3764" w:rsidRPr="00752571">
                      <w:rPr>
                        <w:rStyle w:val="Hyperlink"/>
                      </w:rPr>
                      <w:t>Paht.ibd@nhs.net</w:t>
                    </w:r>
                  </w:hyperlink>
                  <w:r w:rsidR="002C3764">
                    <w:t xml:space="preserve"> - IBD Specialist Nurse</w:t>
                  </w:r>
                </w:p>
              </w:tc>
              <w:tc>
                <w:tcPr>
                  <w:tcW w:w="1806" w:type="dxa"/>
                  <w:vMerge w:val="restart"/>
                </w:tcPr>
                <w:p w14:paraId="75315356" w14:textId="77777777" w:rsidR="002C3764" w:rsidRPr="00D43187" w:rsidRDefault="002C3764" w:rsidP="0093340C">
                  <w:pPr>
                    <w:rPr>
                      <w:rFonts w:ascii="Arial" w:eastAsia="Times New Roman" w:hAnsi="Arial" w:cs="Arial"/>
                      <w:bCs/>
                      <w:sz w:val="20"/>
                      <w:szCs w:val="20"/>
                      <w:lang w:eastAsia="en-GB"/>
                    </w:rPr>
                  </w:pPr>
                </w:p>
                <w:p w14:paraId="0056F53E" w14:textId="77777777" w:rsidR="002C3764" w:rsidRPr="00D43187" w:rsidRDefault="002C3764" w:rsidP="0093340C">
                  <w:pPr>
                    <w:rPr>
                      <w:rFonts w:ascii="Arial" w:eastAsia="Times New Roman" w:hAnsi="Arial" w:cs="Arial"/>
                      <w:bCs/>
                      <w:sz w:val="20"/>
                      <w:szCs w:val="20"/>
                      <w:lang w:eastAsia="en-GB"/>
                    </w:rPr>
                  </w:pPr>
                </w:p>
                <w:p w14:paraId="3FBDEA2B" w14:textId="77777777" w:rsidR="002C3764" w:rsidRPr="00D43187" w:rsidRDefault="002C3764" w:rsidP="0093340C">
                  <w:pPr>
                    <w:rPr>
                      <w:rFonts w:ascii="Arial" w:eastAsia="Times New Roman" w:hAnsi="Arial" w:cs="Arial"/>
                      <w:bCs/>
                      <w:sz w:val="20"/>
                      <w:szCs w:val="20"/>
                      <w:lang w:eastAsia="en-GB"/>
                    </w:rPr>
                  </w:pPr>
                  <w:r w:rsidRPr="002C3764">
                    <w:rPr>
                      <w:rFonts w:ascii="Arial" w:eastAsia="Times New Roman" w:hAnsi="Arial" w:cs="Arial"/>
                      <w:bCs/>
                      <w:sz w:val="20"/>
                      <w:szCs w:val="20"/>
                      <w:lang w:eastAsia="en-GB"/>
                    </w:rPr>
                    <w:t>01279 444455</w:t>
                  </w:r>
                </w:p>
                <w:p w14:paraId="230B0DB0" w14:textId="7E16D690" w:rsidR="002C3764" w:rsidRPr="00D43187" w:rsidRDefault="002C3764" w:rsidP="0093340C">
                  <w:pPr>
                    <w:shd w:val="clear" w:color="auto" w:fill="FFFFFF"/>
                    <w:outlineLvl w:val="2"/>
                    <w:rPr>
                      <w:rFonts w:ascii="Arial" w:eastAsia="Times New Roman" w:hAnsi="Arial" w:cs="Arial"/>
                      <w:bCs/>
                      <w:sz w:val="20"/>
                      <w:szCs w:val="20"/>
                      <w:lang w:eastAsia="en-GB"/>
                    </w:rPr>
                  </w:pPr>
                </w:p>
              </w:tc>
            </w:tr>
            <w:tr w:rsidR="002C3764" w:rsidRPr="00D43187" w14:paraId="6F7C4B85" w14:textId="77777777" w:rsidTr="006A5754">
              <w:tc>
                <w:tcPr>
                  <w:tcW w:w="1883" w:type="dxa"/>
                </w:tcPr>
                <w:p w14:paraId="07C42077" w14:textId="77777777" w:rsidR="002C3764" w:rsidRPr="00D43187" w:rsidRDefault="002C3764" w:rsidP="0093340C">
                  <w:pPr>
                    <w:spacing w:after="40"/>
                    <w:rPr>
                      <w:rFonts w:ascii="Arial" w:eastAsia="Times New Roman" w:hAnsi="Arial" w:cs="Arial"/>
                      <w:b/>
                      <w:bCs/>
                      <w:sz w:val="20"/>
                      <w:szCs w:val="20"/>
                      <w:lang w:eastAsia="en-GB"/>
                    </w:rPr>
                  </w:pPr>
                  <w:r>
                    <w:rPr>
                      <w:rFonts w:ascii="Arial" w:eastAsia="Times New Roman" w:hAnsi="Arial" w:cs="Arial"/>
                      <w:b/>
                      <w:bCs/>
                      <w:sz w:val="20"/>
                      <w:szCs w:val="20"/>
                      <w:lang w:eastAsia="en-GB"/>
                    </w:rPr>
                    <w:t xml:space="preserve">Dermatology </w:t>
                  </w:r>
                </w:p>
              </w:tc>
              <w:tc>
                <w:tcPr>
                  <w:tcW w:w="1510" w:type="dxa"/>
                </w:tcPr>
                <w:p w14:paraId="2BA507E6" w14:textId="77777777" w:rsidR="002C3764" w:rsidRPr="002C3764" w:rsidRDefault="002C3764" w:rsidP="002C3764">
                  <w:pPr>
                    <w:spacing w:after="40"/>
                    <w:rPr>
                      <w:rFonts w:ascii="Arial" w:eastAsia="Times New Roman" w:hAnsi="Arial" w:cs="Arial"/>
                      <w:bCs/>
                      <w:sz w:val="20"/>
                      <w:szCs w:val="20"/>
                      <w:lang w:eastAsia="en-GB"/>
                    </w:rPr>
                  </w:pPr>
                  <w:r w:rsidRPr="002C3764">
                    <w:rPr>
                      <w:rFonts w:ascii="Arial" w:eastAsia="Times New Roman" w:hAnsi="Arial" w:cs="Arial"/>
                      <w:bCs/>
                      <w:sz w:val="20"/>
                      <w:szCs w:val="20"/>
                      <w:lang w:eastAsia="en-GB"/>
                    </w:rPr>
                    <w:t>01279 827227</w:t>
                  </w:r>
                </w:p>
                <w:p w14:paraId="0A1E3333" w14:textId="752CBDAC" w:rsidR="002C3764" w:rsidRPr="00D43187" w:rsidRDefault="002C3764" w:rsidP="002C3764">
                  <w:pPr>
                    <w:spacing w:after="40"/>
                    <w:rPr>
                      <w:rFonts w:ascii="Arial" w:eastAsia="Times New Roman" w:hAnsi="Arial" w:cs="Arial"/>
                      <w:bCs/>
                      <w:sz w:val="20"/>
                      <w:szCs w:val="20"/>
                      <w:lang w:eastAsia="en-GB"/>
                    </w:rPr>
                  </w:pPr>
                  <w:r w:rsidRPr="002C3764">
                    <w:rPr>
                      <w:rFonts w:ascii="Arial" w:eastAsia="Times New Roman" w:hAnsi="Arial" w:cs="Arial"/>
                      <w:bCs/>
                      <w:sz w:val="20"/>
                      <w:szCs w:val="20"/>
                      <w:lang w:eastAsia="en-GB"/>
                    </w:rPr>
                    <w:t>Derm Secretaries</w:t>
                  </w:r>
                </w:p>
              </w:tc>
              <w:tc>
                <w:tcPr>
                  <w:tcW w:w="5316" w:type="dxa"/>
                </w:tcPr>
                <w:p w14:paraId="439EE752" w14:textId="3874370F" w:rsidR="002C3764" w:rsidRDefault="00DD236B" w:rsidP="0093340C">
                  <w:pPr>
                    <w:spacing w:after="40"/>
                    <w:rPr>
                      <w:rFonts w:ascii="Arial" w:hAnsi="Arial" w:cs="Arial"/>
                      <w:sz w:val="20"/>
                      <w:szCs w:val="20"/>
                    </w:rPr>
                  </w:pPr>
                  <w:hyperlink r:id="rId27" w:history="1">
                    <w:r w:rsidR="002C3764" w:rsidRPr="008752B8">
                      <w:rPr>
                        <w:rStyle w:val="Hyperlink"/>
                      </w:rPr>
                      <w:t>tpa-tr.dermatologyclinicalcorrespondence@nhs.net</w:t>
                    </w:r>
                  </w:hyperlink>
                  <w:r w:rsidR="002C3764">
                    <w:t xml:space="preserve"> </w:t>
                  </w:r>
                </w:p>
              </w:tc>
              <w:tc>
                <w:tcPr>
                  <w:tcW w:w="1806" w:type="dxa"/>
                  <w:vMerge/>
                </w:tcPr>
                <w:p w14:paraId="421D0CAE" w14:textId="19507C51" w:rsidR="002C3764" w:rsidRPr="00D43187" w:rsidRDefault="002C3764" w:rsidP="0093340C">
                  <w:pPr>
                    <w:shd w:val="clear" w:color="auto" w:fill="FFFFFF"/>
                    <w:outlineLvl w:val="2"/>
                    <w:rPr>
                      <w:rFonts w:ascii="Arial" w:eastAsia="Times New Roman" w:hAnsi="Arial" w:cs="Arial"/>
                      <w:sz w:val="20"/>
                      <w:szCs w:val="20"/>
                      <w:lang w:eastAsia="en-GB"/>
                    </w:rPr>
                  </w:pPr>
                </w:p>
              </w:tc>
            </w:tr>
            <w:tr w:rsidR="002C3764" w:rsidRPr="00D43187" w14:paraId="6A98BBD7" w14:textId="77777777" w:rsidTr="006A5754">
              <w:trPr>
                <w:trHeight w:val="190"/>
              </w:trPr>
              <w:tc>
                <w:tcPr>
                  <w:tcW w:w="1883" w:type="dxa"/>
                </w:tcPr>
                <w:p w14:paraId="0E6A2521" w14:textId="77777777" w:rsidR="002C3764" w:rsidRPr="00D43187" w:rsidRDefault="002C3764" w:rsidP="0093340C">
                  <w:pPr>
                    <w:spacing w:after="40"/>
                    <w:rPr>
                      <w:rFonts w:ascii="Arial" w:eastAsia="Times New Roman" w:hAnsi="Arial" w:cs="Arial"/>
                      <w:b/>
                      <w:bCs/>
                      <w:sz w:val="20"/>
                      <w:szCs w:val="20"/>
                      <w:lang w:eastAsia="en-GB"/>
                    </w:rPr>
                  </w:pPr>
                  <w:r w:rsidRPr="00D43187">
                    <w:rPr>
                      <w:rFonts w:ascii="Arial" w:eastAsia="Times New Roman" w:hAnsi="Arial" w:cs="Arial"/>
                      <w:b/>
                      <w:bCs/>
                      <w:sz w:val="20"/>
                      <w:szCs w:val="20"/>
                      <w:lang w:val="en-US" w:eastAsia="en-GB"/>
                    </w:rPr>
                    <w:t>Rheumatology</w:t>
                  </w:r>
                </w:p>
              </w:tc>
              <w:tc>
                <w:tcPr>
                  <w:tcW w:w="1510" w:type="dxa"/>
                </w:tcPr>
                <w:p w14:paraId="191F278D" w14:textId="50755563" w:rsidR="002C3764" w:rsidRDefault="002C3764" w:rsidP="0093340C">
                  <w:pPr>
                    <w:spacing w:after="40"/>
                  </w:pPr>
                  <w:r>
                    <w:t>01279 827434 – DMARD helpline</w:t>
                  </w:r>
                </w:p>
                <w:p w14:paraId="6D83DEC7" w14:textId="77777777" w:rsidR="002C3764" w:rsidRDefault="002C3764" w:rsidP="0093340C">
                  <w:pPr>
                    <w:spacing w:after="40"/>
                  </w:pPr>
                  <w:r>
                    <w:t>01279 827819</w:t>
                  </w:r>
                </w:p>
                <w:p w14:paraId="4F525A61" w14:textId="479D02DE" w:rsidR="002C3764" w:rsidRPr="00D43187" w:rsidRDefault="002C3764" w:rsidP="0093340C">
                  <w:pPr>
                    <w:spacing w:after="40"/>
                    <w:rPr>
                      <w:rFonts w:ascii="Arial" w:eastAsia="Times New Roman" w:hAnsi="Arial" w:cs="Arial"/>
                      <w:bCs/>
                      <w:sz w:val="20"/>
                      <w:szCs w:val="20"/>
                      <w:lang w:eastAsia="en-GB"/>
                    </w:rPr>
                  </w:pPr>
                  <w:r>
                    <w:lastRenderedPageBreak/>
                    <w:t>Nurse helpline</w:t>
                  </w:r>
                </w:p>
              </w:tc>
              <w:tc>
                <w:tcPr>
                  <w:tcW w:w="5316" w:type="dxa"/>
                </w:tcPr>
                <w:p w14:paraId="25621228" w14:textId="7BC0CC88" w:rsidR="002C3764" w:rsidRDefault="00DD236B" w:rsidP="0093340C">
                  <w:pPr>
                    <w:spacing w:after="40"/>
                    <w:rPr>
                      <w:rFonts w:ascii="Arial" w:hAnsi="Arial" w:cs="Arial"/>
                      <w:sz w:val="20"/>
                      <w:szCs w:val="20"/>
                    </w:rPr>
                  </w:pPr>
                  <w:hyperlink r:id="rId28" w:history="1">
                    <w:r w:rsidR="002C3764" w:rsidRPr="008752B8">
                      <w:rPr>
                        <w:rStyle w:val="Hyperlink"/>
                      </w:rPr>
                      <w:t>tpa-tr.rheumatologyadminclinicalcorrespondence@nhs.net</w:t>
                    </w:r>
                  </w:hyperlink>
                  <w:r w:rsidR="002C3764">
                    <w:t xml:space="preserve"> </w:t>
                  </w:r>
                </w:p>
              </w:tc>
              <w:tc>
                <w:tcPr>
                  <w:tcW w:w="1806" w:type="dxa"/>
                  <w:vMerge/>
                </w:tcPr>
                <w:p w14:paraId="3E5F56FB" w14:textId="4FBBD833" w:rsidR="002C3764" w:rsidRPr="00D43187" w:rsidRDefault="002C3764" w:rsidP="0093340C">
                  <w:pPr>
                    <w:shd w:val="clear" w:color="auto" w:fill="FFFFFF"/>
                    <w:outlineLvl w:val="2"/>
                    <w:rPr>
                      <w:rFonts w:ascii="Arial" w:eastAsia="Times New Roman" w:hAnsi="Arial" w:cs="Arial"/>
                      <w:sz w:val="20"/>
                      <w:szCs w:val="20"/>
                      <w:lang w:eastAsia="en-GB"/>
                    </w:rPr>
                  </w:pPr>
                </w:p>
              </w:tc>
            </w:tr>
            <w:tr w:rsidR="002C3764" w:rsidRPr="00D43187" w14:paraId="4EC691AA" w14:textId="77777777" w:rsidTr="006A5754">
              <w:trPr>
                <w:trHeight w:val="190"/>
              </w:trPr>
              <w:tc>
                <w:tcPr>
                  <w:tcW w:w="1883" w:type="dxa"/>
                </w:tcPr>
                <w:p w14:paraId="3F89E337" w14:textId="3141F9AA" w:rsidR="002C3764" w:rsidRPr="00D43187" w:rsidRDefault="002C3764" w:rsidP="0093340C">
                  <w:pPr>
                    <w:spacing w:after="40"/>
                    <w:rPr>
                      <w:rFonts w:ascii="Arial" w:eastAsia="Times New Roman" w:hAnsi="Arial" w:cs="Arial"/>
                      <w:b/>
                      <w:bCs/>
                      <w:sz w:val="20"/>
                      <w:szCs w:val="20"/>
                      <w:lang w:val="en-US" w:eastAsia="en-GB"/>
                    </w:rPr>
                  </w:pPr>
                  <w:r>
                    <w:rPr>
                      <w:rFonts w:ascii="Arial" w:eastAsia="Times New Roman" w:hAnsi="Arial" w:cs="Arial"/>
                      <w:b/>
                      <w:bCs/>
                      <w:sz w:val="20"/>
                      <w:szCs w:val="20"/>
                      <w:lang w:val="en-US" w:eastAsia="en-GB"/>
                    </w:rPr>
                    <w:t xml:space="preserve">Respiratory </w:t>
                  </w:r>
                </w:p>
              </w:tc>
              <w:tc>
                <w:tcPr>
                  <w:tcW w:w="1510" w:type="dxa"/>
                </w:tcPr>
                <w:p w14:paraId="27DE933E" w14:textId="7E4AD488" w:rsidR="002C3764" w:rsidRDefault="002C3764" w:rsidP="0093340C">
                  <w:pPr>
                    <w:spacing w:after="40"/>
                  </w:pPr>
                  <w:r w:rsidRPr="00C06FA7">
                    <w:t>via switchboard</w:t>
                  </w:r>
                </w:p>
              </w:tc>
              <w:tc>
                <w:tcPr>
                  <w:tcW w:w="5316" w:type="dxa"/>
                </w:tcPr>
                <w:p w14:paraId="20C37855" w14:textId="13EDB831" w:rsidR="002C3764" w:rsidRDefault="00DD236B" w:rsidP="002C3764">
                  <w:pPr>
                    <w:spacing w:after="200" w:line="276" w:lineRule="auto"/>
                  </w:pPr>
                  <w:hyperlink r:id="rId29" w:history="1">
                    <w:r w:rsidR="002C3764" w:rsidRPr="00692BAE">
                      <w:rPr>
                        <w:rStyle w:val="Hyperlink"/>
                      </w:rPr>
                      <w:t>tpa-tr.respiratoryadminclinicalcorrespondence@nhs.net</w:t>
                    </w:r>
                  </w:hyperlink>
                  <w:r w:rsidR="002C3764">
                    <w:t xml:space="preserve"> </w:t>
                  </w:r>
                </w:p>
              </w:tc>
              <w:tc>
                <w:tcPr>
                  <w:tcW w:w="1806" w:type="dxa"/>
                  <w:vMerge/>
                </w:tcPr>
                <w:p w14:paraId="05EC214F" w14:textId="6DB4906F" w:rsidR="002C3764" w:rsidRPr="00D43187" w:rsidRDefault="002C3764" w:rsidP="0093340C">
                  <w:pPr>
                    <w:shd w:val="clear" w:color="auto" w:fill="FFFFFF"/>
                    <w:outlineLvl w:val="2"/>
                    <w:rPr>
                      <w:rFonts w:ascii="Arial" w:eastAsia="Times New Roman" w:hAnsi="Arial" w:cs="Arial"/>
                      <w:sz w:val="20"/>
                      <w:szCs w:val="20"/>
                      <w:lang w:eastAsia="en-GB"/>
                    </w:rPr>
                  </w:pPr>
                </w:p>
              </w:tc>
            </w:tr>
          </w:tbl>
          <w:p w14:paraId="34883E4D" w14:textId="77777777" w:rsidR="005D2B7C" w:rsidRPr="008C60E5" w:rsidRDefault="005D2B7C" w:rsidP="00992C71">
            <w:pPr>
              <w:spacing w:after="0" w:line="240" w:lineRule="auto"/>
              <w:rPr>
                <w:rFonts w:ascii="Arial" w:eastAsia="Times New Roman" w:hAnsi="Arial" w:cs="Arial"/>
                <w:b/>
                <w:bCs/>
                <w:lang w:eastAsia="en-GB"/>
              </w:rPr>
            </w:pPr>
          </w:p>
          <w:p w14:paraId="69CADCEC" w14:textId="77777777" w:rsidR="005D2B7C" w:rsidRPr="008C60E5" w:rsidRDefault="005D2B7C" w:rsidP="00992C71">
            <w:pPr>
              <w:spacing w:after="0" w:line="240" w:lineRule="auto"/>
              <w:rPr>
                <w:rFonts w:ascii="Arial" w:eastAsia="Times New Roman" w:hAnsi="Arial" w:cs="Arial"/>
                <w:b/>
                <w:bCs/>
                <w:lang w:eastAsia="en-GB"/>
              </w:rPr>
            </w:pPr>
            <w:r w:rsidRPr="008C60E5">
              <w:rPr>
                <w:rFonts w:ascii="Arial" w:eastAsia="Times New Roman" w:hAnsi="Arial" w:cs="Arial"/>
                <w:b/>
                <w:bCs/>
                <w:lang w:eastAsia="en-GB"/>
              </w:rPr>
              <w:t>Communication</w:t>
            </w:r>
          </w:p>
          <w:p w14:paraId="268A387B" w14:textId="11098ED0" w:rsidR="005D2B7C" w:rsidRPr="008C60E5" w:rsidRDefault="005D2B7C" w:rsidP="00992C71">
            <w:pPr>
              <w:spacing w:after="0" w:line="240" w:lineRule="auto"/>
              <w:rPr>
                <w:rFonts w:ascii="Arial" w:eastAsia="Times New Roman" w:hAnsi="Arial" w:cs="Arial"/>
                <w:bCs/>
                <w:lang w:eastAsia="en-GB"/>
              </w:rPr>
            </w:pPr>
            <w:r>
              <w:rPr>
                <w:rFonts w:ascii="Arial" w:eastAsia="Times New Roman" w:hAnsi="Arial" w:cs="Arial"/>
                <w:bCs/>
                <w:lang w:eastAsia="en-GB"/>
              </w:rPr>
              <w:t>For any queries relating to a</w:t>
            </w:r>
            <w:r w:rsidRPr="008C60E5">
              <w:rPr>
                <w:rFonts w:ascii="Arial" w:eastAsia="Times New Roman" w:hAnsi="Arial" w:cs="Arial"/>
                <w:bCs/>
                <w:lang w:eastAsia="en-GB"/>
              </w:rPr>
              <w:t xml:space="preserve"> patient’s </w:t>
            </w:r>
            <w:r>
              <w:rPr>
                <w:rFonts w:ascii="Arial" w:eastAsia="Times New Roman" w:hAnsi="Arial" w:cs="Arial"/>
                <w:bCs/>
                <w:lang w:eastAsia="en-GB"/>
              </w:rPr>
              <w:t xml:space="preserve">treatment with </w:t>
            </w:r>
            <w:r w:rsidR="007D4DA1">
              <w:rPr>
                <w:rFonts w:ascii="Arial" w:eastAsia="Times New Roman" w:hAnsi="Arial" w:cs="Arial"/>
                <w:bCs/>
                <w:lang w:eastAsia="en-GB"/>
              </w:rPr>
              <w:t>methotrexate</w:t>
            </w:r>
            <w:r w:rsidRPr="008C60E5">
              <w:rPr>
                <w:rFonts w:ascii="Arial" w:eastAsia="Times New Roman" w:hAnsi="Arial" w:cs="Arial"/>
                <w:bCs/>
                <w:lang w:eastAsia="en-GB"/>
              </w:rPr>
              <w:t xml:space="preserve">, please contact the specialist as documented at the top of this document. </w:t>
            </w:r>
            <w:r w:rsidR="007D4DA1" w:rsidRPr="007D4DA1">
              <w:rPr>
                <w:rFonts w:ascii="Arial" w:eastAsia="Times New Roman" w:hAnsi="Arial" w:cs="Arial"/>
                <w:bCs/>
                <w:lang w:eastAsia="en-GB"/>
              </w:rPr>
              <w:t>Read in conjunction with HWE APC shared care principles document.</w:t>
            </w:r>
          </w:p>
          <w:p w14:paraId="1FA58BFF" w14:textId="77777777" w:rsidR="005D2B7C" w:rsidRPr="008C60E5" w:rsidRDefault="005D2B7C" w:rsidP="00992C71">
            <w:pPr>
              <w:spacing w:after="0" w:line="240" w:lineRule="auto"/>
              <w:rPr>
                <w:rFonts w:ascii="Arial" w:eastAsia="Times New Roman" w:hAnsi="Arial" w:cs="Arial"/>
                <w:bCs/>
                <w:lang w:eastAsia="en-GB"/>
              </w:rPr>
            </w:pPr>
            <w:r w:rsidRPr="008C60E5">
              <w:rPr>
                <w:rFonts w:ascii="Arial" w:eastAsia="Times New Roman" w:hAnsi="Arial" w:cs="Arial"/>
                <w:bCs/>
                <w:lang w:eastAsia="en-GB"/>
              </w:rPr>
              <w:t>For advice if you have any concerns contact the specialist team.  If unable to contact specialist team or out of hours, contact medical registrar on call.</w:t>
            </w:r>
          </w:p>
        </w:tc>
      </w:tr>
    </w:tbl>
    <w:p w14:paraId="434176A4" w14:textId="7919BADF" w:rsidR="00C74787" w:rsidRDefault="00C74787" w:rsidP="007E0C3B">
      <w:pPr>
        <w:spacing w:after="0" w:line="240" w:lineRule="auto"/>
        <w:rPr>
          <w:rFonts w:ascii="Arial" w:eastAsia="Times New Roman" w:hAnsi="Arial" w:cs="Times New Roman"/>
          <w:b/>
          <w:bCs/>
          <w:szCs w:val="24"/>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4"/>
      </w:tblGrid>
      <w:tr w:rsidR="0072705F" w:rsidRPr="00BE545B" w14:paraId="4EFFC8BE" w14:textId="77777777" w:rsidTr="00CF3656">
        <w:tc>
          <w:tcPr>
            <w:tcW w:w="10774" w:type="dxa"/>
            <w:shd w:val="clear" w:color="auto" w:fill="auto"/>
          </w:tcPr>
          <w:p w14:paraId="34BB625F" w14:textId="77777777" w:rsidR="0072705F" w:rsidRDefault="0072705F" w:rsidP="00992C71">
            <w:pPr>
              <w:spacing w:after="0" w:line="240" w:lineRule="auto"/>
              <w:contextualSpacing/>
              <w:jc w:val="both"/>
              <w:rPr>
                <w:rFonts w:ascii="Arial" w:eastAsia="Times New Roman" w:hAnsi="Arial" w:cs="Arial"/>
                <w:b/>
                <w:bCs/>
                <w:szCs w:val="24"/>
              </w:rPr>
            </w:pPr>
            <w:r w:rsidRPr="00BE545B">
              <w:rPr>
                <w:rFonts w:ascii="Arial" w:eastAsia="Times New Roman" w:hAnsi="Arial" w:cs="Arial"/>
                <w:b/>
                <w:bCs/>
                <w:szCs w:val="24"/>
              </w:rPr>
              <w:t>SUPPORTING INFORMATION</w:t>
            </w:r>
          </w:p>
          <w:p w14:paraId="57133392" w14:textId="77777777" w:rsidR="00897E3A" w:rsidRDefault="00897E3A" w:rsidP="00897E3A">
            <w:pPr>
              <w:spacing w:after="0" w:line="240" w:lineRule="auto"/>
              <w:rPr>
                <w:rFonts w:ascii="Arial" w:hAnsi="Arial" w:cs="Arial"/>
                <w:i/>
                <w:sz w:val="18"/>
                <w:szCs w:val="18"/>
              </w:rPr>
            </w:pPr>
            <w:r>
              <w:rPr>
                <w:rFonts w:ascii="Arial" w:hAnsi="Arial" w:cs="Arial"/>
                <w:i/>
                <w:sz w:val="18"/>
                <w:szCs w:val="18"/>
              </w:rPr>
              <w:t>Rheumatology</w:t>
            </w:r>
          </w:p>
          <w:p w14:paraId="16AE5164" w14:textId="77777777" w:rsidR="00897E3A" w:rsidRDefault="00897E3A" w:rsidP="00897E3A">
            <w:pPr>
              <w:pStyle w:val="ListParagraph"/>
              <w:numPr>
                <w:ilvl w:val="0"/>
                <w:numId w:val="36"/>
              </w:numPr>
              <w:spacing w:after="0" w:line="240" w:lineRule="auto"/>
              <w:rPr>
                <w:rFonts w:ascii="Arial" w:hAnsi="Arial" w:cs="Arial"/>
                <w:sz w:val="18"/>
                <w:szCs w:val="18"/>
              </w:rPr>
            </w:pPr>
            <w:r>
              <w:rPr>
                <w:rFonts w:ascii="Arial" w:hAnsi="Arial" w:cs="Arial"/>
                <w:sz w:val="18"/>
                <w:szCs w:val="18"/>
              </w:rPr>
              <w:t xml:space="preserve">British Society of Rheumatology (BSR) guidelines </w:t>
            </w:r>
            <w:hyperlink r:id="rId30" w:history="1">
              <w:r>
                <w:rPr>
                  <w:rStyle w:val="Hyperlink"/>
                  <w:rFonts w:ascii="Arial" w:hAnsi="Arial" w:cs="Arial"/>
                  <w:sz w:val="18"/>
                  <w:szCs w:val="18"/>
                </w:rPr>
                <w:t>https://www.rheumatology.org.uk/practice-quality/guidelines/</w:t>
              </w:r>
            </w:hyperlink>
            <w:r>
              <w:rPr>
                <w:rFonts w:ascii="Arial" w:hAnsi="Arial" w:cs="Arial"/>
                <w:sz w:val="18"/>
                <w:szCs w:val="18"/>
              </w:rPr>
              <w:t xml:space="preserve"> </w:t>
            </w:r>
          </w:p>
          <w:p w14:paraId="38752BA4" w14:textId="77777777" w:rsidR="00897E3A" w:rsidRDefault="00897E3A" w:rsidP="00897E3A">
            <w:pPr>
              <w:spacing w:after="0" w:line="240" w:lineRule="auto"/>
              <w:rPr>
                <w:rFonts w:ascii="Arial" w:hAnsi="Arial" w:cs="Arial"/>
                <w:i/>
                <w:sz w:val="18"/>
                <w:szCs w:val="18"/>
              </w:rPr>
            </w:pPr>
            <w:r>
              <w:rPr>
                <w:rFonts w:ascii="Arial" w:hAnsi="Arial" w:cs="Arial"/>
                <w:i/>
                <w:sz w:val="18"/>
                <w:szCs w:val="18"/>
              </w:rPr>
              <w:t>Crohn’s disease</w:t>
            </w:r>
          </w:p>
          <w:p w14:paraId="6E3426F7" w14:textId="77777777" w:rsidR="00897E3A" w:rsidRDefault="00897E3A" w:rsidP="00897E3A">
            <w:pPr>
              <w:numPr>
                <w:ilvl w:val="0"/>
                <w:numId w:val="37"/>
              </w:numPr>
              <w:spacing w:after="0" w:line="240" w:lineRule="auto"/>
              <w:contextualSpacing/>
              <w:rPr>
                <w:rFonts w:ascii="Arial" w:hAnsi="Arial" w:cs="Arial"/>
                <w:sz w:val="18"/>
                <w:szCs w:val="18"/>
              </w:rPr>
            </w:pPr>
            <w:r>
              <w:rPr>
                <w:rFonts w:ascii="Arial" w:hAnsi="Arial" w:cs="Arial"/>
                <w:sz w:val="18"/>
                <w:szCs w:val="18"/>
              </w:rPr>
              <w:t xml:space="preserve">NICE NG 129. May 2019. Crohn’s disease: management </w:t>
            </w:r>
            <w:hyperlink r:id="rId31" w:history="1">
              <w:r>
                <w:rPr>
                  <w:rStyle w:val="Hyperlink"/>
                  <w:rFonts w:ascii="Arial" w:hAnsi="Arial" w:cs="Arial"/>
                  <w:color w:val="0000FF" w:themeColor="hyperlink"/>
                  <w:sz w:val="18"/>
                  <w:szCs w:val="18"/>
                </w:rPr>
                <w:t>https://www.nice.org.uk/guidance/ng129</w:t>
              </w:r>
            </w:hyperlink>
            <w:r>
              <w:rPr>
                <w:rFonts w:ascii="Arial" w:hAnsi="Arial" w:cs="Arial"/>
                <w:sz w:val="18"/>
                <w:szCs w:val="18"/>
              </w:rPr>
              <w:t xml:space="preserve">  </w:t>
            </w:r>
          </w:p>
          <w:p w14:paraId="61C7C3C6" w14:textId="77777777" w:rsidR="00897E3A" w:rsidRDefault="00897E3A" w:rsidP="00897E3A">
            <w:pPr>
              <w:numPr>
                <w:ilvl w:val="0"/>
                <w:numId w:val="37"/>
              </w:numPr>
              <w:spacing w:after="0" w:line="240" w:lineRule="auto"/>
              <w:contextualSpacing/>
              <w:rPr>
                <w:rFonts w:ascii="Arial" w:hAnsi="Arial" w:cs="Arial"/>
                <w:sz w:val="18"/>
                <w:szCs w:val="18"/>
              </w:rPr>
            </w:pPr>
            <w:r>
              <w:rPr>
                <w:rFonts w:ascii="Arial" w:hAnsi="Arial" w:cs="Arial"/>
                <w:sz w:val="18"/>
                <w:szCs w:val="18"/>
              </w:rPr>
              <w:t xml:space="preserve">Lamb CA, et al. British Society of Gastroenterology consensus guidelines on the management of inflammatory bowel disease in adults, Gut 2019;0:1–106 </w:t>
            </w:r>
            <w:hyperlink r:id="rId32" w:history="1">
              <w:r>
                <w:rPr>
                  <w:rStyle w:val="Hyperlink"/>
                  <w:rFonts w:ascii="Arial" w:hAnsi="Arial" w:cs="Arial"/>
                  <w:color w:val="0000FF" w:themeColor="hyperlink"/>
                  <w:sz w:val="18"/>
                  <w:szCs w:val="18"/>
                </w:rPr>
                <w:t>https://www.bsg.org.uk/resource/bsg-consensus-guidelines-ibd-in-adults.html</w:t>
              </w:r>
            </w:hyperlink>
          </w:p>
          <w:p w14:paraId="47AE5F04" w14:textId="77777777" w:rsidR="00897E3A" w:rsidRDefault="00897E3A" w:rsidP="00897E3A">
            <w:pPr>
              <w:spacing w:after="0" w:line="240" w:lineRule="auto"/>
              <w:rPr>
                <w:rFonts w:ascii="Arial" w:hAnsi="Arial" w:cs="Arial"/>
                <w:i/>
                <w:sz w:val="18"/>
                <w:szCs w:val="18"/>
              </w:rPr>
            </w:pPr>
            <w:r>
              <w:rPr>
                <w:rFonts w:ascii="Arial" w:hAnsi="Arial" w:cs="Arial"/>
                <w:i/>
                <w:sz w:val="18"/>
                <w:szCs w:val="18"/>
              </w:rPr>
              <w:t xml:space="preserve">Systemic lupus erythematosus </w:t>
            </w:r>
          </w:p>
          <w:p w14:paraId="077FFF5D" w14:textId="77777777" w:rsidR="00897E3A" w:rsidRDefault="00897E3A" w:rsidP="00897E3A">
            <w:pPr>
              <w:numPr>
                <w:ilvl w:val="0"/>
                <w:numId w:val="38"/>
              </w:numPr>
              <w:spacing w:after="0" w:line="240" w:lineRule="auto"/>
              <w:contextualSpacing/>
              <w:rPr>
                <w:rFonts w:ascii="Arial" w:hAnsi="Arial" w:cs="Arial"/>
                <w:sz w:val="18"/>
                <w:szCs w:val="18"/>
              </w:rPr>
            </w:pPr>
            <w:r>
              <w:rPr>
                <w:rFonts w:ascii="Arial" w:hAnsi="Arial" w:cs="Arial"/>
                <w:sz w:val="18"/>
                <w:szCs w:val="18"/>
              </w:rPr>
              <w:t xml:space="preserve">Gordon C, Amissah-Arthur M_B, Gayed M, et al, for the British Society for Rheumatology Standards, Audit and Guidelines Working Group, The British Society for Rheumatology guideline for the management of systemic lupus erythematosus in adults, Rheumatology 2018; 57: e1–e45, </w:t>
            </w:r>
            <w:hyperlink r:id="rId33" w:history="1">
              <w:r>
                <w:rPr>
                  <w:rStyle w:val="Hyperlink"/>
                  <w:rFonts w:ascii="Arial" w:hAnsi="Arial" w:cs="Arial"/>
                  <w:color w:val="0000FF" w:themeColor="hyperlink"/>
                  <w:sz w:val="18"/>
                  <w:szCs w:val="18"/>
                </w:rPr>
                <w:t>https://doi.org/10.1093/rheumatology/kex286</w:t>
              </w:r>
            </w:hyperlink>
          </w:p>
          <w:p w14:paraId="54743D45" w14:textId="77777777" w:rsidR="00897E3A" w:rsidRDefault="00897E3A" w:rsidP="00897E3A">
            <w:pPr>
              <w:numPr>
                <w:ilvl w:val="0"/>
                <w:numId w:val="38"/>
              </w:numPr>
              <w:spacing w:after="0" w:line="240" w:lineRule="auto"/>
              <w:contextualSpacing/>
              <w:rPr>
                <w:rFonts w:ascii="Arial" w:hAnsi="Arial" w:cs="Arial"/>
                <w:sz w:val="18"/>
                <w:szCs w:val="18"/>
              </w:rPr>
            </w:pPr>
            <w:r>
              <w:rPr>
                <w:rFonts w:ascii="Arial" w:hAnsi="Arial" w:cs="Arial"/>
                <w:sz w:val="18"/>
                <w:szCs w:val="18"/>
              </w:rPr>
              <w:t xml:space="preserve">Fanouriakis A, Kostopoulou M, Alunno A, et al. 2019 update of the EULAR recommendations for the management of systemic lupus erythematosus. Annals of the Rheumatic Diseases </w:t>
            </w:r>
            <w:proofErr w:type="gramStart"/>
            <w:r>
              <w:rPr>
                <w:rFonts w:ascii="Arial" w:hAnsi="Arial" w:cs="Arial"/>
                <w:sz w:val="18"/>
                <w:szCs w:val="18"/>
              </w:rPr>
              <w:t>2019;78:736</w:t>
            </w:r>
            <w:proofErr w:type="gramEnd"/>
            <w:r>
              <w:rPr>
                <w:rFonts w:ascii="Arial" w:hAnsi="Arial" w:cs="Arial"/>
                <w:sz w:val="18"/>
                <w:szCs w:val="18"/>
              </w:rPr>
              <w:t xml:space="preserve">-745) </w:t>
            </w:r>
            <w:hyperlink r:id="rId34" w:history="1">
              <w:r>
                <w:rPr>
                  <w:rStyle w:val="Hyperlink"/>
                  <w:rFonts w:ascii="Arial" w:hAnsi="Arial" w:cs="Arial"/>
                  <w:color w:val="0000FF" w:themeColor="hyperlink"/>
                  <w:sz w:val="18"/>
                  <w:szCs w:val="18"/>
                </w:rPr>
                <w:t>https://ard.bmj.com/content/78/6/736</w:t>
              </w:r>
            </w:hyperlink>
            <w:r>
              <w:rPr>
                <w:rFonts w:ascii="Arial" w:hAnsi="Arial" w:cs="Arial"/>
                <w:sz w:val="18"/>
                <w:szCs w:val="18"/>
              </w:rPr>
              <w:t xml:space="preserve"> </w:t>
            </w:r>
          </w:p>
          <w:p w14:paraId="0A5F5989" w14:textId="77777777" w:rsidR="00897E3A" w:rsidRDefault="00897E3A" w:rsidP="00897E3A">
            <w:pPr>
              <w:spacing w:after="0" w:line="240" w:lineRule="auto"/>
              <w:rPr>
                <w:rFonts w:ascii="Arial" w:hAnsi="Arial" w:cs="Arial"/>
                <w:i/>
                <w:sz w:val="18"/>
                <w:szCs w:val="18"/>
              </w:rPr>
            </w:pPr>
            <w:r>
              <w:rPr>
                <w:rFonts w:ascii="Arial" w:hAnsi="Arial" w:cs="Arial"/>
                <w:i/>
                <w:sz w:val="18"/>
                <w:szCs w:val="18"/>
              </w:rPr>
              <w:t>Pemphigus vulgaris, atopic dermatitis, bullous pemphigoid, chronic actinic dermatitis, pyoderma gangrenosum, dermatomyositis, polymyositis, cutaneous vasculitis</w:t>
            </w:r>
          </w:p>
          <w:p w14:paraId="06FA8B9B" w14:textId="77777777" w:rsidR="00897E3A" w:rsidRDefault="00897E3A" w:rsidP="00897E3A">
            <w:pPr>
              <w:numPr>
                <w:ilvl w:val="0"/>
                <w:numId w:val="39"/>
              </w:numPr>
              <w:spacing w:after="0" w:line="240" w:lineRule="auto"/>
              <w:contextualSpacing/>
              <w:rPr>
                <w:rFonts w:ascii="Arial" w:hAnsi="Arial" w:cs="Arial"/>
                <w:sz w:val="18"/>
                <w:szCs w:val="18"/>
              </w:rPr>
            </w:pPr>
            <w:r>
              <w:rPr>
                <w:rFonts w:ascii="Arial" w:hAnsi="Arial" w:cs="Arial"/>
                <w:sz w:val="18"/>
                <w:szCs w:val="18"/>
              </w:rPr>
              <w:t xml:space="preserve">Harman KE, Brown D, Exton LS </w:t>
            </w:r>
            <w:r>
              <w:rPr>
                <w:rFonts w:ascii="Arial" w:hAnsi="Arial" w:cs="Arial"/>
                <w:i/>
                <w:sz w:val="18"/>
                <w:szCs w:val="18"/>
              </w:rPr>
              <w:t>et al</w:t>
            </w:r>
            <w:r>
              <w:rPr>
                <w:rFonts w:ascii="Arial" w:hAnsi="Arial" w:cs="Arial"/>
                <w:sz w:val="18"/>
                <w:szCs w:val="18"/>
              </w:rPr>
              <w:t xml:space="preserve">, British Association of Dermatologists guidelines for the management of pemphigus vulgaris 2017 Br J Dermatol 2017; 177: 1170-1201  </w:t>
            </w:r>
            <w:hyperlink r:id="rId35" w:history="1">
              <w:r>
                <w:rPr>
                  <w:rStyle w:val="Hyperlink"/>
                  <w:rFonts w:ascii="Arial" w:hAnsi="Arial" w:cs="Arial"/>
                  <w:color w:val="0000FF" w:themeColor="hyperlink"/>
                  <w:sz w:val="18"/>
                  <w:szCs w:val="18"/>
                </w:rPr>
                <w:t>https://onlinelibrary.wiley.com/doi/full/10.1111/bjd.15930</w:t>
              </w:r>
            </w:hyperlink>
          </w:p>
          <w:p w14:paraId="54CA5A93" w14:textId="77777777" w:rsidR="00897E3A" w:rsidRDefault="00897E3A" w:rsidP="00897E3A">
            <w:pPr>
              <w:numPr>
                <w:ilvl w:val="0"/>
                <w:numId w:val="39"/>
              </w:numPr>
              <w:spacing w:after="0" w:line="240" w:lineRule="auto"/>
              <w:contextualSpacing/>
              <w:rPr>
                <w:rFonts w:ascii="Arial" w:hAnsi="Arial" w:cs="Arial"/>
                <w:sz w:val="18"/>
                <w:szCs w:val="18"/>
              </w:rPr>
            </w:pPr>
            <w:r>
              <w:rPr>
                <w:rFonts w:ascii="Arial" w:hAnsi="Arial" w:cs="Arial"/>
                <w:sz w:val="18"/>
                <w:szCs w:val="18"/>
              </w:rPr>
              <w:t xml:space="preserve">Venning VA, Taghipour K, Mohd Mustapa MF et al British Association of Dermatologists' guidelines for the management of bullous pemphigoid 2012. Br J Dermatol 2012; 167: 1200-1214. </w:t>
            </w:r>
            <w:hyperlink r:id="rId36" w:history="1">
              <w:r>
                <w:rPr>
                  <w:rStyle w:val="Hyperlink"/>
                  <w:rFonts w:ascii="Arial" w:hAnsi="Arial" w:cs="Arial"/>
                  <w:color w:val="0000FF" w:themeColor="hyperlink"/>
                  <w:sz w:val="18"/>
                  <w:szCs w:val="18"/>
                </w:rPr>
                <w:t>https://onlinelibrary.wiley.com/doi/full/10.1111/bjd.12072</w:t>
              </w:r>
            </w:hyperlink>
          </w:p>
          <w:p w14:paraId="7201AC1D" w14:textId="77777777" w:rsidR="00897E3A" w:rsidRDefault="00897E3A" w:rsidP="00897E3A">
            <w:pPr>
              <w:numPr>
                <w:ilvl w:val="0"/>
                <w:numId w:val="39"/>
              </w:numPr>
              <w:spacing w:after="0" w:line="240" w:lineRule="auto"/>
              <w:contextualSpacing/>
              <w:rPr>
                <w:rFonts w:ascii="Arial" w:hAnsi="Arial" w:cs="Arial"/>
                <w:sz w:val="18"/>
                <w:szCs w:val="18"/>
              </w:rPr>
            </w:pPr>
            <w:r>
              <w:rPr>
                <w:rFonts w:ascii="Arial" w:hAnsi="Arial" w:cs="Arial"/>
                <w:bCs/>
                <w:sz w:val="18"/>
                <w:szCs w:val="18"/>
              </w:rPr>
              <w:t>R.B. Warren, S.C. Weatherhead, C.H. Smith, L.S. Exton, M.F. Mohd Mustapa, B. Kirby and P.</w:t>
            </w:r>
            <w:proofErr w:type="gramStart"/>
            <w:r>
              <w:rPr>
                <w:rFonts w:ascii="Arial" w:hAnsi="Arial" w:cs="Arial"/>
                <w:bCs/>
                <w:sz w:val="18"/>
                <w:szCs w:val="18"/>
              </w:rPr>
              <w:t>D.Yesudian</w:t>
            </w:r>
            <w:proofErr w:type="gramEnd"/>
            <w:r>
              <w:rPr>
                <w:rFonts w:ascii="Arial" w:hAnsi="Arial" w:cs="Arial"/>
                <w:bCs/>
                <w:sz w:val="18"/>
                <w:szCs w:val="18"/>
              </w:rPr>
              <w:t>. British Association of Dermatologists’ guidelines for the safe and effective prescribing of methotrexate for skin disease 2016. British Journal of Dermatology (2016) 175:23–44</w:t>
            </w:r>
          </w:p>
          <w:p w14:paraId="4534D842" w14:textId="77777777" w:rsidR="00897E3A" w:rsidRDefault="00897E3A" w:rsidP="00897E3A">
            <w:pPr>
              <w:spacing w:after="0" w:line="240" w:lineRule="auto"/>
              <w:rPr>
                <w:rFonts w:ascii="Arial" w:hAnsi="Arial" w:cs="Arial"/>
                <w:i/>
                <w:sz w:val="18"/>
                <w:szCs w:val="18"/>
              </w:rPr>
            </w:pPr>
            <w:r>
              <w:rPr>
                <w:rFonts w:ascii="Arial" w:hAnsi="Arial" w:cs="Arial"/>
                <w:i/>
                <w:sz w:val="18"/>
                <w:szCs w:val="18"/>
              </w:rPr>
              <w:t>Systemic vasculitis: granulomatosis with polyangiitis (GPA: formerly Wegener’s granulomatosis), microscopic polyangiitis (MPA), eosinophilic granulomatosis with polyangiitis (formerly Churg–Strauss syndrome)</w:t>
            </w:r>
          </w:p>
          <w:p w14:paraId="17594268" w14:textId="77777777" w:rsidR="00897E3A" w:rsidRDefault="00897E3A" w:rsidP="00897E3A">
            <w:pPr>
              <w:numPr>
                <w:ilvl w:val="0"/>
                <w:numId w:val="40"/>
              </w:numPr>
              <w:spacing w:after="0" w:line="240" w:lineRule="auto"/>
              <w:contextualSpacing/>
              <w:rPr>
                <w:rFonts w:ascii="Arial" w:hAnsi="Arial" w:cs="Arial"/>
                <w:sz w:val="18"/>
                <w:szCs w:val="18"/>
              </w:rPr>
            </w:pPr>
            <w:r>
              <w:rPr>
                <w:rFonts w:ascii="Arial" w:hAnsi="Arial" w:cs="Arial"/>
                <w:sz w:val="18"/>
                <w:szCs w:val="18"/>
              </w:rPr>
              <w:t xml:space="preserve">Ntatsaki E et al, BSR and BHPR guideline for the management of adults with ANCA-associated vasculitis, Rheumatology, Volume 53, Issue 12, December 2014, Pages 2306–2309, </w:t>
            </w:r>
            <w:hyperlink r:id="rId37" w:history="1">
              <w:r>
                <w:rPr>
                  <w:rStyle w:val="Hyperlink"/>
                  <w:rFonts w:ascii="Arial" w:hAnsi="Arial" w:cs="Arial"/>
                  <w:color w:val="0000FF" w:themeColor="hyperlink"/>
                  <w:sz w:val="18"/>
                  <w:szCs w:val="18"/>
                </w:rPr>
                <w:t>https://doi.org/10.1093/rheumatology/ket445</w:t>
              </w:r>
            </w:hyperlink>
            <w:r>
              <w:rPr>
                <w:rFonts w:ascii="Arial" w:hAnsi="Arial" w:cs="Arial"/>
                <w:sz w:val="18"/>
                <w:szCs w:val="18"/>
              </w:rPr>
              <w:t xml:space="preserve"> </w:t>
            </w:r>
          </w:p>
          <w:p w14:paraId="56554EDF" w14:textId="77777777" w:rsidR="00897E3A" w:rsidRDefault="00897E3A" w:rsidP="00897E3A">
            <w:pPr>
              <w:numPr>
                <w:ilvl w:val="0"/>
                <w:numId w:val="40"/>
              </w:numPr>
              <w:spacing w:after="0" w:line="240" w:lineRule="auto"/>
              <w:contextualSpacing/>
              <w:rPr>
                <w:rFonts w:ascii="Arial" w:hAnsi="Arial" w:cs="Arial"/>
                <w:sz w:val="18"/>
                <w:szCs w:val="18"/>
              </w:rPr>
            </w:pPr>
            <w:r>
              <w:rPr>
                <w:rFonts w:ascii="Arial" w:hAnsi="Arial" w:cs="Arial"/>
                <w:sz w:val="18"/>
                <w:szCs w:val="18"/>
              </w:rPr>
              <w:t xml:space="preserve">Yates M, Watts RA, Bajema IM, et al.  EULAR/ERA-EDTA recommendations for the management of ANCA-associated vasculitis.  Annals of the Rheumatic Diseases </w:t>
            </w:r>
            <w:proofErr w:type="gramStart"/>
            <w:r>
              <w:rPr>
                <w:rFonts w:ascii="Arial" w:hAnsi="Arial" w:cs="Arial"/>
                <w:sz w:val="18"/>
                <w:szCs w:val="18"/>
              </w:rPr>
              <w:t>2016;75:1583</w:t>
            </w:r>
            <w:proofErr w:type="gramEnd"/>
            <w:r>
              <w:rPr>
                <w:rFonts w:ascii="Arial" w:hAnsi="Arial" w:cs="Arial"/>
                <w:sz w:val="18"/>
                <w:szCs w:val="18"/>
              </w:rPr>
              <w:t xml:space="preserve">-1594 </w:t>
            </w:r>
            <w:hyperlink r:id="rId38" w:history="1">
              <w:r>
                <w:rPr>
                  <w:rStyle w:val="Hyperlink"/>
                  <w:rFonts w:ascii="Arial" w:hAnsi="Arial" w:cs="Arial"/>
                  <w:color w:val="0000FF" w:themeColor="hyperlink"/>
                  <w:sz w:val="18"/>
                  <w:szCs w:val="18"/>
                </w:rPr>
                <w:t>https://ard.bmj.com/content/75/9/1583</w:t>
              </w:r>
            </w:hyperlink>
          </w:p>
          <w:p w14:paraId="21BF989B" w14:textId="77777777" w:rsidR="00897E3A" w:rsidRDefault="00897E3A" w:rsidP="00897E3A">
            <w:pPr>
              <w:spacing w:line="240" w:lineRule="auto"/>
              <w:contextualSpacing/>
              <w:rPr>
                <w:rFonts w:ascii="Arial" w:hAnsi="Arial" w:cs="Arial"/>
                <w:i/>
                <w:sz w:val="18"/>
                <w:szCs w:val="18"/>
              </w:rPr>
            </w:pPr>
            <w:r>
              <w:rPr>
                <w:rFonts w:ascii="Arial" w:hAnsi="Arial" w:cs="Arial"/>
                <w:i/>
                <w:sz w:val="18"/>
                <w:szCs w:val="18"/>
              </w:rPr>
              <w:t>Pulmonary Sarcoidosis</w:t>
            </w:r>
          </w:p>
          <w:p w14:paraId="6B524A78" w14:textId="4E4E32BF" w:rsidR="0072705F" w:rsidRPr="0039285C" w:rsidRDefault="00897E3A" w:rsidP="00897E3A">
            <w:pPr>
              <w:pStyle w:val="ListParagraph"/>
              <w:numPr>
                <w:ilvl w:val="0"/>
                <w:numId w:val="27"/>
              </w:numPr>
              <w:spacing w:after="0" w:line="240" w:lineRule="auto"/>
              <w:rPr>
                <w:rFonts w:ascii="Arial" w:hAnsi="Arial" w:cs="Arial"/>
                <w:sz w:val="20"/>
                <w:szCs w:val="20"/>
              </w:rPr>
            </w:pPr>
            <w:r>
              <w:rPr>
                <w:rFonts w:ascii="Arial" w:hAnsi="Arial" w:cs="Arial"/>
                <w:sz w:val="18"/>
                <w:szCs w:val="18"/>
              </w:rPr>
              <w:t xml:space="preserve">NHS England Clinical Commissioning Policy: Infliximab for Progressive Pulmonary Sarcoidosis in adults – (references use of methotrexate) </w:t>
            </w:r>
            <w:hyperlink r:id="rId39" w:history="1">
              <w:r>
                <w:rPr>
                  <w:rStyle w:val="Hyperlink"/>
                  <w:rFonts w:ascii="Arial" w:hAnsi="Arial" w:cs="Arial"/>
                  <w:sz w:val="18"/>
                  <w:szCs w:val="18"/>
                </w:rPr>
                <w:t>https://www.england.nhs.uk/wp-content/uploads/2018/11/infliximab-progressive-pulmonary-sarcoidosis-adults.pdf</w:t>
              </w:r>
            </w:hyperlink>
            <w:r>
              <w:rPr>
                <w:rFonts w:ascii="Arial" w:hAnsi="Arial" w:cs="Arial"/>
                <w:sz w:val="20"/>
                <w:szCs w:val="20"/>
              </w:rPr>
              <w:t xml:space="preserve"> </w:t>
            </w:r>
            <w:r w:rsidR="0072705F">
              <w:rPr>
                <w:rFonts w:ascii="Arial" w:hAnsi="Arial" w:cs="Arial"/>
                <w:sz w:val="20"/>
                <w:szCs w:val="20"/>
              </w:rPr>
              <w:t xml:space="preserve"> </w:t>
            </w:r>
          </w:p>
        </w:tc>
      </w:tr>
    </w:tbl>
    <w:p w14:paraId="45C4F146" w14:textId="77777777" w:rsidR="0072705F" w:rsidRDefault="0072705F" w:rsidP="007E0C3B">
      <w:pPr>
        <w:spacing w:after="0" w:line="240" w:lineRule="auto"/>
        <w:rPr>
          <w:b/>
        </w:rPr>
      </w:pPr>
    </w:p>
    <w:p w14:paraId="2F68D283" w14:textId="05A17108" w:rsidR="0072705F" w:rsidRDefault="0072705F" w:rsidP="0072705F">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Times New Roman"/>
          <w:b/>
          <w:bCs/>
          <w:szCs w:val="24"/>
        </w:rPr>
      </w:pPr>
      <w:r w:rsidRPr="006F4129">
        <w:rPr>
          <w:rFonts w:ascii="Arial" w:eastAsia="Times New Roman" w:hAnsi="Arial" w:cs="Times New Roman"/>
          <w:b/>
          <w:bCs/>
          <w:szCs w:val="24"/>
        </w:rPr>
        <w:t>REFERENCES</w:t>
      </w:r>
    </w:p>
    <w:p w14:paraId="2AEA75D8" w14:textId="77777777" w:rsidR="00897E3A" w:rsidRDefault="00897E3A" w:rsidP="00CF3656">
      <w:pPr>
        <w:pStyle w:val="ListParagraph"/>
        <w:keepNext/>
        <w:numPr>
          <w:ilvl w:val="0"/>
          <w:numId w:val="41"/>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sz w:val="16"/>
          <w:szCs w:val="16"/>
        </w:rPr>
      </w:pPr>
      <w:r>
        <w:rPr>
          <w:rFonts w:ascii="Arial" w:eastAsia="Times New Roman" w:hAnsi="Arial" w:cs="Arial"/>
          <w:bCs/>
          <w:sz w:val="16"/>
          <w:szCs w:val="16"/>
        </w:rPr>
        <w:t xml:space="preserve">Ledingham J et al. BSR and BHPR guideline for the prescription and monitoring of non-biologic disease-modifying anti-rheumatic drugs. Rheumatology 2017, 56(6): 865–868. </w:t>
      </w:r>
      <w:hyperlink r:id="rId40" w:history="1">
        <w:r>
          <w:rPr>
            <w:rStyle w:val="Hyperlink"/>
            <w:rFonts w:ascii="Arial" w:eastAsia="Times New Roman" w:hAnsi="Arial" w:cs="Arial"/>
            <w:bCs/>
            <w:sz w:val="16"/>
            <w:szCs w:val="16"/>
          </w:rPr>
          <w:t>http://doi.org/10.1093/rheumatology/kew479</w:t>
        </w:r>
      </w:hyperlink>
      <w:r>
        <w:rPr>
          <w:rFonts w:ascii="Arial" w:eastAsia="Times New Roman" w:hAnsi="Arial" w:cs="Arial"/>
          <w:bCs/>
          <w:sz w:val="16"/>
          <w:szCs w:val="16"/>
        </w:rPr>
        <w:t xml:space="preserve">. </w:t>
      </w:r>
    </w:p>
    <w:p w14:paraId="7FB7B050" w14:textId="77777777" w:rsidR="00897E3A" w:rsidRDefault="00897E3A" w:rsidP="00CF3656">
      <w:pPr>
        <w:pStyle w:val="ListParagraph"/>
        <w:keepNext/>
        <w:numPr>
          <w:ilvl w:val="0"/>
          <w:numId w:val="41"/>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sz w:val="16"/>
          <w:szCs w:val="16"/>
        </w:rPr>
      </w:pPr>
      <w:r>
        <w:rPr>
          <w:rFonts w:ascii="Arial" w:eastAsia="Times New Roman" w:hAnsi="Arial" w:cs="Arial"/>
          <w:bCs/>
          <w:sz w:val="16"/>
          <w:szCs w:val="16"/>
        </w:rPr>
        <w:t xml:space="preserve">Flint et al, BSR and BHPR guideline on prescribing drugs in pregnancy and breastfeeding—Part I: standard and biologic disease modifying anti-rheumatic drugs and corticosteroids. Rheumatology (Oxford) 2016; 55 (9): 1693-1697. </w:t>
      </w:r>
      <w:hyperlink r:id="rId41" w:history="1">
        <w:r>
          <w:rPr>
            <w:rStyle w:val="Hyperlink"/>
            <w:rFonts w:ascii="Arial" w:eastAsia="Times New Roman" w:hAnsi="Arial" w:cs="Arial"/>
            <w:bCs/>
            <w:sz w:val="16"/>
            <w:szCs w:val="16"/>
          </w:rPr>
          <w:t>http://doi.org/10.1093/rheumatology/kev404</w:t>
        </w:r>
      </w:hyperlink>
      <w:r>
        <w:rPr>
          <w:rFonts w:ascii="Arial" w:eastAsia="Times New Roman" w:hAnsi="Arial" w:cs="Arial"/>
          <w:bCs/>
          <w:sz w:val="16"/>
          <w:szCs w:val="16"/>
        </w:rPr>
        <w:t xml:space="preserve">  </w:t>
      </w:r>
    </w:p>
    <w:p w14:paraId="44F3ECE4" w14:textId="77777777" w:rsidR="00897E3A" w:rsidRDefault="00897E3A" w:rsidP="00CF3656">
      <w:pPr>
        <w:pStyle w:val="ListParagraph"/>
        <w:keepNext/>
        <w:numPr>
          <w:ilvl w:val="0"/>
          <w:numId w:val="41"/>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sz w:val="16"/>
          <w:szCs w:val="16"/>
        </w:rPr>
      </w:pPr>
      <w:r>
        <w:rPr>
          <w:rFonts w:ascii="Arial" w:eastAsia="Times New Roman" w:hAnsi="Arial" w:cs="Arial"/>
          <w:bCs/>
          <w:sz w:val="16"/>
          <w:szCs w:val="16"/>
        </w:rPr>
        <w:t>R.B. Warren, S.C. Weatherhead, C.H. Smith, L.S. Exton, M.F. Mohd Mustapa, B. Kirby and P.</w:t>
      </w:r>
      <w:proofErr w:type="gramStart"/>
      <w:r>
        <w:rPr>
          <w:rFonts w:ascii="Arial" w:eastAsia="Times New Roman" w:hAnsi="Arial" w:cs="Arial"/>
          <w:bCs/>
          <w:sz w:val="16"/>
          <w:szCs w:val="16"/>
        </w:rPr>
        <w:t>D.Yesudian</w:t>
      </w:r>
      <w:proofErr w:type="gramEnd"/>
      <w:r>
        <w:rPr>
          <w:rFonts w:ascii="Arial" w:eastAsia="Times New Roman" w:hAnsi="Arial" w:cs="Arial"/>
          <w:bCs/>
          <w:sz w:val="16"/>
          <w:szCs w:val="16"/>
        </w:rPr>
        <w:t>. British Association of Dermatologists’ guidelines for the safe and effective prescribing of methotrexate for skin disease 2016. British Journal of Dermatology (2016) 175:23–44</w:t>
      </w:r>
    </w:p>
    <w:p w14:paraId="5CD3BC2C" w14:textId="77777777" w:rsidR="00897E3A" w:rsidRDefault="00897E3A" w:rsidP="00CF3656">
      <w:pPr>
        <w:pStyle w:val="ListParagraph"/>
        <w:keepNext/>
        <w:numPr>
          <w:ilvl w:val="0"/>
          <w:numId w:val="41"/>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sz w:val="16"/>
          <w:szCs w:val="16"/>
        </w:rPr>
      </w:pPr>
      <w:r>
        <w:rPr>
          <w:rFonts w:ascii="Arial" w:eastAsia="Times New Roman" w:hAnsi="Arial" w:cs="Arial"/>
          <w:bCs/>
          <w:sz w:val="16"/>
          <w:szCs w:val="16"/>
        </w:rPr>
        <w:t xml:space="preserve">Methotrexate SPC (Summary of product specification): Sept 2018 </w:t>
      </w:r>
      <w:hyperlink r:id="rId42" w:history="1">
        <w:r>
          <w:rPr>
            <w:rStyle w:val="Hyperlink"/>
            <w:rFonts w:ascii="Arial" w:eastAsia="Times New Roman" w:hAnsi="Arial" w:cs="Arial"/>
            <w:bCs/>
            <w:sz w:val="16"/>
            <w:szCs w:val="16"/>
          </w:rPr>
          <w:t>https://www.medicines.org.uk/emc/product/511/smpc</w:t>
        </w:r>
      </w:hyperlink>
      <w:r>
        <w:rPr>
          <w:rFonts w:ascii="Arial" w:eastAsia="Times New Roman" w:hAnsi="Arial" w:cs="Arial"/>
          <w:bCs/>
          <w:sz w:val="16"/>
          <w:szCs w:val="16"/>
        </w:rPr>
        <w:t xml:space="preserve">  </w:t>
      </w:r>
    </w:p>
    <w:p w14:paraId="41E6B98D" w14:textId="77777777" w:rsidR="00897E3A" w:rsidRDefault="00897E3A" w:rsidP="00CF3656">
      <w:pPr>
        <w:pStyle w:val="ListParagraph"/>
        <w:keepNext/>
        <w:numPr>
          <w:ilvl w:val="0"/>
          <w:numId w:val="41"/>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sz w:val="16"/>
          <w:szCs w:val="16"/>
        </w:rPr>
      </w:pPr>
      <w:r>
        <w:rPr>
          <w:rFonts w:ascii="Arial" w:eastAsia="Times New Roman" w:hAnsi="Arial" w:cs="Arial"/>
          <w:bCs/>
          <w:sz w:val="16"/>
          <w:szCs w:val="16"/>
        </w:rPr>
        <w:t xml:space="preserve">NICE CKS DMARDs: Last revised in July 2018; What monitoring is required for methotrexate? </w:t>
      </w:r>
      <w:hyperlink r:id="rId43" w:anchor="!scenarioRecommendation:3" w:history="1">
        <w:r>
          <w:rPr>
            <w:rStyle w:val="Hyperlink"/>
            <w:rFonts w:ascii="Arial" w:eastAsia="Times New Roman" w:hAnsi="Arial" w:cs="Arial"/>
            <w:bCs/>
            <w:sz w:val="16"/>
            <w:szCs w:val="16"/>
          </w:rPr>
          <w:t>https://cks.nice.org.uk/dmards#!scenarioRecommendation:3</w:t>
        </w:r>
      </w:hyperlink>
      <w:r>
        <w:rPr>
          <w:rFonts w:ascii="Arial" w:eastAsia="Times New Roman" w:hAnsi="Arial" w:cs="Arial"/>
          <w:bCs/>
          <w:sz w:val="16"/>
          <w:szCs w:val="16"/>
        </w:rPr>
        <w:t xml:space="preserve"> </w:t>
      </w:r>
    </w:p>
    <w:p w14:paraId="4B6940B2" w14:textId="77777777" w:rsidR="00897E3A" w:rsidRDefault="00897E3A" w:rsidP="00CF3656">
      <w:pPr>
        <w:pStyle w:val="ListParagraph"/>
        <w:keepNext/>
        <w:numPr>
          <w:ilvl w:val="0"/>
          <w:numId w:val="41"/>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sz w:val="16"/>
          <w:szCs w:val="16"/>
        </w:rPr>
      </w:pPr>
      <w:r>
        <w:rPr>
          <w:rFonts w:ascii="Arial" w:eastAsia="Times New Roman" w:hAnsi="Arial" w:cs="Arial"/>
          <w:bCs/>
          <w:sz w:val="16"/>
          <w:szCs w:val="16"/>
        </w:rPr>
        <w:t xml:space="preserve">The Green Book Immunisation against infectious disease </w:t>
      </w:r>
      <w:hyperlink r:id="rId44" w:history="1">
        <w:r>
          <w:rPr>
            <w:rStyle w:val="Hyperlink"/>
            <w:rFonts w:ascii="Arial" w:eastAsia="Times New Roman" w:hAnsi="Arial" w:cs="Arial"/>
            <w:bCs/>
            <w:sz w:val="16"/>
            <w:szCs w:val="16"/>
          </w:rPr>
          <w:t>https://www.gov.uk/government/collections/immunisation-against-infectious-disease-the-green-book</w:t>
        </w:r>
      </w:hyperlink>
      <w:r>
        <w:rPr>
          <w:rFonts w:ascii="Arial" w:eastAsia="Times New Roman" w:hAnsi="Arial" w:cs="Arial"/>
          <w:bCs/>
          <w:sz w:val="16"/>
          <w:szCs w:val="16"/>
        </w:rPr>
        <w:t xml:space="preserve"> </w:t>
      </w:r>
    </w:p>
    <w:p w14:paraId="1FE3CAC7" w14:textId="77777777" w:rsidR="00897E3A" w:rsidRDefault="00897E3A" w:rsidP="00CF3656">
      <w:pPr>
        <w:pStyle w:val="ListParagraph"/>
        <w:keepNext/>
        <w:numPr>
          <w:ilvl w:val="0"/>
          <w:numId w:val="41"/>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sz w:val="16"/>
          <w:szCs w:val="16"/>
        </w:rPr>
      </w:pPr>
      <w:r>
        <w:rPr>
          <w:rFonts w:ascii="Arial" w:eastAsia="Times New Roman" w:hAnsi="Arial" w:cs="Arial"/>
          <w:bCs/>
          <w:sz w:val="16"/>
          <w:szCs w:val="16"/>
        </w:rPr>
        <w:t xml:space="preserve">Specialist Pharmacy Service: </w:t>
      </w:r>
      <w:r>
        <w:rPr>
          <w:rFonts w:ascii="Arial" w:hAnsi="Arial" w:cs="Arial"/>
          <w:sz w:val="16"/>
          <w:szCs w:val="16"/>
        </w:rPr>
        <w:t xml:space="preserve">Suggestions for Drug Monitoring in Adults in Primary Care, October 2017: </w:t>
      </w:r>
      <w:hyperlink r:id="rId45" w:history="1">
        <w:r>
          <w:rPr>
            <w:rStyle w:val="Hyperlink"/>
            <w:rFonts w:ascii="Arial" w:hAnsi="Arial" w:cs="Arial"/>
            <w:sz w:val="16"/>
            <w:szCs w:val="16"/>
          </w:rPr>
          <w:t>https://www.sps.nhs.uk/wp-content/uploads/2017/12/Drug-monitoring_October-2017.pdf</w:t>
        </w:r>
      </w:hyperlink>
      <w:r>
        <w:rPr>
          <w:rFonts w:ascii="Arial" w:hAnsi="Arial" w:cs="Arial"/>
          <w:sz w:val="16"/>
          <w:szCs w:val="16"/>
        </w:rPr>
        <w:t xml:space="preserve"> </w:t>
      </w:r>
    </w:p>
    <w:p w14:paraId="00E6ED2B" w14:textId="5557C716" w:rsidR="00897E3A" w:rsidRPr="00C06FA7" w:rsidRDefault="00897E3A" w:rsidP="00CF3656">
      <w:pPr>
        <w:pStyle w:val="ListParagraph"/>
        <w:keepNext/>
        <w:numPr>
          <w:ilvl w:val="0"/>
          <w:numId w:val="41"/>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sz w:val="16"/>
          <w:szCs w:val="16"/>
        </w:rPr>
      </w:pPr>
      <w:r>
        <w:rPr>
          <w:rFonts w:ascii="Arial" w:eastAsia="Times New Roman" w:hAnsi="Arial" w:cs="Arial"/>
          <w:bCs/>
          <w:sz w:val="16"/>
          <w:szCs w:val="16"/>
        </w:rPr>
        <w:t xml:space="preserve">MHRA Drug Safety Update, September 2020 </w:t>
      </w:r>
      <w:r>
        <w:rPr>
          <w:rFonts w:ascii="Arial" w:hAnsi="Arial" w:cs="Arial"/>
          <w:sz w:val="16"/>
          <w:szCs w:val="16"/>
        </w:rPr>
        <w:t xml:space="preserve">- Methotrexate once-weekly for autoimmune diseases: new measures to reduce risk of fatal overdose due to inadvertent daily instead of weekly dosing </w:t>
      </w:r>
      <w:hyperlink r:id="rId46" w:history="1">
        <w:r w:rsidRPr="00C06FA7">
          <w:rPr>
            <w:rStyle w:val="Hyperlink"/>
            <w:rFonts w:ascii="Arial" w:hAnsi="Arial" w:cs="Arial"/>
            <w:sz w:val="16"/>
            <w:szCs w:val="16"/>
          </w:rPr>
          <w:t>https://www.gov.uk/drug-safety-update/methotrexate-once-weekly-for-autoimmune-diseases-new-measures-to-reduce-risk-of-fatal-overdose-due-to-inadvertent-daily-instead-of-weekly-dosing</w:t>
        </w:r>
      </w:hyperlink>
      <w:r w:rsidRPr="00C06FA7">
        <w:rPr>
          <w:rFonts w:ascii="Arial" w:hAnsi="Arial" w:cs="Arial"/>
          <w:sz w:val="16"/>
          <w:szCs w:val="16"/>
        </w:rPr>
        <w:t xml:space="preserve"> </w:t>
      </w:r>
    </w:p>
    <w:p w14:paraId="4ACF9980" w14:textId="77777777" w:rsidR="007D4DA1" w:rsidRPr="00C06FA7" w:rsidRDefault="007D4DA1" w:rsidP="00CF3656">
      <w:pPr>
        <w:pStyle w:val="ListParagraph"/>
        <w:keepNext/>
        <w:numPr>
          <w:ilvl w:val="0"/>
          <w:numId w:val="41"/>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sz w:val="16"/>
          <w:szCs w:val="16"/>
        </w:rPr>
      </w:pPr>
      <w:r w:rsidRPr="00C06FA7">
        <w:rPr>
          <w:rFonts w:ascii="Arial" w:eastAsia="Times New Roman" w:hAnsi="Arial" w:cs="Arial"/>
          <w:bCs/>
          <w:sz w:val="16"/>
          <w:szCs w:val="16"/>
        </w:rPr>
        <w:t xml:space="preserve">NHS England National Shared Care protocols </w:t>
      </w:r>
      <w:hyperlink r:id="rId47" w:anchor="heading-13" w:history="1">
        <w:r w:rsidRPr="00C06FA7">
          <w:rPr>
            <w:rStyle w:val="Hyperlink"/>
            <w:rFonts w:ascii="Arial" w:eastAsia="Times New Roman" w:hAnsi="Arial" w:cs="Arial"/>
            <w:bCs/>
            <w:sz w:val="16"/>
            <w:szCs w:val="16"/>
          </w:rPr>
          <w:t>https://www.england.nhs.uk/publication/shared-care-protocols/#heading-13</w:t>
        </w:r>
      </w:hyperlink>
      <w:r w:rsidRPr="00C06FA7">
        <w:rPr>
          <w:rFonts w:ascii="Arial" w:eastAsia="Times New Roman" w:hAnsi="Arial" w:cs="Arial"/>
          <w:bCs/>
          <w:sz w:val="16"/>
          <w:szCs w:val="16"/>
        </w:rPr>
        <w:t xml:space="preserve"> </w:t>
      </w:r>
    </w:p>
    <w:p w14:paraId="1940922D" w14:textId="77777777" w:rsidR="007D4DA1" w:rsidRPr="00C06FA7" w:rsidRDefault="007D4DA1" w:rsidP="00CF3656">
      <w:pPr>
        <w:pStyle w:val="ListParagraph"/>
        <w:keepNext/>
        <w:numPr>
          <w:ilvl w:val="0"/>
          <w:numId w:val="41"/>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sz w:val="16"/>
          <w:szCs w:val="16"/>
        </w:rPr>
      </w:pPr>
      <w:r w:rsidRPr="00C06FA7">
        <w:rPr>
          <w:rFonts w:ascii="Arial" w:eastAsia="Times New Roman" w:hAnsi="Arial" w:cs="Arial"/>
          <w:bCs/>
          <w:sz w:val="16"/>
          <w:szCs w:val="16"/>
        </w:rPr>
        <w:t xml:space="preserve">MHRA Aug 2023 Methotrexate: advise patients to take precautions in the sun to avoid photosensitivity reactions: </w:t>
      </w:r>
      <w:hyperlink r:id="rId48" w:history="1">
        <w:r w:rsidRPr="00C06FA7">
          <w:rPr>
            <w:rStyle w:val="Hyperlink"/>
            <w:rFonts w:ascii="Arial" w:eastAsia="Times New Roman" w:hAnsi="Arial" w:cs="Arial"/>
            <w:bCs/>
            <w:sz w:val="16"/>
            <w:szCs w:val="16"/>
          </w:rPr>
          <w:t>https://www.gov.uk/drug-safety-update/methotrexate-advise-patients-to-take-precautions-in-the-sun-to-avoid-photosensitivity-reactions</w:t>
        </w:r>
      </w:hyperlink>
      <w:r w:rsidRPr="00C06FA7">
        <w:rPr>
          <w:rFonts w:ascii="Arial" w:eastAsia="Times New Roman" w:hAnsi="Arial" w:cs="Arial"/>
          <w:bCs/>
          <w:sz w:val="16"/>
          <w:szCs w:val="16"/>
        </w:rPr>
        <w:t xml:space="preserve">  accessed 10/01/24</w:t>
      </w:r>
    </w:p>
    <w:p w14:paraId="237D85AA" w14:textId="5363A3A1" w:rsidR="007D4DA1" w:rsidRPr="00C06FA7" w:rsidRDefault="007D4DA1" w:rsidP="00CF3656">
      <w:pPr>
        <w:pStyle w:val="ListParagraph"/>
        <w:keepNext/>
        <w:numPr>
          <w:ilvl w:val="0"/>
          <w:numId w:val="41"/>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sz w:val="16"/>
          <w:szCs w:val="16"/>
        </w:rPr>
      </w:pPr>
      <w:r w:rsidRPr="00C06FA7">
        <w:rPr>
          <w:rFonts w:ascii="Arial" w:eastAsia="Times New Roman" w:hAnsi="Arial" w:cs="Arial"/>
          <w:bCs/>
          <w:sz w:val="16"/>
          <w:szCs w:val="16"/>
        </w:rPr>
        <w:t xml:space="preserve">BNF Methotrexate Cautionary Labels: </w:t>
      </w:r>
      <w:hyperlink r:id="rId49" w:anchor="tablet" w:history="1">
        <w:r w:rsidRPr="00C06FA7">
          <w:rPr>
            <w:rStyle w:val="Hyperlink"/>
            <w:rFonts w:ascii="Arial" w:eastAsia="Times New Roman" w:hAnsi="Arial" w:cs="Arial"/>
            <w:bCs/>
            <w:sz w:val="16"/>
            <w:szCs w:val="16"/>
          </w:rPr>
          <w:t>https://bnf.nice.org.uk/drugs/methotrexate/medicinal-forms/#tablet</w:t>
        </w:r>
      </w:hyperlink>
      <w:r w:rsidRPr="00C06FA7">
        <w:rPr>
          <w:rFonts w:ascii="Arial" w:eastAsia="Times New Roman" w:hAnsi="Arial" w:cs="Arial"/>
          <w:bCs/>
          <w:sz w:val="16"/>
          <w:szCs w:val="16"/>
        </w:rPr>
        <w:t xml:space="preserve">  accessed 10/01/24</w:t>
      </w:r>
    </w:p>
    <w:p w14:paraId="4D645F84" w14:textId="77777777" w:rsidR="008A3D1B" w:rsidRDefault="008A3D1B" w:rsidP="00DD236B">
      <w:pPr>
        <w:rPr>
          <w:rFonts w:ascii="Arial" w:hAnsi="Arial" w:cs="Arial"/>
          <w:b/>
          <w:sz w:val="28"/>
          <w:u w:val="single"/>
        </w:rPr>
      </w:pPr>
    </w:p>
    <w:p w14:paraId="22ECC23D" w14:textId="0C8109DF" w:rsidR="00CB147C" w:rsidRPr="00CB147C" w:rsidRDefault="00CB147C" w:rsidP="00C5458F">
      <w:pPr>
        <w:jc w:val="center"/>
        <w:rPr>
          <w:rFonts w:ascii="Arial" w:hAnsi="Arial" w:cs="Arial"/>
          <w:b/>
          <w:sz w:val="28"/>
          <w:u w:val="single"/>
        </w:rPr>
      </w:pPr>
      <w:r w:rsidRPr="00CB147C">
        <w:rPr>
          <w:rFonts w:ascii="Arial" w:hAnsi="Arial" w:cs="Arial"/>
          <w:b/>
          <w:sz w:val="28"/>
          <w:u w:val="single"/>
        </w:rPr>
        <w:lastRenderedPageBreak/>
        <w:t>GP Considerations for Shared Care</w:t>
      </w:r>
    </w:p>
    <w:p w14:paraId="6FE4760C" w14:textId="77777777" w:rsidR="00CB147C" w:rsidRPr="00CB147C" w:rsidRDefault="00CB147C" w:rsidP="00CB147C">
      <w:pPr>
        <w:autoSpaceDE w:val="0"/>
        <w:autoSpaceDN w:val="0"/>
        <w:adjustRightInd w:val="0"/>
        <w:spacing w:after="0" w:line="240" w:lineRule="auto"/>
        <w:contextualSpacing/>
        <w:jc w:val="both"/>
        <w:rPr>
          <w:rFonts w:ascii="Arial" w:hAnsi="Arial" w:cs="Arial"/>
          <w:bCs/>
          <w:lang w:eastAsia="en-GB"/>
        </w:rPr>
      </w:pPr>
      <w:r w:rsidRPr="00CB147C">
        <w:rPr>
          <w:rFonts w:ascii="Arial" w:hAnsi="Arial" w:cs="Arial"/>
          <w:lang w:eastAsia="en-GB"/>
        </w:rPr>
        <w:t>This shared care agreement outlines suggested management for the prescribing of the specified drug</w:t>
      </w:r>
      <w:r>
        <w:rPr>
          <w:rFonts w:ascii="Arial" w:hAnsi="Arial" w:cs="Arial"/>
          <w:lang w:eastAsia="en-GB"/>
        </w:rPr>
        <w:t>(s)</w:t>
      </w:r>
      <w:r w:rsidRPr="00CB147C">
        <w:rPr>
          <w:rFonts w:ascii="Arial" w:hAnsi="Arial" w:cs="Arial"/>
          <w:lang w:eastAsia="en-GB"/>
        </w:rPr>
        <w:t xml:space="preserve"> and indication(s) when the responsibility is shared between the specialist and general practitioner (GP). </w:t>
      </w:r>
      <w:r w:rsidRPr="00CB147C">
        <w:rPr>
          <w:rFonts w:ascii="Arial" w:hAnsi="Arial" w:cs="Arial"/>
          <w:bCs/>
          <w:lang w:eastAsia="en-GB"/>
        </w:rPr>
        <w:t xml:space="preserve">Sharing of care assumes communication between the specialist, GP and patient. It is important that patients are consulted about treatment and </w:t>
      </w:r>
      <w:proofErr w:type="gramStart"/>
      <w:r w:rsidRPr="00CB147C">
        <w:rPr>
          <w:rFonts w:ascii="Arial" w:hAnsi="Arial" w:cs="Arial"/>
          <w:bCs/>
          <w:lang w:eastAsia="en-GB"/>
        </w:rPr>
        <w:t>are in agreement</w:t>
      </w:r>
      <w:proofErr w:type="gramEnd"/>
      <w:r w:rsidRPr="00CB147C">
        <w:rPr>
          <w:rFonts w:ascii="Arial" w:hAnsi="Arial" w:cs="Arial"/>
          <w:bCs/>
          <w:lang w:eastAsia="en-GB"/>
        </w:rPr>
        <w:t xml:space="preserve"> with it. The intention to share care should be explained to the patient by the doctor initiating treatment and consent obtained. </w:t>
      </w:r>
    </w:p>
    <w:p w14:paraId="2A91AD09" w14:textId="77777777" w:rsidR="00CB147C" w:rsidRDefault="00CB147C" w:rsidP="00CB147C">
      <w:pPr>
        <w:pStyle w:val="Default"/>
        <w:contextualSpacing/>
        <w:jc w:val="both"/>
        <w:rPr>
          <w:b/>
          <w:bCs/>
          <w:sz w:val="22"/>
          <w:szCs w:val="22"/>
        </w:rPr>
      </w:pPr>
    </w:p>
    <w:p w14:paraId="31A803B8" w14:textId="77777777" w:rsidR="00CB147C" w:rsidRPr="00441277" w:rsidRDefault="00CB147C" w:rsidP="00CB147C">
      <w:pPr>
        <w:pStyle w:val="Default"/>
        <w:contextualSpacing/>
        <w:jc w:val="both"/>
        <w:rPr>
          <w:sz w:val="22"/>
          <w:szCs w:val="22"/>
        </w:rPr>
      </w:pPr>
      <w:r>
        <w:rPr>
          <w:sz w:val="22"/>
          <w:szCs w:val="22"/>
        </w:rPr>
        <w:t xml:space="preserve">Prescribing is to be initiated in secondary care by a provider </w:t>
      </w:r>
      <w:r w:rsidR="00B10C94">
        <w:rPr>
          <w:sz w:val="22"/>
          <w:szCs w:val="22"/>
        </w:rPr>
        <w:t xml:space="preserve">Trust </w:t>
      </w:r>
      <w:r w:rsidRPr="00441277">
        <w:rPr>
          <w:sz w:val="22"/>
          <w:szCs w:val="22"/>
        </w:rPr>
        <w:t>specialist</w:t>
      </w:r>
      <w:r>
        <w:rPr>
          <w:sz w:val="22"/>
          <w:szCs w:val="22"/>
        </w:rPr>
        <w:t xml:space="preserve"> and </w:t>
      </w:r>
      <w:r w:rsidRPr="000860A1">
        <w:rPr>
          <w:sz w:val="22"/>
          <w:szCs w:val="22"/>
        </w:rPr>
        <w:t xml:space="preserve">will usually be </w:t>
      </w:r>
      <w:r>
        <w:rPr>
          <w:sz w:val="22"/>
          <w:szCs w:val="22"/>
        </w:rPr>
        <w:t xml:space="preserve">prescribed for </w:t>
      </w:r>
      <w:r w:rsidRPr="000860A1">
        <w:rPr>
          <w:sz w:val="22"/>
          <w:szCs w:val="22"/>
        </w:rPr>
        <w:t>12 weeks unless otherwise stated within the agreed individual shared care protocol</w:t>
      </w:r>
      <w:r w:rsidRPr="00CB147C">
        <w:rPr>
          <w:b/>
          <w:sz w:val="22"/>
          <w:szCs w:val="22"/>
        </w:rPr>
        <w:t>. The expectation is that these shared care guidelines should provide sufficient information to enable GPs to be confident to take on the clinical and legal responsibility for the prescribing and the monitoring of this / these drug(s) in stable patients.</w:t>
      </w:r>
      <w:r>
        <w:rPr>
          <w:sz w:val="22"/>
          <w:szCs w:val="22"/>
        </w:rPr>
        <w:t xml:space="preserve"> </w:t>
      </w:r>
      <w:r w:rsidRPr="00441277">
        <w:rPr>
          <w:sz w:val="22"/>
          <w:szCs w:val="22"/>
        </w:rPr>
        <w:t>The questions below will help you confirm this:</w:t>
      </w:r>
    </w:p>
    <w:p w14:paraId="15A36E55"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Is the patient’s condition predictable or stable?</w:t>
      </w:r>
    </w:p>
    <w:p w14:paraId="39CC671B"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 xml:space="preserve">Do you have the relevant knowledge, skills and access to equipment to allow you to monitor treatment as indicated in this shared care document?  </w:t>
      </w:r>
    </w:p>
    <w:p w14:paraId="719C416F"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Have you been provided with relevant clinical details including monitoring data?</w:t>
      </w:r>
    </w:p>
    <w:p w14:paraId="12873C3C"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Have this document and BNF/SPC provided sufficient information for you to feel confident in accepting clinical and legal responsibility for prescribing?</w:t>
      </w:r>
    </w:p>
    <w:p w14:paraId="691E757A" w14:textId="77777777" w:rsidR="00CB147C" w:rsidRPr="00441277" w:rsidRDefault="00CB147C" w:rsidP="00CB147C">
      <w:pPr>
        <w:autoSpaceDE w:val="0"/>
        <w:autoSpaceDN w:val="0"/>
        <w:adjustRightInd w:val="0"/>
        <w:spacing w:after="0" w:line="240" w:lineRule="auto"/>
        <w:contextualSpacing/>
        <w:jc w:val="both"/>
        <w:rPr>
          <w:rFonts w:ascii="Arial" w:hAnsi="Arial" w:cs="Arial"/>
          <w:bCs/>
          <w:color w:val="000000"/>
          <w:lang w:eastAsia="en-GB"/>
        </w:rPr>
      </w:pPr>
    </w:p>
    <w:p w14:paraId="508DC58D" w14:textId="77777777" w:rsidR="00CB147C" w:rsidRPr="00441277" w:rsidRDefault="00CB147C" w:rsidP="00CB147C">
      <w:pPr>
        <w:autoSpaceDE w:val="0"/>
        <w:autoSpaceDN w:val="0"/>
        <w:adjustRightInd w:val="0"/>
        <w:spacing w:after="0" w:line="240" w:lineRule="auto"/>
        <w:contextualSpacing/>
        <w:jc w:val="both"/>
        <w:rPr>
          <w:rFonts w:ascii="Arial" w:hAnsi="Arial" w:cs="Arial"/>
          <w:b/>
        </w:rPr>
      </w:pPr>
      <w:r w:rsidRPr="00441277">
        <w:rPr>
          <w:rFonts w:ascii="Arial" w:hAnsi="Arial" w:cs="Arial"/>
          <w:b/>
        </w:rPr>
        <w:t xml:space="preserve">If you can answer YES to </w:t>
      </w:r>
      <w:proofErr w:type="gramStart"/>
      <w:r w:rsidRPr="00441277">
        <w:rPr>
          <w:rFonts w:ascii="Arial" w:hAnsi="Arial" w:cs="Arial"/>
          <w:b/>
        </w:rPr>
        <w:t>all of</w:t>
      </w:r>
      <w:proofErr w:type="gramEnd"/>
      <w:r w:rsidRPr="00441277">
        <w:rPr>
          <w:rFonts w:ascii="Arial" w:hAnsi="Arial" w:cs="Arial"/>
          <w:b/>
        </w:rPr>
        <w:t xml:space="preserve"> these questions (after reading this shared care guideline), then it is appropriate for you to accept the prescribing responsibility</w:t>
      </w:r>
      <w:r>
        <w:rPr>
          <w:rFonts w:ascii="Arial" w:hAnsi="Arial" w:cs="Arial"/>
          <w:b/>
        </w:rPr>
        <w:t>. GPs need to formally accept shared care by completing and returning the form provided within this protocol to the specialist within two weeks of receipt of request to share care.</w:t>
      </w:r>
    </w:p>
    <w:p w14:paraId="69E09234" w14:textId="77777777" w:rsidR="00CB147C" w:rsidRPr="00441277" w:rsidRDefault="00CB147C" w:rsidP="00CB147C">
      <w:pPr>
        <w:autoSpaceDE w:val="0"/>
        <w:autoSpaceDN w:val="0"/>
        <w:adjustRightInd w:val="0"/>
        <w:spacing w:after="0" w:line="240" w:lineRule="auto"/>
        <w:contextualSpacing/>
        <w:jc w:val="both"/>
        <w:rPr>
          <w:rFonts w:ascii="Arial" w:hAnsi="Arial" w:cs="Arial"/>
        </w:rPr>
      </w:pPr>
    </w:p>
    <w:p w14:paraId="6755C8E1" w14:textId="77777777" w:rsidR="00CB147C" w:rsidRPr="00441277" w:rsidRDefault="00CB147C" w:rsidP="00CB147C">
      <w:pPr>
        <w:pStyle w:val="Default"/>
        <w:contextualSpacing/>
        <w:jc w:val="both"/>
      </w:pPr>
      <w:r w:rsidRPr="00441277">
        <w:rPr>
          <w:sz w:val="22"/>
          <w:szCs w:val="22"/>
        </w:rPr>
        <w:t xml:space="preserve">If the answer is NO to any of these questions, you should not accept prescribing responsibility. You should </w:t>
      </w:r>
      <w:r>
        <w:rPr>
          <w:sz w:val="22"/>
          <w:szCs w:val="22"/>
        </w:rPr>
        <w:t xml:space="preserve">respond back </w:t>
      </w:r>
      <w:r w:rsidRPr="00441277">
        <w:rPr>
          <w:sz w:val="22"/>
          <w:szCs w:val="22"/>
        </w:rPr>
        <w:t>to the consultant outlining your reasons for NOT prescribing on the agreement form</w:t>
      </w:r>
      <w:r>
        <w:rPr>
          <w:sz w:val="22"/>
          <w:szCs w:val="22"/>
        </w:rPr>
        <w:t xml:space="preserve"> within two weeks of receiving the request to share care</w:t>
      </w:r>
      <w:r w:rsidRPr="00441277">
        <w:rPr>
          <w:sz w:val="22"/>
          <w:szCs w:val="22"/>
        </w:rPr>
        <w:t>. If you do not have the confidence to prescribe, you still have the right to decline.</w:t>
      </w:r>
      <w:r w:rsidRPr="00441277">
        <w:t xml:space="preserve"> </w:t>
      </w:r>
      <w:r w:rsidRPr="00804862">
        <w:rPr>
          <w:sz w:val="22"/>
          <w:szCs w:val="22"/>
        </w:rPr>
        <w:t>In such an event, the total clinical responsibility for prescribing the medication and any monitoring required remains with the specialist. Please note that medication cost is not an acceptable reason for refusal to take on shared care.</w:t>
      </w:r>
    </w:p>
    <w:p w14:paraId="61084078" w14:textId="77777777" w:rsidR="00CB147C" w:rsidRDefault="00CB147C" w:rsidP="00CB147C">
      <w:pPr>
        <w:autoSpaceDE w:val="0"/>
        <w:autoSpaceDN w:val="0"/>
        <w:adjustRightInd w:val="0"/>
        <w:spacing w:after="0" w:line="240" w:lineRule="auto"/>
        <w:contextualSpacing/>
        <w:jc w:val="both"/>
        <w:rPr>
          <w:rFonts w:ascii="Arial" w:hAnsi="Arial" w:cs="Arial"/>
          <w:color w:val="000000"/>
          <w:lang w:eastAsia="en-GB"/>
        </w:rPr>
      </w:pPr>
    </w:p>
    <w:p w14:paraId="149E288B" w14:textId="77777777" w:rsidR="00CB147C" w:rsidRPr="00441277" w:rsidRDefault="00CB147C" w:rsidP="00CB147C">
      <w:pPr>
        <w:autoSpaceDE w:val="0"/>
        <w:autoSpaceDN w:val="0"/>
        <w:adjustRightInd w:val="0"/>
        <w:spacing w:after="0" w:line="240" w:lineRule="auto"/>
        <w:contextualSpacing/>
        <w:jc w:val="both"/>
        <w:rPr>
          <w:rFonts w:ascii="Arial" w:hAnsi="Arial" w:cs="Arial"/>
          <w:bCs/>
          <w:color w:val="000000"/>
          <w:lang w:eastAsia="en-GB"/>
        </w:rPr>
      </w:pPr>
      <w:r w:rsidRPr="00441277">
        <w:rPr>
          <w:rFonts w:ascii="Arial" w:hAnsi="Arial" w:cs="Arial"/>
          <w:color w:val="000000"/>
          <w:lang w:eastAsia="en-GB"/>
        </w:rPr>
        <w:t>The prescribing doctor legally assumes clinical responsibility for the drug and the consequences of its use</w:t>
      </w:r>
      <w:r w:rsidRPr="00441277">
        <w:rPr>
          <w:rFonts w:ascii="Arial" w:hAnsi="Arial" w:cs="Arial"/>
          <w:b/>
          <w:bCs/>
          <w:color w:val="000000"/>
          <w:lang w:eastAsia="en-GB"/>
        </w:rPr>
        <w:t xml:space="preserve"> </w:t>
      </w:r>
      <w:r w:rsidRPr="00441277">
        <w:rPr>
          <w:rFonts w:ascii="Arial" w:hAnsi="Arial" w:cs="Arial"/>
          <w:bCs/>
          <w:color w:val="000000"/>
          <w:lang w:eastAsia="en-GB"/>
        </w:rPr>
        <w:t>as</w:t>
      </w:r>
      <w:r>
        <w:rPr>
          <w:rFonts w:ascii="Arial" w:hAnsi="Arial" w:cs="Arial"/>
          <w:bCs/>
          <w:color w:val="000000"/>
          <w:lang w:eastAsia="en-GB"/>
        </w:rPr>
        <w:t xml:space="preserve"> </w:t>
      </w:r>
      <w:r w:rsidRPr="00441277">
        <w:rPr>
          <w:rFonts w:ascii="Arial" w:hAnsi="Arial" w:cs="Arial"/>
          <w:bCs/>
          <w:color w:val="000000"/>
          <w:lang w:eastAsia="en-GB"/>
        </w:rPr>
        <w:t xml:space="preserve">well as </w:t>
      </w:r>
      <w:r>
        <w:rPr>
          <w:rFonts w:ascii="Arial" w:hAnsi="Arial" w:cs="Arial"/>
          <w:bCs/>
          <w:color w:val="000000"/>
          <w:lang w:eastAsia="en-GB"/>
        </w:rPr>
        <w:t xml:space="preserve">responsibility of </w:t>
      </w:r>
      <w:r w:rsidRPr="00441277">
        <w:rPr>
          <w:rFonts w:ascii="Arial" w:hAnsi="Arial" w:cs="Arial"/>
          <w:bCs/>
          <w:color w:val="000000"/>
          <w:lang w:eastAsia="en-GB"/>
        </w:rPr>
        <w:t>monitoring</w:t>
      </w:r>
      <w:r>
        <w:rPr>
          <w:rFonts w:ascii="Arial" w:hAnsi="Arial" w:cs="Arial"/>
          <w:bCs/>
          <w:color w:val="000000"/>
          <w:lang w:eastAsia="en-GB"/>
        </w:rPr>
        <w:t xml:space="preserve"> (securing and reviewing blood test results)</w:t>
      </w:r>
      <w:r w:rsidRPr="00441277">
        <w:rPr>
          <w:rFonts w:ascii="Arial" w:hAnsi="Arial" w:cs="Arial"/>
          <w:bCs/>
          <w:color w:val="000000"/>
          <w:lang w:eastAsia="en-GB"/>
        </w:rPr>
        <w:t xml:space="preserve">. </w:t>
      </w:r>
    </w:p>
    <w:p w14:paraId="12861405" w14:textId="77777777" w:rsidR="00CB147C" w:rsidRPr="00441277" w:rsidRDefault="00CB147C" w:rsidP="00CB147C">
      <w:pPr>
        <w:autoSpaceDE w:val="0"/>
        <w:autoSpaceDN w:val="0"/>
        <w:adjustRightInd w:val="0"/>
        <w:spacing w:after="0" w:line="240" w:lineRule="auto"/>
        <w:contextualSpacing/>
        <w:jc w:val="both"/>
        <w:rPr>
          <w:rFonts w:ascii="Arial" w:eastAsia="Calibri" w:hAnsi="Arial" w:cs="Arial"/>
          <w:color w:val="000000"/>
          <w:lang w:eastAsia="en-GB"/>
        </w:rPr>
      </w:pPr>
    </w:p>
    <w:p w14:paraId="3CBACE25" w14:textId="35C34C1C" w:rsidR="00004CD4" w:rsidRDefault="00CB147C" w:rsidP="00CB147C">
      <w:pPr>
        <w:autoSpaceDE w:val="0"/>
        <w:autoSpaceDN w:val="0"/>
        <w:adjustRightInd w:val="0"/>
        <w:spacing w:after="0" w:line="240" w:lineRule="auto"/>
        <w:contextualSpacing/>
        <w:jc w:val="both"/>
        <w:rPr>
          <w:rFonts w:ascii="Arial" w:hAnsi="Arial" w:cs="Arial"/>
        </w:rPr>
      </w:pPr>
      <w:r w:rsidRPr="00441277">
        <w:rPr>
          <w:rFonts w:ascii="Arial" w:hAnsi="Arial" w:cs="Arial"/>
        </w:rPr>
        <w:t>Prescribing and monitoring responsibility will only be transferred when the consultant and the GP agree that the patient’s condition is stable or predictable</w:t>
      </w:r>
      <w:r>
        <w:rPr>
          <w:rFonts w:ascii="Arial" w:hAnsi="Arial" w:cs="Arial"/>
        </w:rPr>
        <w:t xml:space="preserve">. This will usually be </w:t>
      </w:r>
      <w:r w:rsidRPr="00441277">
        <w:rPr>
          <w:rFonts w:ascii="Arial" w:hAnsi="Arial" w:cs="Arial"/>
        </w:rPr>
        <w:t>12 weeks of treatment</w:t>
      </w:r>
      <w:r w:rsidRPr="00593B38">
        <w:rPr>
          <w:rFonts w:ascii="Arial" w:hAnsi="Arial" w:cs="Arial"/>
        </w:rPr>
        <w:t xml:space="preserve"> unless otherwise stated within the agreed individual shared care protocol</w:t>
      </w:r>
      <w:r>
        <w:rPr>
          <w:rFonts w:ascii="Arial" w:hAnsi="Arial" w:cs="Arial"/>
        </w:rPr>
        <w:t>.</w:t>
      </w:r>
    </w:p>
    <w:p w14:paraId="204BA384" w14:textId="10CCD486" w:rsidR="00CF3656" w:rsidRDefault="00CF3656" w:rsidP="00CB147C">
      <w:pPr>
        <w:autoSpaceDE w:val="0"/>
        <w:autoSpaceDN w:val="0"/>
        <w:adjustRightInd w:val="0"/>
        <w:spacing w:after="0" w:line="240" w:lineRule="auto"/>
        <w:contextualSpacing/>
        <w:jc w:val="both"/>
        <w:rPr>
          <w:rFonts w:ascii="Arial" w:hAnsi="Arial" w:cs="Arial"/>
        </w:rPr>
      </w:pPr>
    </w:p>
    <w:p w14:paraId="26F36AA5" w14:textId="77777777" w:rsidR="00CF3656" w:rsidRDefault="00CF3656" w:rsidP="00CB147C">
      <w:pPr>
        <w:autoSpaceDE w:val="0"/>
        <w:autoSpaceDN w:val="0"/>
        <w:adjustRightInd w:val="0"/>
        <w:spacing w:after="0" w:line="240" w:lineRule="auto"/>
        <w:contextualSpacing/>
        <w:jc w:val="both"/>
        <w:rPr>
          <w:rFonts w:ascii="Arial" w:hAnsi="Arial" w:cs="Arial"/>
        </w:rPr>
      </w:pPr>
    </w:p>
    <w:p w14:paraId="11251B2B" w14:textId="77777777" w:rsidR="00C5458F" w:rsidRPr="00C5458F" w:rsidRDefault="00C5458F" w:rsidP="003559D9">
      <w:pPr>
        <w:autoSpaceDE w:val="0"/>
        <w:autoSpaceDN w:val="0"/>
        <w:adjustRightInd w:val="0"/>
        <w:spacing w:after="0" w:line="240" w:lineRule="auto"/>
        <w:contextualSpacing/>
        <w:jc w:val="center"/>
        <w:rPr>
          <w:rFonts w:ascii="Arial" w:hAnsi="Arial" w:cs="Arial"/>
          <w:b/>
          <w:color w:val="000000"/>
          <w:sz w:val="24"/>
          <w:u w:val="single"/>
          <w:lang w:eastAsia="en-GB"/>
        </w:rPr>
      </w:pPr>
    </w:p>
    <w:p w14:paraId="69C1F5E8" w14:textId="3BF2A52E" w:rsidR="000F0B54" w:rsidRPr="00725343" w:rsidRDefault="00725343" w:rsidP="003559D9">
      <w:pPr>
        <w:autoSpaceDE w:val="0"/>
        <w:autoSpaceDN w:val="0"/>
        <w:adjustRightInd w:val="0"/>
        <w:spacing w:after="0" w:line="240" w:lineRule="auto"/>
        <w:contextualSpacing/>
        <w:jc w:val="center"/>
        <w:rPr>
          <w:rFonts w:ascii="Arial" w:hAnsi="Arial" w:cs="Arial"/>
          <w:b/>
          <w:color w:val="000000"/>
          <w:sz w:val="28"/>
          <w:u w:val="single"/>
          <w:lang w:eastAsia="en-GB"/>
        </w:rPr>
      </w:pPr>
      <w:r w:rsidRPr="00324400">
        <w:rPr>
          <w:rFonts w:ascii="Arial" w:hAnsi="Arial" w:cs="Arial"/>
          <w:b/>
          <w:color w:val="000000"/>
          <w:sz w:val="28"/>
          <w:u w:val="single"/>
          <w:lang w:eastAsia="en-GB"/>
        </w:rPr>
        <w:t>Approval Information</w:t>
      </w:r>
    </w:p>
    <w:p w14:paraId="5103B78C" w14:textId="77777777" w:rsidR="00725343" w:rsidRPr="00725343" w:rsidRDefault="00725343" w:rsidP="00725343">
      <w:pPr>
        <w:autoSpaceDE w:val="0"/>
        <w:autoSpaceDN w:val="0"/>
        <w:adjustRightInd w:val="0"/>
        <w:spacing w:after="0" w:line="240" w:lineRule="auto"/>
        <w:contextualSpacing/>
        <w:jc w:val="center"/>
        <w:rPr>
          <w:rFonts w:ascii="Arial" w:hAnsi="Arial" w:cs="Arial"/>
          <w:b/>
          <w:color w:val="000000"/>
          <w:sz w:val="4"/>
          <w:u w:val="single"/>
          <w:lang w:eastAsia="en-GB"/>
        </w:rPr>
      </w:pPr>
    </w:p>
    <w:p w14:paraId="1CD9C48C" w14:textId="5A8A0D60" w:rsidR="00725343" w:rsidRDefault="00725343" w:rsidP="00CB147C">
      <w:pPr>
        <w:autoSpaceDE w:val="0"/>
        <w:autoSpaceDN w:val="0"/>
        <w:adjustRightInd w:val="0"/>
        <w:spacing w:after="0" w:line="240" w:lineRule="auto"/>
        <w:contextualSpacing/>
        <w:jc w:val="both"/>
        <w:rPr>
          <w:rFonts w:ascii="Arial" w:hAnsi="Arial" w:cs="Arial"/>
          <w:color w:val="000000"/>
          <w:sz w:val="2"/>
          <w:lang w:eastAsia="en-GB"/>
        </w:rPr>
      </w:pPr>
    </w:p>
    <w:p w14:paraId="7D2FF483" w14:textId="33C44139" w:rsidR="00C62913" w:rsidRDefault="00C62913" w:rsidP="00CB147C">
      <w:pPr>
        <w:autoSpaceDE w:val="0"/>
        <w:autoSpaceDN w:val="0"/>
        <w:adjustRightInd w:val="0"/>
        <w:spacing w:after="0" w:line="240" w:lineRule="auto"/>
        <w:contextualSpacing/>
        <w:jc w:val="both"/>
        <w:rPr>
          <w:rFonts w:ascii="Arial" w:hAnsi="Arial" w:cs="Arial"/>
          <w:color w:val="000000"/>
          <w:sz w:val="2"/>
          <w:lang w:eastAsia="en-GB"/>
        </w:rPr>
      </w:pPr>
    </w:p>
    <w:tbl>
      <w:tblPr>
        <w:tblStyle w:val="TableGrid"/>
        <w:tblW w:w="10485" w:type="dxa"/>
        <w:tblLook w:val="04A0" w:firstRow="1" w:lastRow="0" w:firstColumn="1" w:lastColumn="0" w:noHBand="0" w:noVBand="1"/>
      </w:tblPr>
      <w:tblGrid>
        <w:gridCol w:w="1976"/>
        <w:gridCol w:w="8509"/>
      </w:tblGrid>
      <w:tr w:rsidR="002E1C37" w:rsidRPr="00BE665A" w14:paraId="64DF1BED" w14:textId="77777777" w:rsidTr="00992C71">
        <w:tc>
          <w:tcPr>
            <w:tcW w:w="1976" w:type="dxa"/>
            <w:shd w:val="clear" w:color="auto" w:fill="auto"/>
          </w:tcPr>
          <w:p w14:paraId="400E1331" w14:textId="77777777" w:rsidR="002E1C37" w:rsidRPr="00BE665A" w:rsidRDefault="002E1C37" w:rsidP="00992C71">
            <w:pPr>
              <w:rPr>
                <w:rFonts w:ascii="Arial" w:eastAsia="Arial" w:hAnsi="Arial" w:cs="Arial"/>
                <w:color w:val="000000"/>
                <w:sz w:val="15"/>
                <w:szCs w:val="15"/>
              </w:rPr>
            </w:pPr>
            <w:bookmarkStart w:id="3" w:name="_Hlk151990468"/>
            <w:r w:rsidRPr="00BE665A">
              <w:rPr>
                <w:rFonts w:ascii="Arial" w:eastAsia="Arial" w:hAnsi="Arial" w:cs="Arial"/>
                <w:color w:val="000000"/>
                <w:sz w:val="15"/>
                <w:szCs w:val="15"/>
              </w:rPr>
              <w:t xml:space="preserve">Version </w:t>
            </w:r>
          </w:p>
        </w:tc>
        <w:tc>
          <w:tcPr>
            <w:tcW w:w="8509" w:type="dxa"/>
          </w:tcPr>
          <w:p w14:paraId="06F0DA00" w14:textId="4FEC8274" w:rsidR="00F10CAC" w:rsidRDefault="00F10CAC" w:rsidP="00992C71">
            <w:pPr>
              <w:rPr>
                <w:rFonts w:ascii="Arial" w:eastAsia="Arial" w:hAnsi="Arial" w:cs="Arial"/>
                <w:sz w:val="15"/>
                <w:szCs w:val="15"/>
              </w:rPr>
            </w:pPr>
            <w:r>
              <w:rPr>
                <w:rFonts w:ascii="Arial" w:eastAsia="Arial" w:hAnsi="Arial" w:cs="Arial"/>
                <w:sz w:val="15"/>
                <w:szCs w:val="15"/>
              </w:rPr>
              <w:t>2.2 Updated in line with new shared care protocol template, May 2025.</w:t>
            </w:r>
          </w:p>
          <w:p w14:paraId="0DBC1CF7" w14:textId="5379E91D" w:rsidR="0069262F" w:rsidRDefault="0069262F" w:rsidP="00992C71">
            <w:pPr>
              <w:rPr>
                <w:rFonts w:ascii="Arial" w:eastAsia="Arial" w:hAnsi="Arial" w:cs="Arial"/>
                <w:sz w:val="15"/>
                <w:szCs w:val="15"/>
              </w:rPr>
            </w:pPr>
            <w:r>
              <w:rPr>
                <w:rFonts w:ascii="Arial" w:eastAsia="Arial" w:hAnsi="Arial" w:cs="Arial"/>
                <w:sz w:val="15"/>
                <w:szCs w:val="15"/>
              </w:rPr>
              <w:t>2.1 Updated wording on swallowing difficulties September 2024</w:t>
            </w:r>
          </w:p>
          <w:p w14:paraId="770314AA" w14:textId="24C3FC8B" w:rsidR="002E1C37" w:rsidRPr="00C06FA7" w:rsidRDefault="00E437B8" w:rsidP="00992C71">
            <w:pPr>
              <w:rPr>
                <w:rFonts w:ascii="Arial" w:eastAsia="Arial" w:hAnsi="Arial" w:cs="Arial"/>
                <w:sz w:val="15"/>
                <w:szCs w:val="15"/>
              </w:rPr>
            </w:pPr>
            <w:r w:rsidRPr="00A20476">
              <w:rPr>
                <w:rFonts w:ascii="Arial" w:eastAsia="Arial" w:hAnsi="Arial" w:cs="Arial"/>
                <w:sz w:val="15"/>
                <w:szCs w:val="15"/>
              </w:rPr>
              <w:t xml:space="preserve">2. </w:t>
            </w:r>
            <w:r w:rsidR="002E1C37" w:rsidRPr="00A20476">
              <w:rPr>
                <w:rFonts w:ascii="Arial" w:eastAsia="Arial" w:hAnsi="Arial" w:cs="Arial"/>
                <w:sz w:val="15"/>
                <w:szCs w:val="15"/>
              </w:rPr>
              <w:t>Harmonisation</w:t>
            </w:r>
            <w:r w:rsidR="002E1C37" w:rsidRPr="00C06FA7">
              <w:rPr>
                <w:rFonts w:ascii="Arial" w:eastAsia="Arial" w:hAnsi="Arial" w:cs="Arial"/>
                <w:sz w:val="15"/>
                <w:szCs w:val="15"/>
              </w:rPr>
              <w:t xml:space="preserve"> of Hertfordshire Medicines Management Committee (HMMC) guidance and West Essex Medicines Optimisation Programme Board (WEMOPB) guidance updates include:</w:t>
            </w:r>
          </w:p>
          <w:p w14:paraId="4C3CC41B" w14:textId="31124850" w:rsidR="002E1C37" w:rsidRPr="00C06FA7" w:rsidRDefault="007D4DA1" w:rsidP="002E1C37">
            <w:pPr>
              <w:numPr>
                <w:ilvl w:val="0"/>
                <w:numId w:val="44"/>
              </w:numPr>
              <w:spacing w:after="4" w:line="255" w:lineRule="auto"/>
              <w:contextualSpacing/>
              <w:rPr>
                <w:rFonts w:ascii="Arial" w:hAnsi="Arial" w:cs="Arial"/>
                <w:sz w:val="15"/>
                <w:szCs w:val="15"/>
              </w:rPr>
            </w:pPr>
            <w:r w:rsidRPr="00C06FA7">
              <w:rPr>
                <w:rFonts w:ascii="Arial" w:hAnsi="Arial" w:cs="Arial"/>
                <w:sz w:val="15"/>
                <w:szCs w:val="15"/>
              </w:rPr>
              <w:t>Adoption of HWE template and Feb 2021 HMMC</w:t>
            </w:r>
            <w:r w:rsidR="00E437B8" w:rsidRPr="00C06FA7">
              <w:rPr>
                <w:rFonts w:ascii="Arial" w:hAnsi="Arial" w:cs="Arial"/>
                <w:sz w:val="15"/>
                <w:szCs w:val="15"/>
              </w:rPr>
              <w:t xml:space="preserve"> approved, updated HWE APC </w:t>
            </w:r>
            <w:r w:rsidR="007E0C3B">
              <w:rPr>
                <w:rFonts w:ascii="Arial" w:hAnsi="Arial" w:cs="Arial"/>
                <w:sz w:val="15"/>
                <w:szCs w:val="15"/>
              </w:rPr>
              <w:t>April 2024</w:t>
            </w:r>
            <w:r w:rsidRPr="00C06FA7">
              <w:rPr>
                <w:rFonts w:ascii="Arial" w:hAnsi="Arial" w:cs="Arial"/>
                <w:sz w:val="15"/>
                <w:szCs w:val="15"/>
              </w:rPr>
              <w:t xml:space="preserve"> methotrexate shared care protocol for west Essex place.</w:t>
            </w:r>
          </w:p>
          <w:p w14:paraId="523C0D82" w14:textId="5F2923E0" w:rsidR="00C06FA7" w:rsidRPr="00A20476" w:rsidRDefault="007D4DA1" w:rsidP="00A20476">
            <w:pPr>
              <w:numPr>
                <w:ilvl w:val="0"/>
                <w:numId w:val="44"/>
              </w:numPr>
              <w:spacing w:after="4" w:line="255" w:lineRule="auto"/>
              <w:contextualSpacing/>
              <w:rPr>
                <w:rFonts w:ascii="Arial" w:hAnsi="Arial" w:cs="Arial"/>
                <w:sz w:val="15"/>
                <w:szCs w:val="15"/>
              </w:rPr>
            </w:pPr>
            <w:r w:rsidRPr="00C06FA7">
              <w:rPr>
                <w:rFonts w:ascii="Arial" w:hAnsi="Arial" w:cs="Arial"/>
                <w:sz w:val="15"/>
                <w:szCs w:val="15"/>
              </w:rPr>
              <w:t xml:space="preserve">Addition of </w:t>
            </w:r>
            <w:r w:rsidR="00E437B8" w:rsidRPr="00C06FA7">
              <w:rPr>
                <w:rFonts w:ascii="Arial" w:hAnsi="Arial" w:cs="Arial"/>
                <w:sz w:val="15"/>
                <w:szCs w:val="15"/>
              </w:rPr>
              <w:t xml:space="preserve">responsibilities for </w:t>
            </w:r>
            <w:r w:rsidRPr="00C06FA7">
              <w:rPr>
                <w:rFonts w:ascii="Arial" w:hAnsi="Arial" w:cs="Arial"/>
                <w:sz w:val="15"/>
                <w:szCs w:val="15"/>
              </w:rPr>
              <w:t>GP with Special Interest in Rheumatology</w:t>
            </w:r>
            <w:r w:rsidR="00E437B8" w:rsidRPr="00C06FA7">
              <w:rPr>
                <w:rFonts w:ascii="Arial" w:hAnsi="Arial" w:cs="Arial"/>
                <w:sz w:val="15"/>
                <w:szCs w:val="15"/>
              </w:rPr>
              <w:t xml:space="preserve"> for West Essex patients under the care of Princess Alexandra Hospital from October 2017 WEMOPB approved shared care protocol </w:t>
            </w:r>
          </w:p>
        </w:tc>
      </w:tr>
      <w:tr w:rsidR="002E1C37" w:rsidRPr="00BE665A" w14:paraId="57AEBF71" w14:textId="77777777" w:rsidTr="00992C71">
        <w:tc>
          <w:tcPr>
            <w:tcW w:w="1976" w:type="dxa"/>
            <w:shd w:val="clear" w:color="auto" w:fill="auto"/>
          </w:tcPr>
          <w:p w14:paraId="5E3F3BEC" w14:textId="77777777" w:rsidR="002E1C37" w:rsidRDefault="002E1C37" w:rsidP="00992C71">
            <w:pPr>
              <w:rPr>
                <w:rFonts w:ascii="Arial" w:eastAsia="Arial" w:hAnsi="Arial" w:cs="Arial"/>
                <w:color w:val="000000"/>
                <w:sz w:val="15"/>
                <w:szCs w:val="15"/>
              </w:rPr>
            </w:pPr>
            <w:r>
              <w:rPr>
                <w:rFonts w:ascii="Arial" w:eastAsia="Arial" w:hAnsi="Arial" w:cs="Arial"/>
                <w:color w:val="000000"/>
                <w:sz w:val="15"/>
                <w:szCs w:val="15"/>
              </w:rPr>
              <w:t>Developed by</w:t>
            </w:r>
          </w:p>
        </w:tc>
        <w:tc>
          <w:tcPr>
            <w:tcW w:w="8509" w:type="dxa"/>
          </w:tcPr>
          <w:p w14:paraId="3AEAAAFF" w14:textId="6BB2C1BD" w:rsidR="002E1C37" w:rsidRPr="00923C69" w:rsidRDefault="00E437B8" w:rsidP="00992C71">
            <w:pPr>
              <w:rPr>
                <w:rFonts w:ascii="Arial" w:eastAsia="Arial" w:hAnsi="Arial" w:cs="Arial"/>
                <w:sz w:val="15"/>
                <w:szCs w:val="15"/>
              </w:rPr>
            </w:pPr>
            <w:r w:rsidRPr="00E437B8">
              <w:rPr>
                <w:rFonts w:ascii="Arial" w:eastAsia="Arial" w:hAnsi="Arial" w:cs="Arial"/>
                <w:sz w:val="15"/>
                <w:szCs w:val="15"/>
              </w:rPr>
              <w:t>Dr Leena Patel, Consultant Rheumatologist, West Hertfordshire Hospitals NHS Trust and relevant specialists supported by Hertfordshire CCGs Pharmacy and Medicines Optimisation Teams.</w:t>
            </w:r>
          </w:p>
        </w:tc>
      </w:tr>
      <w:tr w:rsidR="002E1C37" w:rsidRPr="00BE665A" w14:paraId="0DDD147C" w14:textId="77777777" w:rsidTr="00992C71">
        <w:tc>
          <w:tcPr>
            <w:tcW w:w="1976" w:type="dxa"/>
            <w:shd w:val="clear" w:color="auto" w:fill="auto"/>
          </w:tcPr>
          <w:p w14:paraId="65F344D7" w14:textId="77777777" w:rsidR="002E1C37" w:rsidRPr="00BE665A" w:rsidRDefault="002E1C37" w:rsidP="00992C71">
            <w:pPr>
              <w:rPr>
                <w:rFonts w:ascii="Arial" w:eastAsia="Arial" w:hAnsi="Arial" w:cs="Arial"/>
                <w:color w:val="000000"/>
                <w:sz w:val="15"/>
                <w:szCs w:val="15"/>
              </w:rPr>
            </w:pPr>
            <w:r>
              <w:rPr>
                <w:rFonts w:ascii="Arial" w:eastAsia="Arial" w:hAnsi="Arial" w:cs="Arial"/>
                <w:color w:val="000000"/>
                <w:sz w:val="15"/>
                <w:szCs w:val="15"/>
              </w:rPr>
              <w:t>Approved by</w:t>
            </w:r>
          </w:p>
        </w:tc>
        <w:tc>
          <w:tcPr>
            <w:tcW w:w="8509" w:type="dxa"/>
          </w:tcPr>
          <w:p w14:paraId="40A4D06F" w14:textId="2A43EA1E" w:rsidR="002E1C37" w:rsidRPr="007E0C3B" w:rsidRDefault="007E0C3B" w:rsidP="00992C71">
            <w:pPr>
              <w:rPr>
                <w:rFonts w:ascii="Arial" w:eastAsia="Arial" w:hAnsi="Arial" w:cs="Arial"/>
                <w:sz w:val="15"/>
                <w:szCs w:val="15"/>
              </w:rPr>
            </w:pPr>
            <w:r w:rsidRPr="007E0C3B">
              <w:rPr>
                <w:rFonts w:ascii="Arial" w:eastAsia="Arial" w:hAnsi="Arial" w:cs="Arial"/>
                <w:sz w:val="15"/>
                <w:szCs w:val="15"/>
              </w:rPr>
              <w:t xml:space="preserve">HMMC, </w:t>
            </w:r>
            <w:r w:rsidR="00E437B8" w:rsidRPr="007E0C3B">
              <w:rPr>
                <w:rFonts w:ascii="Arial" w:eastAsia="Arial" w:hAnsi="Arial" w:cs="Arial"/>
                <w:sz w:val="15"/>
                <w:szCs w:val="15"/>
              </w:rPr>
              <w:t>HWE APC</w:t>
            </w:r>
          </w:p>
        </w:tc>
      </w:tr>
      <w:tr w:rsidR="002E1C37" w:rsidRPr="00BE665A" w14:paraId="39B40EEE" w14:textId="77777777" w:rsidTr="00992C71">
        <w:tc>
          <w:tcPr>
            <w:tcW w:w="1976" w:type="dxa"/>
            <w:shd w:val="clear" w:color="auto" w:fill="auto"/>
          </w:tcPr>
          <w:p w14:paraId="75678A92" w14:textId="77777777" w:rsidR="002E1C37" w:rsidRPr="00BE665A" w:rsidRDefault="002E1C37" w:rsidP="00992C71">
            <w:pPr>
              <w:rPr>
                <w:rFonts w:ascii="Arial" w:eastAsia="Arial" w:hAnsi="Arial" w:cs="Arial"/>
                <w:color w:val="000000"/>
                <w:sz w:val="15"/>
                <w:szCs w:val="15"/>
              </w:rPr>
            </w:pPr>
            <w:r w:rsidRPr="00BE665A">
              <w:rPr>
                <w:rFonts w:ascii="Arial" w:eastAsia="Arial" w:hAnsi="Arial" w:cs="Arial"/>
                <w:color w:val="000000"/>
                <w:sz w:val="15"/>
                <w:szCs w:val="15"/>
              </w:rPr>
              <w:t xml:space="preserve">Date </w:t>
            </w:r>
            <w:r>
              <w:rPr>
                <w:rFonts w:ascii="Arial" w:eastAsia="Arial" w:hAnsi="Arial" w:cs="Arial"/>
                <w:color w:val="000000"/>
                <w:sz w:val="15"/>
                <w:szCs w:val="15"/>
              </w:rPr>
              <w:t>approved/updated</w:t>
            </w:r>
            <w:r w:rsidRPr="00BE665A">
              <w:rPr>
                <w:rFonts w:ascii="Arial" w:eastAsia="Arial" w:hAnsi="Arial" w:cs="Arial"/>
                <w:color w:val="000000"/>
                <w:sz w:val="15"/>
                <w:szCs w:val="15"/>
              </w:rPr>
              <w:t xml:space="preserve"> </w:t>
            </w:r>
          </w:p>
        </w:tc>
        <w:tc>
          <w:tcPr>
            <w:tcW w:w="8509" w:type="dxa"/>
          </w:tcPr>
          <w:p w14:paraId="203C05B7" w14:textId="4CC45528" w:rsidR="002E1C37" w:rsidRPr="007E0C3B" w:rsidRDefault="007E0C3B" w:rsidP="00992C71">
            <w:pPr>
              <w:rPr>
                <w:rFonts w:ascii="Arial" w:eastAsia="Arial" w:hAnsi="Arial" w:cs="Arial"/>
                <w:sz w:val="15"/>
                <w:szCs w:val="15"/>
              </w:rPr>
            </w:pPr>
            <w:r w:rsidRPr="007E0C3B">
              <w:rPr>
                <w:rFonts w:ascii="Arial" w:eastAsia="Arial" w:hAnsi="Arial" w:cs="Arial"/>
                <w:sz w:val="15"/>
                <w:szCs w:val="15"/>
              </w:rPr>
              <w:t xml:space="preserve">HMMC Feb 2021, </w:t>
            </w:r>
            <w:r w:rsidR="00EC78B6">
              <w:rPr>
                <w:rFonts w:ascii="Arial" w:eastAsia="Arial" w:hAnsi="Arial" w:cs="Arial"/>
                <w:sz w:val="15"/>
                <w:szCs w:val="15"/>
              </w:rPr>
              <w:t xml:space="preserve">updated </w:t>
            </w:r>
            <w:r w:rsidR="00E437B8" w:rsidRPr="007E0C3B">
              <w:rPr>
                <w:rFonts w:ascii="Arial" w:eastAsia="Arial" w:hAnsi="Arial" w:cs="Arial"/>
                <w:sz w:val="15"/>
                <w:szCs w:val="15"/>
              </w:rPr>
              <w:t xml:space="preserve">HWE APC </w:t>
            </w:r>
            <w:r w:rsidRPr="007E0C3B">
              <w:rPr>
                <w:rFonts w:ascii="Arial" w:eastAsia="Arial" w:hAnsi="Arial" w:cs="Arial"/>
                <w:sz w:val="15"/>
                <w:szCs w:val="15"/>
              </w:rPr>
              <w:t>April</w:t>
            </w:r>
          </w:p>
        </w:tc>
      </w:tr>
      <w:tr w:rsidR="002E1C37" w:rsidRPr="00BE665A" w14:paraId="481CA97E" w14:textId="77777777" w:rsidTr="00992C71">
        <w:tc>
          <w:tcPr>
            <w:tcW w:w="1976" w:type="dxa"/>
            <w:shd w:val="clear" w:color="auto" w:fill="auto"/>
          </w:tcPr>
          <w:p w14:paraId="4BAD84F2" w14:textId="77777777" w:rsidR="002E1C37" w:rsidRPr="00BE665A" w:rsidRDefault="002E1C37" w:rsidP="00992C71">
            <w:pPr>
              <w:rPr>
                <w:rFonts w:ascii="Arial" w:eastAsia="Arial" w:hAnsi="Arial" w:cs="Arial"/>
                <w:color w:val="000000"/>
                <w:sz w:val="15"/>
                <w:szCs w:val="15"/>
              </w:rPr>
            </w:pPr>
            <w:r w:rsidRPr="00BE665A">
              <w:rPr>
                <w:rFonts w:ascii="Arial" w:eastAsia="Arial" w:hAnsi="Arial" w:cs="Arial"/>
                <w:color w:val="000000"/>
                <w:sz w:val="15"/>
                <w:szCs w:val="15"/>
              </w:rPr>
              <w:t xml:space="preserve">Review date: </w:t>
            </w:r>
          </w:p>
        </w:tc>
        <w:tc>
          <w:tcPr>
            <w:tcW w:w="8509" w:type="dxa"/>
          </w:tcPr>
          <w:p w14:paraId="5AD21280" w14:textId="77777777" w:rsidR="002E1C37" w:rsidRPr="00BE665A" w:rsidRDefault="002E1C37" w:rsidP="00992C71">
            <w:pPr>
              <w:rPr>
                <w:rFonts w:ascii="Arial" w:eastAsia="Arial" w:hAnsi="Arial" w:cs="Arial"/>
                <w:sz w:val="15"/>
                <w:szCs w:val="15"/>
              </w:rPr>
            </w:pPr>
            <w:r w:rsidRPr="00BE665A">
              <w:rPr>
                <w:rFonts w:ascii="Arial" w:eastAsia="Arial" w:hAnsi="Arial" w:cs="Arial"/>
                <w:sz w:val="15"/>
                <w:szCs w:val="15"/>
              </w:rPr>
              <w:t xml:space="preserve">The recommendation is based upon the evidence available at the time of publication. This recommendation will be reviewed upon request in the light of new evidence becoming available. </w:t>
            </w:r>
          </w:p>
        </w:tc>
      </w:tr>
      <w:tr w:rsidR="002E1C37" w:rsidRPr="00BE665A" w14:paraId="3DE1DDF4" w14:textId="77777777" w:rsidTr="002E1C37">
        <w:trPr>
          <w:trHeight w:val="77"/>
        </w:trPr>
        <w:tc>
          <w:tcPr>
            <w:tcW w:w="1976" w:type="dxa"/>
            <w:shd w:val="clear" w:color="auto" w:fill="auto"/>
          </w:tcPr>
          <w:p w14:paraId="0E9F1D52" w14:textId="77777777" w:rsidR="002E1C37" w:rsidRPr="007E0C3B" w:rsidRDefault="002E1C37" w:rsidP="00992C71">
            <w:pPr>
              <w:rPr>
                <w:rFonts w:ascii="Arial" w:eastAsia="Arial" w:hAnsi="Arial" w:cs="Arial"/>
                <w:color w:val="000000"/>
                <w:sz w:val="15"/>
                <w:szCs w:val="15"/>
              </w:rPr>
            </w:pPr>
            <w:r w:rsidRPr="007E0C3B">
              <w:rPr>
                <w:rFonts w:ascii="Arial" w:eastAsia="Arial" w:hAnsi="Arial" w:cs="Arial"/>
                <w:color w:val="000000"/>
                <w:sz w:val="15"/>
                <w:szCs w:val="15"/>
              </w:rPr>
              <w:t>Superseded version</w:t>
            </w:r>
          </w:p>
        </w:tc>
        <w:tc>
          <w:tcPr>
            <w:tcW w:w="8509" w:type="dxa"/>
          </w:tcPr>
          <w:p w14:paraId="273B3CCD" w14:textId="77777777" w:rsidR="002E1C37" w:rsidRPr="007E0C3B" w:rsidRDefault="00E437B8" w:rsidP="00992C71">
            <w:pPr>
              <w:rPr>
                <w:rFonts w:ascii="Arial" w:eastAsia="Arial" w:hAnsi="Arial" w:cs="Arial"/>
                <w:sz w:val="15"/>
                <w:szCs w:val="15"/>
              </w:rPr>
            </w:pPr>
            <w:r w:rsidRPr="007E0C3B">
              <w:rPr>
                <w:rFonts w:ascii="Arial" w:eastAsia="Arial" w:hAnsi="Arial" w:cs="Arial"/>
                <w:sz w:val="15"/>
                <w:szCs w:val="15"/>
              </w:rPr>
              <w:t>1</w:t>
            </w:r>
            <w:r w:rsidR="00A20476" w:rsidRPr="007E0C3B">
              <w:rPr>
                <w:rFonts w:ascii="Arial" w:eastAsia="Arial" w:hAnsi="Arial" w:cs="Arial"/>
                <w:sz w:val="15"/>
                <w:szCs w:val="15"/>
              </w:rPr>
              <w:t>.0</w:t>
            </w:r>
          </w:p>
          <w:p w14:paraId="34A1929A" w14:textId="1569EC68" w:rsidR="00A20476" w:rsidRPr="007E0C3B" w:rsidRDefault="00A20476" w:rsidP="00A20476">
            <w:pPr>
              <w:rPr>
                <w:rFonts w:ascii="Arial" w:eastAsia="Arial" w:hAnsi="Arial" w:cs="Arial"/>
                <w:sz w:val="15"/>
                <w:szCs w:val="15"/>
              </w:rPr>
            </w:pPr>
            <w:r w:rsidRPr="007E0C3B">
              <w:rPr>
                <w:rFonts w:ascii="Arial" w:eastAsia="Arial" w:hAnsi="Arial" w:cs="Arial"/>
                <w:sz w:val="15"/>
                <w:szCs w:val="15"/>
              </w:rPr>
              <w:t>Amendment of Phase II monitoring in line with wording agreed HWE APC February 2024</w:t>
            </w:r>
          </w:p>
          <w:p w14:paraId="5795AEF9" w14:textId="308D37C7" w:rsidR="00A20476" w:rsidRPr="007E0C3B" w:rsidRDefault="00A20476" w:rsidP="00A20476">
            <w:pPr>
              <w:rPr>
                <w:rFonts w:ascii="Arial" w:eastAsia="Arial" w:hAnsi="Arial" w:cs="Arial"/>
                <w:sz w:val="15"/>
                <w:szCs w:val="15"/>
              </w:rPr>
            </w:pPr>
            <w:r w:rsidRPr="007E0C3B">
              <w:rPr>
                <w:rFonts w:ascii="Arial" w:eastAsia="Arial" w:hAnsi="Arial" w:cs="Arial"/>
                <w:sz w:val="15"/>
                <w:szCs w:val="15"/>
              </w:rPr>
              <w:t>Addition of sun protection and 10mg tablet advice</w:t>
            </w:r>
          </w:p>
          <w:p w14:paraId="2466591B" w14:textId="5829D458" w:rsidR="00A20476" w:rsidRPr="007E0C3B" w:rsidRDefault="00A20476" w:rsidP="00A20476">
            <w:pPr>
              <w:rPr>
                <w:rFonts w:ascii="Arial" w:eastAsia="Arial" w:hAnsi="Arial" w:cs="Arial"/>
                <w:sz w:val="15"/>
                <w:szCs w:val="15"/>
              </w:rPr>
            </w:pPr>
            <w:r w:rsidRPr="007E0C3B">
              <w:rPr>
                <w:rFonts w:ascii="Arial" w:eastAsia="Arial" w:hAnsi="Arial" w:cs="Arial"/>
                <w:sz w:val="15"/>
                <w:szCs w:val="15"/>
              </w:rPr>
              <w:t>Addition of Covid-19 vaccination recommendation</w:t>
            </w:r>
          </w:p>
          <w:p w14:paraId="09347E67" w14:textId="3154B190" w:rsidR="00A20476" w:rsidRPr="002E1C37" w:rsidRDefault="00A20476" w:rsidP="00A20476">
            <w:pPr>
              <w:rPr>
                <w:rFonts w:ascii="Arial" w:eastAsia="Arial" w:hAnsi="Arial" w:cs="Arial"/>
                <w:sz w:val="15"/>
                <w:szCs w:val="15"/>
              </w:rPr>
            </w:pPr>
            <w:r w:rsidRPr="007E0C3B">
              <w:rPr>
                <w:rFonts w:ascii="Arial" w:eastAsia="Arial" w:hAnsi="Arial" w:cs="Arial"/>
                <w:sz w:val="15"/>
                <w:szCs w:val="15"/>
              </w:rPr>
              <w:t>Revision of PIIINP monitoring responsibilities</w:t>
            </w:r>
            <w:r w:rsidR="007E0C3B" w:rsidRPr="007E0C3B">
              <w:rPr>
                <w:rFonts w:ascii="Arial" w:eastAsia="Arial" w:hAnsi="Arial" w:cs="Arial"/>
                <w:sz w:val="15"/>
                <w:szCs w:val="15"/>
              </w:rPr>
              <w:t xml:space="preserve"> and actions taken</w:t>
            </w:r>
          </w:p>
        </w:tc>
      </w:tr>
      <w:bookmarkEnd w:id="3"/>
    </w:tbl>
    <w:p w14:paraId="0B06F676" w14:textId="77777777" w:rsidR="00C62913" w:rsidRPr="00C74787" w:rsidRDefault="00C62913" w:rsidP="00CB147C">
      <w:pPr>
        <w:autoSpaceDE w:val="0"/>
        <w:autoSpaceDN w:val="0"/>
        <w:adjustRightInd w:val="0"/>
        <w:spacing w:after="0" w:line="240" w:lineRule="auto"/>
        <w:contextualSpacing/>
        <w:jc w:val="both"/>
        <w:rPr>
          <w:rFonts w:ascii="Arial" w:hAnsi="Arial" w:cs="Arial"/>
          <w:color w:val="000000"/>
          <w:sz w:val="2"/>
          <w:lang w:eastAsia="en-GB"/>
        </w:rPr>
      </w:pPr>
    </w:p>
    <w:sectPr w:rsidR="00C62913" w:rsidRPr="00C74787" w:rsidSect="008A3D1B">
      <w:headerReference w:type="default" r:id="rId50"/>
      <w:footerReference w:type="default" r:id="rId51"/>
      <w:headerReference w:type="first" r:id="rId52"/>
      <w:footerReference w:type="first" r:id="rId53"/>
      <w:pgSz w:w="11907" w:h="16840" w:code="9"/>
      <w:pgMar w:top="720" w:right="720" w:bottom="720" w:left="720" w:header="0" w:footer="2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8AB56" w14:textId="77777777" w:rsidR="002C2470" w:rsidRDefault="002C2470" w:rsidP="006F4129">
      <w:pPr>
        <w:spacing w:after="0" w:line="240" w:lineRule="auto"/>
      </w:pPr>
      <w:r>
        <w:separator/>
      </w:r>
    </w:p>
  </w:endnote>
  <w:endnote w:type="continuationSeparator" w:id="0">
    <w:p w14:paraId="0C8411CE" w14:textId="77777777" w:rsidR="002C2470" w:rsidRDefault="002C2470" w:rsidP="006F4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037DB" w14:textId="77777777" w:rsidR="00DD236B" w:rsidRDefault="00DD236B">
    <w:pPr>
      <w:pStyle w:val="Footer"/>
      <w:rPr>
        <w:rFonts w:ascii="Arial" w:eastAsia="Times New Roman" w:hAnsi="Arial" w:cs="Times New Roman"/>
        <w:b/>
        <w:bCs/>
        <w:sz w:val="16"/>
        <w:szCs w:val="28"/>
      </w:rPr>
    </w:pPr>
  </w:p>
  <w:p w14:paraId="3D60D62A" w14:textId="2D61106F" w:rsidR="00D95A4B" w:rsidRPr="001A6B58" w:rsidRDefault="00201391">
    <w:pPr>
      <w:pStyle w:val="Footer"/>
      <w:rPr>
        <w:rFonts w:ascii="Arial" w:hAnsi="Arial" w:cs="Arial"/>
        <w:sz w:val="18"/>
      </w:rPr>
    </w:pPr>
    <w:r w:rsidRPr="00201391">
      <w:rPr>
        <w:rFonts w:ascii="Arial" w:eastAsia="Times New Roman" w:hAnsi="Arial" w:cs="Times New Roman"/>
        <w:b/>
        <w:bCs/>
        <w:sz w:val="16"/>
        <w:szCs w:val="28"/>
      </w:rPr>
      <w:t xml:space="preserve">Methotrexate Shared Care Protocol </w:t>
    </w:r>
    <w:r w:rsidR="00CD5972">
      <w:rPr>
        <w:rFonts w:ascii="Arial" w:eastAsia="Times New Roman" w:hAnsi="Arial" w:cs="Times New Roman"/>
        <w:b/>
        <w:bCs/>
        <w:sz w:val="16"/>
        <w:szCs w:val="28"/>
      </w:rPr>
      <w:t>May 2025</w:t>
    </w:r>
    <w:r w:rsidRPr="00201391">
      <w:rPr>
        <w:rFonts w:ascii="Arial" w:eastAsia="Times New Roman" w:hAnsi="Arial" w:cs="Times New Roman"/>
        <w:b/>
        <w:bCs/>
        <w:sz w:val="16"/>
        <w:szCs w:val="28"/>
      </w:rPr>
      <w:t xml:space="preserve"> Guideline number 5 Version number</w:t>
    </w:r>
    <w:r>
      <w:rPr>
        <w:rFonts w:ascii="Arial" w:eastAsia="Times New Roman" w:hAnsi="Arial" w:cs="Times New Roman"/>
        <w:b/>
        <w:bCs/>
        <w:sz w:val="16"/>
        <w:szCs w:val="28"/>
      </w:rPr>
      <w:t xml:space="preserve"> 2</w:t>
    </w:r>
    <w:r w:rsidR="0069262F">
      <w:rPr>
        <w:rFonts w:ascii="Arial" w:eastAsia="Times New Roman" w:hAnsi="Arial" w:cs="Times New Roman"/>
        <w:b/>
        <w:bCs/>
        <w:sz w:val="16"/>
        <w:szCs w:val="28"/>
      </w:rPr>
      <w:t>.</w:t>
    </w:r>
    <w:r w:rsidR="00CD5972">
      <w:rPr>
        <w:rFonts w:ascii="Arial" w:eastAsia="Times New Roman" w:hAnsi="Arial" w:cs="Times New Roman"/>
        <w:b/>
        <w:bCs/>
        <w:sz w:val="16"/>
        <w:szCs w:val="28"/>
      </w:rPr>
      <w:t>2</w:t>
    </w:r>
    <w:r w:rsidR="00D95A4B" w:rsidRPr="001A6B58">
      <w:rPr>
        <w:rFonts w:ascii="Arial" w:hAnsi="Arial" w:cs="Arial"/>
        <w:sz w:val="16"/>
      </w:rPr>
      <w:tab/>
    </w:r>
    <w:r w:rsidR="00D95A4B" w:rsidRPr="001A6B58">
      <w:rPr>
        <w:rStyle w:val="PageNumber"/>
        <w:rFonts w:ascii="Arial" w:hAnsi="Arial" w:cs="Arial"/>
        <w:sz w:val="16"/>
      </w:rPr>
      <w:fldChar w:fldCharType="begin"/>
    </w:r>
    <w:r w:rsidR="00D95A4B" w:rsidRPr="001A6B58">
      <w:rPr>
        <w:rStyle w:val="PageNumber"/>
        <w:rFonts w:ascii="Arial" w:hAnsi="Arial" w:cs="Arial"/>
        <w:sz w:val="16"/>
      </w:rPr>
      <w:instrText xml:space="preserve"> PAGE </w:instrText>
    </w:r>
    <w:r w:rsidR="00D95A4B" w:rsidRPr="001A6B58">
      <w:rPr>
        <w:rStyle w:val="PageNumber"/>
        <w:rFonts w:ascii="Arial" w:hAnsi="Arial" w:cs="Arial"/>
        <w:sz w:val="16"/>
      </w:rPr>
      <w:fldChar w:fldCharType="separate"/>
    </w:r>
    <w:r w:rsidR="00D95A4B">
      <w:rPr>
        <w:rStyle w:val="PageNumber"/>
        <w:rFonts w:ascii="Arial" w:hAnsi="Arial" w:cs="Arial"/>
        <w:noProof/>
        <w:sz w:val="16"/>
      </w:rPr>
      <w:t>2</w:t>
    </w:r>
    <w:r w:rsidR="00D95A4B" w:rsidRPr="001A6B58">
      <w:rPr>
        <w:rStyle w:val="PageNumber"/>
        <w:rFonts w:ascii="Arial" w:hAnsi="Arial" w:cs="Arial"/>
        <w:sz w:val="16"/>
      </w:rPr>
      <w:fldChar w:fldCharType="end"/>
    </w:r>
    <w:r w:rsidR="00D95A4B" w:rsidRPr="001A6B58">
      <w:rPr>
        <w:rStyle w:val="PageNumber"/>
        <w:rFonts w:ascii="Arial" w:hAnsi="Arial" w:cs="Arial"/>
        <w:sz w:val="16"/>
      </w:rPr>
      <w:t xml:space="preserve"> of </w:t>
    </w:r>
    <w:r w:rsidR="00D95A4B" w:rsidRPr="001A6B58">
      <w:rPr>
        <w:rStyle w:val="PageNumber"/>
        <w:rFonts w:ascii="Arial" w:hAnsi="Arial" w:cs="Arial"/>
        <w:sz w:val="16"/>
        <w:szCs w:val="20"/>
      </w:rPr>
      <w:fldChar w:fldCharType="begin"/>
    </w:r>
    <w:r w:rsidR="00D95A4B" w:rsidRPr="001A6B58">
      <w:rPr>
        <w:rStyle w:val="PageNumber"/>
        <w:rFonts w:ascii="Arial" w:hAnsi="Arial" w:cs="Arial"/>
        <w:sz w:val="16"/>
        <w:szCs w:val="20"/>
      </w:rPr>
      <w:instrText xml:space="preserve"> NUMPAGES </w:instrText>
    </w:r>
    <w:r w:rsidR="00D95A4B" w:rsidRPr="001A6B58">
      <w:rPr>
        <w:rStyle w:val="PageNumber"/>
        <w:rFonts w:ascii="Arial" w:hAnsi="Arial" w:cs="Arial"/>
        <w:sz w:val="16"/>
        <w:szCs w:val="20"/>
      </w:rPr>
      <w:fldChar w:fldCharType="separate"/>
    </w:r>
    <w:r w:rsidR="00D95A4B">
      <w:rPr>
        <w:rStyle w:val="PageNumber"/>
        <w:rFonts w:ascii="Arial" w:hAnsi="Arial" w:cs="Arial"/>
        <w:noProof/>
        <w:sz w:val="16"/>
        <w:szCs w:val="20"/>
      </w:rPr>
      <w:t>10</w:t>
    </w:r>
    <w:r w:rsidR="00D95A4B" w:rsidRPr="001A6B58">
      <w:rPr>
        <w:rStyle w:val="PageNumber"/>
        <w:rFonts w:ascii="Arial" w:hAnsi="Arial" w:cs="Arial"/>
        <w:sz w:val="16"/>
        <w:szCs w:val="20"/>
      </w:rPr>
      <w:fldChar w:fldCharType="end"/>
    </w:r>
  </w:p>
  <w:p w14:paraId="1E5B93C9" w14:textId="77777777" w:rsidR="00307B2B" w:rsidRDefault="00307B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834C0" w14:textId="397C34FD" w:rsidR="00D95A4B" w:rsidRDefault="00201391" w:rsidP="00CD5972">
    <w:pPr>
      <w:pStyle w:val="Footer"/>
      <w:pBdr>
        <w:top w:val="single" w:sz="4" w:space="0" w:color="auto"/>
      </w:pBdr>
      <w:tabs>
        <w:tab w:val="center" w:pos="4678"/>
        <w:tab w:val="right" w:pos="9639"/>
      </w:tabs>
      <w:rPr>
        <w:sz w:val="20"/>
      </w:rPr>
    </w:pPr>
    <w:r w:rsidRPr="00201391">
      <w:rPr>
        <w:rFonts w:ascii="Arial" w:eastAsia="Times New Roman" w:hAnsi="Arial" w:cs="Times New Roman"/>
        <w:b/>
        <w:bCs/>
        <w:sz w:val="16"/>
        <w:szCs w:val="28"/>
      </w:rPr>
      <w:t xml:space="preserve">Methotrexate Shared Care Protocol </w:t>
    </w:r>
    <w:r w:rsidR="00CD5972">
      <w:rPr>
        <w:rFonts w:ascii="Arial" w:eastAsia="Times New Roman" w:hAnsi="Arial" w:cs="Times New Roman"/>
        <w:b/>
        <w:bCs/>
        <w:sz w:val="16"/>
        <w:szCs w:val="28"/>
      </w:rPr>
      <w:t>May 2025</w:t>
    </w:r>
    <w:r w:rsidRPr="00201391">
      <w:rPr>
        <w:rFonts w:ascii="Arial" w:eastAsia="Times New Roman" w:hAnsi="Arial" w:cs="Times New Roman"/>
        <w:b/>
        <w:bCs/>
        <w:sz w:val="16"/>
        <w:szCs w:val="28"/>
      </w:rPr>
      <w:t xml:space="preserve"> Guideline number 5 Version number</w:t>
    </w:r>
    <w:r>
      <w:rPr>
        <w:rFonts w:ascii="Arial" w:eastAsia="Times New Roman" w:hAnsi="Arial" w:cs="Times New Roman"/>
        <w:b/>
        <w:bCs/>
        <w:sz w:val="16"/>
        <w:szCs w:val="28"/>
      </w:rPr>
      <w:t xml:space="preserve"> 2</w:t>
    </w:r>
    <w:r w:rsidR="00CE04F1">
      <w:rPr>
        <w:rFonts w:ascii="Arial" w:eastAsia="Times New Roman" w:hAnsi="Arial" w:cs="Times New Roman"/>
        <w:b/>
        <w:bCs/>
        <w:sz w:val="16"/>
        <w:szCs w:val="28"/>
      </w:rPr>
      <w:t>.</w:t>
    </w:r>
    <w:r w:rsidR="00CD5972">
      <w:rPr>
        <w:rFonts w:ascii="Arial" w:eastAsia="Times New Roman" w:hAnsi="Arial" w:cs="Times New Roman"/>
        <w:b/>
        <w:bCs/>
        <w:sz w:val="16"/>
        <w:szCs w:val="28"/>
      </w:rPr>
      <w:t>2</w:t>
    </w:r>
    <w:r w:rsidR="00D95A4B">
      <w:rPr>
        <w:rFonts w:cs="Arial"/>
        <w:sz w:val="20"/>
      </w:rPr>
      <w:tab/>
    </w:r>
    <w:r w:rsidR="00D95A4B" w:rsidRPr="001A6B58">
      <w:rPr>
        <w:rStyle w:val="PageNumber"/>
        <w:rFonts w:ascii="Arial" w:hAnsi="Arial" w:cs="Arial"/>
        <w:sz w:val="16"/>
        <w:szCs w:val="16"/>
      </w:rPr>
      <w:fldChar w:fldCharType="begin"/>
    </w:r>
    <w:r w:rsidR="00D95A4B" w:rsidRPr="001A6B58">
      <w:rPr>
        <w:rStyle w:val="PageNumber"/>
        <w:rFonts w:ascii="Arial" w:hAnsi="Arial" w:cs="Arial"/>
        <w:sz w:val="16"/>
        <w:szCs w:val="16"/>
      </w:rPr>
      <w:instrText xml:space="preserve"> PAGE </w:instrText>
    </w:r>
    <w:r w:rsidR="00D95A4B" w:rsidRPr="001A6B58">
      <w:rPr>
        <w:rStyle w:val="PageNumber"/>
        <w:rFonts w:ascii="Arial" w:hAnsi="Arial" w:cs="Arial"/>
        <w:sz w:val="16"/>
        <w:szCs w:val="16"/>
      </w:rPr>
      <w:fldChar w:fldCharType="separate"/>
    </w:r>
    <w:r w:rsidR="00D95A4B">
      <w:rPr>
        <w:rStyle w:val="PageNumber"/>
        <w:rFonts w:ascii="Arial" w:hAnsi="Arial" w:cs="Arial"/>
        <w:noProof/>
        <w:sz w:val="16"/>
        <w:szCs w:val="16"/>
      </w:rPr>
      <w:t>1</w:t>
    </w:r>
    <w:r w:rsidR="00D95A4B" w:rsidRPr="001A6B58">
      <w:rPr>
        <w:rStyle w:val="PageNumber"/>
        <w:rFonts w:ascii="Arial" w:hAnsi="Arial" w:cs="Arial"/>
        <w:sz w:val="16"/>
        <w:szCs w:val="16"/>
      </w:rPr>
      <w:fldChar w:fldCharType="end"/>
    </w:r>
    <w:r w:rsidR="00D95A4B" w:rsidRPr="001A6B58">
      <w:rPr>
        <w:rStyle w:val="PageNumber"/>
        <w:rFonts w:ascii="Arial" w:hAnsi="Arial" w:cs="Arial"/>
        <w:sz w:val="16"/>
        <w:szCs w:val="16"/>
      </w:rPr>
      <w:t xml:space="preserve"> of </w:t>
    </w:r>
    <w:r w:rsidR="00D95A4B" w:rsidRPr="001A6B58">
      <w:rPr>
        <w:rStyle w:val="PageNumber"/>
        <w:rFonts w:ascii="Arial" w:hAnsi="Arial" w:cs="Arial"/>
        <w:sz w:val="16"/>
        <w:szCs w:val="16"/>
      </w:rPr>
      <w:fldChar w:fldCharType="begin"/>
    </w:r>
    <w:r w:rsidR="00D95A4B" w:rsidRPr="001A6B58">
      <w:rPr>
        <w:rStyle w:val="PageNumber"/>
        <w:rFonts w:ascii="Arial" w:hAnsi="Arial" w:cs="Arial"/>
        <w:sz w:val="16"/>
        <w:szCs w:val="16"/>
      </w:rPr>
      <w:instrText xml:space="preserve"> NUMPAGES </w:instrText>
    </w:r>
    <w:r w:rsidR="00D95A4B" w:rsidRPr="001A6B58">
      <w:rPr>
        <w:rStyle w:val="PageNumber"/>
        <w:rFonts w:ascii="Arial" w:hAnsi="Arial" w:cs="Arial"/>
        <w:sz w:val="16"/>
        <w:szCs w:val="16"/>
      </w:rPr>
      <w:fldChar w:fldCharType="separate"/>
    </w:r>
    <w:r w:rsidR="00D95A4B">
      <w:rPr>
        <w:rStyle w:val="PageNumber"/>
        <w:rFonts w:ascii="Arial" w:hAnsi="Arial" w:cs="Arial"/>
        <w:noProof/>
        <w:sz w:val="16"/>
        <w:szCs w:val="16"/>
      </w:rPr>
      <w:t>10</w:t>
    </w:r>
    <w:r w:rsidR="00D95A4B" w:rsidRPr="001A6B58">
      <w:rPr>
        <w:rStyle w:val="PageNumber"/>
        <w:rFonts w:ascii="Arial" w:hAnsi="Arial" w:cs="Arial"/>
        <w:sz w:val="16"/>
        <w:szCs w:val="16"/>
      </w:rPr>
      <w:fldChar w:fldCharType="end"/>
    </w:r>
    <w:r w:rsidR="00D95A4B">
      <w:rPr>
        <w:rStyle w:val="PageNumber"/>
        <w:rFonts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A7165" w14:textId="77777777" w:rsidR="002C2470" w:rsidRDefault="002C2470" w:rsidP="006F4129">
      <w:pPr>
        <w:spacing w:after="0" w:line="240" w:lineRule="auto"/>
      </w:pPr>
      <w:r>
        <w:separator/>
      </w:r>
    </w:p>
  </w:footnote>
  <w:footnote w:type="continuationSeparator" w:id="0">
    <w:p w14:paraId="70937813" w14:textId="77777777" w:rsidR="002C2470" w:rsidRDefault="002C2470" w:rsidP="006F4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3D3B" w14:textId="4A5FE310" w:rsidR="00D95A4B" w:rsidRPr="00004CD4" w:rsidRDefault="00D95A4B" w:rsidP="00004CD4">
    <w:pPr>
      <w:tabs>
        <w:tab w:val="left" w:pos="1170"/>
        <w:tab w:val="right" w:pos="8313"/>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6324A" w14:textId="3DDEF879" w:rsidR="00D95A4B" w:rsidRPr="00F31F41" w:rsidRDefault="008F7BD5" w:rsidP="008A3D1B">
    <w:pPr>
      <w:pStyle w:val="Header"/>
      <w:tabs>
        <w:tab w:val="clear" w:pos="4513"/>
        <w:tab w:val="clear" w:pos="9026"/>
        <w:tab w:val="center" w:pos="4428"/>
      </w:tabs>
    </w:pPr>
    <w:r w:rsidRPr="00DE2ABB">
      <w:rPr>
        <w:noProof/>
      </w:rPr>
      <w:drawing>
        <wp:anchor distT="0" distB="0" distL="114300" distR="114300" simplePos="0" relativeHeight="251658240" behindDoc="0" locked="0" layoutInCell="1" allowOverlap="1" wp14:anchorId="0FA69654" wp14:editId="338A37A2">
          <wp:simplePos x="0" y="0"/>
          <wp:positionH relativeFrom="margin">
            <wp:posOffset>5738495</wp:posOffset>
          </wp:positionH>
          <wp:positionV relativeFrom="margin">
            <wp:posOffset>-730250</wp:posOffset>
          </wp:positionV>
          <wp:extent cx="1084580" cy="740410"/>
          <wp:effectExtent l="0" t="0" r="127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4580" cy="740410"/>
                  </a:xfrm>
                  <a:prstGeom prst="rect">
                    <a:avLst/>
                  </a:prstGeom>
                  <a:noFill/>
                  <a:ln>
                    <a:noFill/>
                  </a:ln>
                </pic:spPr>
              </pic:pic>
            </a:graphicData>
          </a:graphic>
        </wp:anchor>
      </w:drawing>
    </w:r>
    <w:r w:rsidRPr="00DE2ABB">
      <w:rPr>
        <w:noProof/>
      </w:rPr>
      <w:drawing>
        <wp:inline distT="0" distB="0" distL="0" distR="0" wp14:anchorId="780DA289" wp14:editId="08CC8A93">
          <wp:extent cx="1060139" cy="6811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19773" cy="719434"/>
                  </a:xfrm>
                  <a:prstGeom prst="rect">
                    <a:avLst/>
                  </a:prstGeom>
                  <a:noFill/>
                  <a:ln>
                    <a:noFill/>
                  </a:ln>
                </pic:spPr>
              </pic:pic>
            </a:graphicData>
          </a:graphic>
        </wp:inline>
      </w:drawing>
    </w:r>
    <w:r w:rsidR="008A3D1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6D0D"/>
    <w:multiLevelType w:val="hybridMultilevel"/>
    <w:tmpl w:val="ACA0E0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AF766CE"/>
    <w:multiLevelType w:val="hybridMultilevel"/>
    <w:tmpl w:val="97CE56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2562BAE"/>
    <w:multiLevelType w:val="hybridMultilevel"/>
    <w:tmpl w:val="F6CA5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E170D4"/>
    <w:multiLevelType w:val="hybridMultilevel"/>
    <w:tmpl w:val="71EE5A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577371E"/>
    <w:multiLevelType w:val="hybridMultilevel"/>
    <w:tmpl w:val="9050B8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AA4EF4"/>
    <w:multiLevelType w:val="hybridMultilevel"/>
    <w:tmpl w:val="B598F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F25B92"/>
    <w:multiLevelType w:val="hybridMultilevel"/>
    <w:tmpl w:val="61CE98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131CE"/>
    <w:multiLevelType w:val="hybridMultilevel"/>
    <w:tmpl w:val="144AB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280190"/>
    <w:multiLevelType w:val="hybridMultilevel"/>
    <w:tmpl w:val="2D8A719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9DF0BCD"/>
    <w:multiLevelType w:val="hybridMultilevel"/>
    <w:tmpl w:val="D1424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CE1E9F"/>
    <w:multiLevelType w:val="hybridMultilevel"/>
    <w:tmpl w:val="C77C9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9C3635"/>
    <w:multiLevelType w:val="hybridMultilevel"/>
    <w:tmpl w:val="2032857E"/>
    <w:lvl w:ilvl="0" w:tplc="A2EA7C12">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344D36E2"/>
    <w:multiLevelType w:val="hybridMultilevel"/>
    <w:tmpl w:val="70502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FD40E5"/>
    <w:multiLevelType w:val="hybridMultilevel"/>
    <w:tmpl w:val="8E2CD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7422C55"/>
    <w:multiLevelType w:val="hybridMultilevel"/>
    <w:tmpl w:val="D77E79BA"/>
    <w:lvl w:ilvl="0" w:tplc="0409000F">
      <w:start w:val="1"/>
      <w:numFmt w:val="decimal"/>
      <w:lvlText w:val="%1."/>
      <w:lvlJc w:val="left"/>
      <w:pPr>
        <w:tabs>
          <w:tab w:val="num" w:pos="-354"/>
        </w:tabs>
        <w:ind w:left="-354" w:hanging="360"/>
      </w:pPr>
    </w:lvl>
    <w:lvl w:ilvl="1" w:tplc="04090019" w:tentative="1">
      <w:start w:val="1"/>
      <w:numFmt w:val="lowerLetter"/>
      <w:lvlText w:val="%2."/>
      <w:lvlJc w:val="left"/>
      <w:pPr>
        <w:tabs>
          <w:tab w:val="num" w:pos="366"/>
        </w:tabs>
        <w:ind w:left="366" w:hanging="360"/>
      </w:pPr>
    </w:lvl>
    <w:lvl w:ilvl="2" w:tplc="0409001B" w:tentative="1">
      <w:start w:val="1"/>
      <w:numFmt w:val="lowerRoman"/>
      <w:lvlText w:val="%3."/>
      <w:lvlJc w:val="right"/>
      <w:pPr>
        <w:tabs>
          <w:tab w:val="num" w:pos="1086"/>
        </w:tabs>
        <w:ind w:left="1086" w:hanging="180"/>
      </w:pPr>
    </w:lvl>
    <w:lvl w:ilvl="3" w:tplc="0409000F" w:tentative="1">
      <w:start w:val="1"/>
      <w:numFmt w:val="decimal"/>
      <w:lvlText w:val="%4."/>
      <w:lvlJc w:val="left"/>
      <w:pPr>
        <w:tabs>
          <w:tab w:val="num" w:pos="1806"/>
        </w:tabs>
        <w:ind w:left="1806" w:hanging="360"/>
      </w:pPr>
    </w:lvl>
    <w:lvl w:ilvl="4" w:tplc="04090019" w:tentative="1">
      <w:start w:val="1"/>
      <w:numFmt w:val="lowerLetter"/>
      <w:lvlText w:val="%5."/>
      <w:lvlJc w:val="left"/>
      <w:pPr>
        <w:tabs>
          <w:tab w:val="num" w:pos="2526"/>
        </w:tabs>
        <w:ind w:left="2526" w:hanging="360"/>
      </w:pPr>
    </w:lvl>
    <w:lvl w:ilvl="5" w:tplc="0409001B" w:tentative="1">
      <w:start w:val="1"/>
      <w:numFmt w:val="lowerRoman"/>
      <w:lvlText w:val="%6."/>
      <w:lvlJc w:val="right"/>
      <w:pPr>
        <w:tabs>
          <w:tab w:val="num" w:pos="3246"/>
        </w:tabs>
        <w:ind w:left="3246" w:hanging="180"/>
      </w:pPr>
    </w:lvl>
    <w:lvl w:ilvl="6" w:tplc="0409000F" w:tentative="1">
      <w:start w:val="1"/>
      <w:numFmt w:val="decimal"/>
      <w:lvlText w:val="%7."/>
      <w:lvlJc w:val="left"/>
      <w:pPr>
        <w:tabs>
          <w:tab w:val="num" w:pos="3966"/>
        </w:tabs>
        <w:ind w:left="3966" w:hanging="360"/>
      </w:pPr>
    </w:lvl>
    <w:lvl w:ilvl="7" w:tplc="04090019" w:tentative="1">
      <w:start w:val="1"/>
      <w:numFmt w:val="lowerLetter"/>
      <w:lvlText w:val="%8."/>
      <w:lvlJc w:val="left"/>
      <w:pPr>
        <w:tabs>
          <w:tab w:val="num" w:pos="4686"/>
        </w:tabs>
        <w:ind w:left="4686" w:hanging="360"/>
      </w:pPr>
    </w:lvl>
    <w:lvl w:ilvl="8" w:tplc="0409001B" w:tentative="1">
      <w:start w:val="1"/>
      <w:numFmt w:val="lowerRoman"/>
      <w:lvlText w:val="%9."/>
      <w:lvlJc w:val="right"/>
      <w:pPr>
        <w:tabs>
          <w:tab w:val="num" w:pos="5406"/>
        </w:tabs>
        <w:ind w:left="5406" w:hanging="180"/>
      </w:pPr>
    </w:lvl>
  </w:abstractNum>
  <w:abstractNum w:abstractNumId="15" w15:restartNumberingAfterBreak="0">
    <w:nsid w:val="38677D65"/>
    <w:multiLevelType w:val="hybridMultilevel"/>
    <w:tmpl w:val="A3C0AD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3CF0CBD"/>
    <w:multiLevelType w:val="hybridMultilevel"/>
    <w:tmpl w:val="5E24186C"/>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7" w15:restartNumberingAfterBreak="0">
    <w:nsid w:val="44DF750F"/>
    <w:multiLevelType w:val="hybridMultilevel"/>
    <w:tmpl w:val="BD1698C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84550EE"/>
    <w:multiLevelType w:val="hybridMultilevel"/>
    <w:tmpl w:val="EE607332"/>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90B6A1D"/>
    <w:multiLevelType w:val="hybridMultilevel"/>
    <w:tmpl w:val="69045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92E1368"/>
    <w:multiLevelType w:val="hybridMultilevel"/>
    <w:tmpl w:val="8570B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AFD74BF"/>
    <w:multiLevelType w:val="hybridMultilevel"/>
    <w:tmpl w:val="15A4A7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9E53B3"/>
    <w:multiLevelType w:val="hybridMultilevel"/>
    <w:tmpl w:val="407644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E6889636">
      <w:numFmt w:val="bullet"/>
      <w:lvlText w:val="•"/>
      <w:lvlJc w:val="left"/>
      <w:pPr>
        <w:ind w:left="3240" w:hanging="360"/>
      </w:pPr>
      <w:rPr>
        <w:rFonts w:ascii="Arial" w:eastAsia="Times New Roman" w:hAnsi="Arial" w:cs="Arial" w:hint="default"/>
        <w:b/>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067194F"/>
    <w:multiLevelType w:val="hybridMultilevel"/>
    <w:tmpl w:val="435ED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188618A"/>
    <w:multiLevelType w:val="hybridMultilevel"/>
    <w:tmpl w:val="5B706896"/>
    <w:lvl w:ilvl="0" w:tplc="E1A4FA9C">
      <w:start w:val="1"/>
      <w:numFmt w:val="bullet"/>
      <w:lvlText w:val=""/>
      <w:lvlJc w:val="left"/>
      <w:pPr>
        <w:tabs>
          <w:tab w:val="num" w:pos="360"/>
        </w:tabs>
        <w:ind w:left="360" w:hanging="360"/>
      </w:pPr>
      <w:rPr>
        <w:rFonts w:ascii="Wingdings" w:hAnsi="Wingdings" w:hint="default"/>
        <w:sz w:val="20"/>
      </w:rPr>
    </w:lvl>
    <w:lvl w:ilvl="1" w:tplc="BAB42154">
      <w:start w:val="1"/>
      <w:numFmt w:val="bullet"/>
      <w:lvlText w:val=""/>
      <w:lvlJc w:val="left"/>
      <w:pPr>
        <w:tabs>
          <w:tab w:val="num" w:pos="1213"/>
        </w:tabs>
        <w:ind w:left="1213" w:hanging="493"/>
      </w:pPr>
      <w:rPr>
        <w:rFonts w:ascii="Wingdings" w:hAnsi="Wingdings" w:hint="default"/>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5956018"/>
    <w:multiLevelType w:val="hybridMultilevel"/>
    <w:tmpl w:val="6004E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A907682"/>
    <w:multiLevelType w:val="hybridMultilevel"/>
    <w:tmpl w:val="47CA6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BD64D0C"/>
    <w:multiLevelType w:val="hybridMultilevel"/>
    <w:tmpl w:val="203CED02"/>
    <w:lvl w:ilvl="0" w:tplc="104A44CE">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6C1A782C"/>
    <w:multiLevelType w:val="hybridMultilevel"/>
    <w:tmpl w:val="0906A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C3617B1"/>
    <w:multiLevelType w:val="hybridMultilevel"/>
    <w:tmpl w:val="46C2F346"/>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6EAB76A0"/>
    <w:multiLevelType w:val="hybridMultilevel"/>
    <w:tmpl w:val="550C2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5290669"/>
    <w:multiLevelType w:val="hybridMultilevel"/>
    <w:tmpl w:val="2CB48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653279"/>
    <w:multiLevelType w:val="hybridMultilevel"/>
    <w:tmpl w:val="1A5EF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7C045CB"/>
    <w:multiLevelType w:val="hybridMultilevel"/>
    <w:tmpl w:val="67CC6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8E3566"/>
    <w:multiLevelType w:val="hybridMultilevel"/>
    <w:tmpl w:val="A8C2C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F786788"/>
    <w:multiLevelType w:val="hybridMultilevel"/>
    <w:tmpl w:val="2BD291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959020700">
    <w:abstractNumId w:val="14"/>
  </w:num>
  <w:num w:numId="2" w16cid:durableId="1709572495">
    <w:abstractNumId w:val="21"/>
  </w:num>
  <w:num w:numId="3" w16cid:durableId="1577058697">
    <w:abstractNumId w:val="24"/>
  </w:num>
  <w:num w:numId="4" w16cid:durableId="1067260621">
    <w:abstractNumId w:val="22"/>
  </w:num>
  <w:num w:numId="5" w16cid:durableId="180434222">
    <w:abstractNumId w:val="6"/>
  </w:num>
  <w:num w:numId="6" w16cid:durableId="2135056906">
    <w:abstractNumId w:val="34"/>
  </w:num>
  <w:num w:numId="7" w16cid:durableId="745223915">
    <w:abstractNumId w:val="23"/>
  </w:num>
  <w:num w:numId="8" w16cid:durableId="1518233034">
    <w:abstractNumId w:val="8"/>
  </w:num>
  <w:num w:numId="9" w16cid:durableId="1882550741">
    <w:abstractNumId w:val="15"/>
  </w:num>
  <w:num w:numId="10" w16cid:durableId="767316337">
    <w:abstractNumId w:val="25"/>
  </w:num>
  <w:num w:numId="11" w16cid:durableId="35280706">
    <w:abstractNumId w:val="29"/>
  </w:num>
  <w:num w:numId="12" w16cid:durableId="1485585190">
    <w:abstractNumId w:val="17"/>
  </w:num>
  <w:num w:numId="13" w16cid:durableId="47269412">
    <w:abstractNumId w:val="9"/>
  </w:num>
  <w:num w:numId="14" w16cid:durableId="103578256">
    <w:abstractNumId w:val="31"/>
  </w:num>
  <w:num w:numId="15" w16cid:durableId="463276515">
    <w:abstractNumId w:val="5"/>
  </w:num>
  <w:num w:numId="16" w16cid:durableId="2007249012">
    <w:abstractNumId w:val="2"/>
  </w:num>
  <w:num w:numId="17" w16cid:durableId="2131631136">
    <w:abstractNumId w:val="28"/>
  </w:num>
  <w:num w:numId="18" w16cid:durableId="990711730">
    <w:abstractNumId w:val="19"/>
  </w:num>
  <w:num w:numId="19" w16cid:durableId="1547447175">
    <w:abstractNumId w:val="26"/>
  </w:num>
  <w:num w:numId="20" w16cid:durableId="368381451">
    <w:abstractNumId w:val="4"/>
  </w:num>
  <w:num w:numId="21" w16cid:durableId="20791344">
    <w:abstractNumId w:val="16"/>
  </w:num>
  <w:num w:numId="22" w16cid:durableId="704254827">
    <w:abstractNumId w:val="7"/>
  </w:num>
  <w:num w:numId="23" w16cid:durableId="720328709">
    <w:abstractNumId w:val="32"/>
  </w:num>
  <w:num w:numId="24" w16cid:durableId="85855005">
    <w:abstractNumId w:val="10"/>
  </w:num>
  <w:num w:numId="25" w16cid:durableId="313604029">
    <w:abstractNumId w:val="13"/>
  </w:num>
  <w:num w:numId="26" w16cid:durableId="75834106">
    <w:abstractNumId w:val="30"/>
  </w:num>
  <w:num w:numId="27" w16cid:durableId="264075352">
    <w:abstractNumId w:val="20"/>
  </w:num>
  <w:num w:numId="28" w16cid:durableId="960843314">
    <w:abstractNumId w:val="23"/>
  </w:num>
  <w:num w:numId="29" w16cid:durableId="339090008">
    <w:abstractNumId w:val="34"/>
  </w:num>
  <w:num w:numId="30" w16cid:durableId="299849708">
    <w:abstractNumId w:val="27"/>
  </w:num>
  <w:num w:numId="31" w16cid:durableId="43386928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62481087">
    <w:abstractNumId w:val="3"/>
  </w:num>
  <w:num w:numId="33" w16cid:durableId="1050614676">
    <w:abstractNumId w:val="35"/>
  </w:num>
  <w:num w:numId="34" w16cid:durableId="278605076">
    <w:abstractNumId w:val="11"/>
  </w:num>
  <w:num w:numId="35" w16cid:durableId="471288289">
    <w:abstractNumId w:val="1"/>
  </w:num>
  <w:num w:numId="36" w16cid:durableId="682366388">
    <w:abstractNumId w:val="0"/>
  </w:num>
  <w:num w:numId="37" w16cid:durableId="1559515199">
    <w:abstractNumId w:val="19"/>
  </w:num>
  <w:num w:numId="38" w16cid:durableId="1556233356">
    <w:abstractNumId w:val="4"/>
  </w:num>
  <w:num w:numId="39" w16cid:durableId="387727868">
    <w:abstractNumId w:val="16"/>
  </w:num>
  <w:num w:numId="40" w16cid:durableId="457602778">
    <w:abstractNumId w:val="32"/>
  </w:num>
  <w:num w:numId="41" w16cid:durableId="1382052360">
    <w:abstractNumId w:val="18"/>
    <w:lvlOverride w:ilvl="0">
      <w:startOverride w:val="1"/>
    </w:lvlOverride>
    <w:lvlOverride w:ilvl="1"/>
    <w:lvlOverride w:ilvl="2"/>
    <w:lvlOverride w:ilvl="3"/>
    <w:lvlOverride w:ilvl="4"/>
    <w:lvlOverride w:ilvl="5"/>
    <w:lvlOverride w:ilvl="6"/>
    <w:lvlOverride w:ilvl="7"/>
    <w:lvlOverride w:ilvl="8"/>
  </w:num>
  <w:num w:numId="42" w16cid:durableId="926958849">
    <w:abstractNumId w:val="0"/>
  </w:num>
  <w:num w:numId="43" w16cid:durableId="1629315199">
    <w:abstractNumId w:val="12"/>
  </w:num>
  <w:num w:numId="44" w16cid:durableId="519901821">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0"/>
  <w:defaultTabStop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29"/>
    <w:rsid w:val="00004CD4"/>
    <w:rsid w:val="00006B1B"/>
    <w:rsid w:val="00006B2A"/>
    <w:rsid w:val="00007DF6"/>
    <w:rsid w:val="0001635D"/>
    <w:rsid w:val="00020DF8"/>
    <w:rsid w:val="00033131"/>
    <w:rsid w:val="000349CF"/>
    <w:rsid w:val="00040BCE"/>
    <w:rsid w:val="00051449"/>
    <w:rsid w:val="00061E36"/>
    <w:rsid w:val="00065221"/>
    <w:rsid w:val="000678AD"/>
    <w:rsid w:val="00081B1B"/>
    <w:rsid w:val="000833DA"/>
    <w:rsid w:val="000902EE"/>
    <w:rsid w:val="00090C38"/>
    <w:rsid w:val="00097D24"/>
    <w:rsid w:val="000A3722"/>
    <w:rsid w:val="000C2DB5"/>
    <w:rsid w:val="000C7F57"/>
    <w:rsid w:val="000D455C"/>
    <w:rsid w:val="000D7991"/>
    <w:rsid w:val="000E1FD2"/>
    <w:rsid w:val="000F0B54"/>
    <w:rsid w:val="00116009"/>
    <w:rsid w:val="00116B64"/>
    <w:rsid w:val="00121068"/>
    <w:rsid w:val="00122599"/>
    <w:rsid w:val="00141F69"/>
    <w:rsid w:val="0015736E"/>
    <w:rsid w:val="00181294"/>
    <w:rsid w:val="001A17F5"/>
    <w:rsid w:val="001A3040"/>
    <w:rsid w:val="001A6B58"/>
    <w:rsid w:val="001B4F65"/>
    <w:rsid w:val="001B6917"/>
    <w:rsid w:val="001B7240"/>
    <w:rsid w:val="001C08EF"/>
    <w:rsid w:val="001C72F0"/>
    <w:rsid w:val="001D735A"/>
    <w:rsid w:val="001D75EA"/>
    <w:rsid w:val="002006A3"/>
    <w:rsid w:val="00201391"/>
    <w:rsid w:val="002026D4"/>
    <w:rsid w:val="00216557"/>
    <w:rsid w:val="0022594E"/>
    <w:rsid w:val="0026584D"/>
    <w:rsid w:val="00274684"/>
    <w:rsid w:val="00281A3C"/>
    <w:rsid w:val="00290457"/>
    <w:rsid w:val="002954B6"/>
    <w:rsid w:val="002A009B"/>
    <w:rsid w:val="002B0C19"/>
    <w:rsid w:val="002C0A08"/>
    <w:rsid w:val="002C2470"/>
    <w:rsid w:val="002C3764"/>
    <w:rsid w:val="002C6064"/>
    <w:rsid w:val="002D2570"/>
    <w:rsid w:val="002D3CB5"/>
    <w:rsid w:val="002E1C37"/>
    <w:rsid w:val="002E5B12"/>
    <w:rsid w:val="002F0C6D"/>
    <w:rsid w:val="002F32D3"/>
    <w:rsid w:val="002F4544"/>
    <w:rsid w:val="0030088E"/>
    <w:rsid w:val="0030269A"/>
    <w:rsid w:val="00307B2B"/>
    <w:rsid w:val="00311575"/>
    <w:rsid w:val="00321F76"/>
    <w:rsid w:val="00324400"/>
    <w:rsid w:val="00325769"/>
    <w:rsid w:val="003268D2"/>
    <w:rsid w:val="003301DF"/>
    <w:rsid w:val="0034031A"/>
    <w:rsid w:val="003447C1"/>
    <w:rsid w:val="003452C5"/>
    <w:rsid w:val="003540B3"/>
    <w:rsid w:val="003559D9"/>
    <w:rsid w:val="0036633D"/>
    <w:rsid w:val="003711DA"/>
    <w:rsid w:val="00376393"/>
    <w:rsid w:val="003763B3"/>
    <w:rsid w:val="00382843"/>
    <w:rsid w:val="00384379"/>
    <w:rsid w:val="0039285C"/>
    <w:rsid w:val="003B6537"/>
    <w:rsid w:val="003D1B74"/>
    <w:rsid w:val="003D6F3B"/>
    <w:rsid w:val="003F2A47"/>
    <w:rsid w:val="003F3B33"/>
    <w:rsid w:val="003F7848"/>
    <w:rsid w:val="004052E9"/>
    <w:rsid w:val="00406BF2"/>
    <w:rsid w:val="00407BEB"/>
    <w:rsid w:val="00413BC8"/>
    <w:rsid w:val="00420744"/>
    <w:rsid w:val="00442D9B"/>
    <w:rsid w:val="00452378"/>
    <w:rsid w:val="00453CB7"/>
    <w:rsid w:val="00454560"/>
    <w:rsid w:val="00455A6A"/>
    <w:rsid w:val="00456D4B"/>
    <w:rsid w:val="004579C4"/>
    <w:rsid w:val="00473A3C"/>
    <w:rsid w:val="00474C2D"/>
    <w:rsid w:val="00483817"/>
    <w:rsid w:val="004A4384"/>
    <w:rsid w:val="004B177D"/>
    <w:rsid w:val="004B3E41"/>
    <w:rsid w:val="004D0D25"/>
    <w:rsid w:val="004D5DB4"/>
    <w:rsid w:val="004E1C35"/>
    <w:rsid w:val="00500E2E"/>
    <w:rsid w:val="005026B1"/>
    <w:rsid w:val="0052755D"/>
    <w:rsid w:val="00541195"/>
    <w:rsid w:val="005430C6"/>
    <w:rsid w:val="005476BB"/>
    <w:rsid w:val="005578FA"/>
    <w:rsid w:val="00561381"/>
    <w:rsid w:val="00564C72"/>
    <w:rsid w:val="00564F68"/>
    <w:rsid w:val="0057501A"/>
    <w:rsid w:val="00575537"/>
    <w:rsid w:val="00593B38"/>
    <w:rsid w:val="005C309C"/>
    <w:rsid w:val="005C6D32"/>
    <w:rsid w:val="005C7885"/>
    <w:rsid w:val="005D1B7A"/>
    <w:rsid w:val="005D2B7C"/>
    <w:rsid w:val="005D3C00"/>
    <w:rsid w:val="005D5FCA"/>
    <w:rsid w:val="005E05B8"/>
    <w:rsid w:val="005E176B"/>
    <w:rsid w:val="005E21BE"/>
    <w:rsid w:val="005F2CB7"/>
    <w:rsid w:val="005F4854"/>
    <w:rsid w:val="00603355"/>
    <w:rsid w:val="00603489"/>
    <w:rsid w:val="00610905"/>
    <w:rsid w:val="00615095"/>
    <w:rsid w:val="00615509"/>
    <w:rsid w:val="00615D4A"/>
    <w:rsid w:val="00631DFD"/>
    <w:rsid w:val="006443C5"/>
    <w:rsid w:val="00655FB4"/>
    <w:rsid w:val="00657EDD"/>
    <w:rsid w:val="00663031"/>
    <w:rsid w:val="00672B57"/>
    <w:rsid w:val="00673DDC"/>
    <w:rsid w:val="00682308"/>
    <w:rsid w:val="00682980"/>
    <w:rsid w:val="006832A6"/>
    <w:rsid w:val="0069262F"/>
    <w:rsid w:val="00696C80"/>
    <w:rsid w:val="006A351A"/>
    <w:rsid w:val="006A5754"/>
    <w:rsid w:val="006A5E49"/>
    <w:rsid w:val="006A7081"/>
    <w:rsid w:val="006C5A53"/>
    <w:rsid w:val="006D2CF8"/>
    <w:rsid w:val="006F31C8"/>
    <w:rsid w:val="006F4129"/>
    <w:rsid w:val="00707545"/>
    <w:rsid w:val="00710AA9"/>
    <w:rsid w:val="00723203"/>
    <w:rsid w:val="00725343"/>
    <w:rsid w:val="0072705F"/>
    <w:rsid w:val="0073239C"/>
    <w:rsid w:val="007445D8"/>
    <w:rsid w:val="00755258"/>
    <w:rsid w:val="00755AEA"/>
    <w:rsid w:val="007615C2"/>
    <w:rsid w:val="00773102"/>
    <w:rsid w:val="007819A8"/>
    <w:rsid w:val="0078393A"/>
    <w:rsid w:val="00785ADF"/>
    <w:rsid w:val="0079538E"/>
    <w:rsid w:val="0079718D"/>
    <w:rsid w:val="007A20CB"/>
    <w:rsid w:val="007B555D"/>
    <w:rsid w:val="007B5CB4"/>
    <w:rsid w:val="007C7176"/>
    <w:rsid w:val="007D4DA1"/>
    <w:rsid w:val="007E0C3B"/>
    <w:rsid w:val="007F279D"/>
    <w:rsid w:val="00804862"/>
    <w:rsid w:val="0080613F"/>
    <w:rsid w:val="00814A87"/>
    <w:rsid w:val="00824646"/>
    <w:rsid w:val="00832A16"/>
    <w:rsid w:val="00843717"/>
    <w:rsid w:val="00852110"/>
    <w:rsid w:val="008522DD"/>
    <w:rsid w:val="008551E2"/>
    <w:rsid w:val="00870BC7"/>
    <w:rsid w:val="0087727A"/>
    <w:rsid w:val="00877DBD"/>
    <w:rsid w:val="00880A02"/>
    <w:rsid w:val="00887786"/>
    <w:rsid w:val="00897E3A"/>
    <w:rsid w:val="008A3D1B"/>
    <w:rsid w:val="008B71E0"/>
    <w:rsid w:val="008C0C66"/>
    <w:rsid w:val="008C34F3"/>
    <w:rsid w:val="008C60DC"/>
    <w:rsid w:val="008C60E5"/>
    <w:rsid w:val="008D03D1"/>
    <w:rsid w:val="008D1EAF"/>
    <w:rsid w:val="008D3443"/>
    <w:rsid w:val="008E51B6"/>
    <w:rsid w:val="008E77E6"/>
    <w:rsid w:val="008F7BD5"/>
    <w:rsid w:val="0091151D"/>
    <w:rsid w:val="00924742"/>
    <w:rsid w:val="00926A50"/>
    <w:rsid w:val="00926B59"/>
    <w:rsid w:val="0093340C"/>
    <w:rsid w:val="00941CD1"/>
    <w:rsid w:val="00947492"/>
    <w:rsid w:val="00992F76"/>
    <w:rsid w:val="009A2881"/>
    <w:rsid w:val="009A6FA9"/>
    <w:rsid w:val="009C1178"/>
    <w:rsid w:val="009C326B"/>
    <w:rsid w:val="009C539F"/>
    <w:rsid w:val="009E62DB"/>
    <w:rsid w:val="009F3274"/>
    <w:rsid w:val="009F520F"/>
    <w:rsid w:val="00A0756C"/>
    <w:rsid w:val="00A107A2"/>
    <w:rsid w:val="00A14C22"/>
    <w:rsid w:val="00A20476"/>
    <w:rsid w:val="00A23128"/>
    <w:rsid w:val="00A25330"/>
    <w:rsid w:val="00A26894"/>
    <w:rsid w:val="00A321E9"/>
    <w:rsid w:val="00A543B5"/>
    <w:rsid w:val="00A656B7"/>
    <w:rsid w:val="00A72497"/>
    <w:rsid w:val="00A75101"/>
    <w:rsid w:val="00A77AB0"/>
    <w:rsid w:val="00A82E66"/>
    <w:rsid w:val="00A91EF3"/>
    <w:rsid w:val="00A9295F"/>
    <w:rsid w:val="00AA442F"/>
    <w:rsid w:val="00AB2269"/>
    <w:rsid w:val="00AB2F58"/>
    <w:rsid w:val="00AB4A9C"/>
    <w:rsid w:val="00AC724B"/>
    <w:rsid w:val="00AD5982"/>
    <w:rsid w:val="00AD742E"/>
    <w:rsid w:val="00AE31E5"/>
    <w:rsid w:val="00AE599B"/>
    <w:rsid w:val="00AF076D"/>
    <w:rsid w:val="00AF6D3E"/>
    <w:rsid w:val="00B061F6"/>
    <w:rsid w:val="00B10C94"/>
    <w:rsid w:val="00B11148"/>
    <w:rsid w:val="00B11AF0"/>
    <w:rsid w:val="00B127EC"/>
    <w:rsid w:val="00B1737A"/>
    <w:rsid w:val="00B30881"/>
    <w:rsid w:val="00B42EA4"/>
    <w:rsid w:val="00B51190"/>
    <w:rsid w:val="00B62EE0"/>
    <w:rsid w:val="00B91E12"/>
    <w:rsid w:val="00B920C0"/>
    <w:rsid w:val="00B94E30"/>
    <w:rsid w:val="00BA3B1F"/>
    <w:rsid w:val="00BA7759"/>
    <w:rsid w:val="00BB233D"/>
    <w:rsid w:val="00BB5161"/>
    <w:rsid w:val="00BC0016"/>
    <w:rsid w:val="00BC1749"/>
    <w:rsid w:val="00BE545B"/>
    <w:rsid w:val="00BE6D65"/>
    <w:rsid w:val="00BF055C"/>
    <w:rsid w:val="00BF5868"/>
    <w:rsid w:val="00BF6AE5"/>
    <w:rsid w:val="00C024F4"/>
    <w:rsid w:val="00C026A3"/>
    <w:rsid w:val="00C06FA7"/>
    <w:rsid w:val="00C07AEA"/>
    <w:rsid w:val="00C10F60"/>
    <w:rsid w:val="00C126A4"/>
    <w:rsid w:val="00C17474"/>
    <w:rsid w:val="00C2364E"/>
    <w:rsid w:val="00C27AA3"/>
    <w:rsid w:val="00C37C6F"/>
    <w:rsid w:val="00C463EE"/>
    <w:rsid w:val="00C5145D"/>
    <w:rsid w:val="00C5458F"/>
    <w:rsid w:val="00C54D33"/>
    <w:rsid w:val="00C56C9B"/>
    <w:rsid w:val="00C62913"/>
    <w:rsid w:val="00C63E57"/>
    <w:rsid w:val="00C74787"/>
    <w:rsid w:val="00C83EBD"/>
    <w:rsid w:val="00C91C1E"/>
    <w:rsid w:val="00CA1BB1"/>
    <w:rsid w:val="00CB0FCF"/>
    <w:rsid w:val="00CB147C"/>
    <w:rsid w:val="00CC01A3"/>
    <w:rsid w:val="00CC0AC9"/>
    <w:rsid w:val="00CC2A7B"/>
    <w:rsid w:val="00CD1399"/>
    <w:rsid w:val="00CD3BF1"/>
    <w:rsid w:val="00CD5972"/>
    <w:rsid w:val="00CE04F1"/>
    <w:rsid w:val="00CE407B"/>
    <w:rsid w:val="00CF0020"/>
    <w:rsid w:val="00CF3656"/>
    <w:rsid w:val="00CF4706"/>
    <w:rsid w:val="00CF7CCC"/>
    <w:rsid w:val="00D029A0"/>
    <w:rsid w:val="00D06903"/>
    <w:rsid w:val="00D1294B"/>
    <w:rsid w:val="00D14564"/>
    <w:rsid w:val="00D32511"/>
    <w:rsid w:val="00D40180"/>
    <w:rsid w:val="00D43187"/>
    <w:rsid w:val="00D435E7"/>
    <w:rsid w:val="00D50868"/>
    <w:rsid w:val="00D52138"/>
    <w:rsid w:val="00D73BA6"/>
    <w:rsid w:val="00D7516C"/>
    <w:rsid w:val="00D763E4"/>
    <w:rsid w:val="00D7659F"/>
    <w:rsid w:val="00D91D06"/>
    <w:rsid w:val="00D92F8E"/>
    <w:rsid w:val="00D95A4B"/>
    <w:rsid w:val="00DC2E68"/>
    <w:rsid w:val="00DD1664"/>
    <w:rsid w:val="00DD236B"/>
    <w:rsid w:val="00DD4907"/>
    <w:rsid w:val="00DE0719"/>
    <w:rsid w:val="00DE41DC"/>
    <w:rsid w:val="00E06022"/>
    <w:rsid w:val="00E17CCB"/>
    <w:rsid w:val="00E40BE6"/>
    <w:rsid w:val="00E437B8"/>
    <w:rsid w:val="00E5109D"/>
    <w:rsid w:val="00E51326"/>
    <w:rsid w:val="00E519D5"/>
    <w:rsid w:val="00E5635C"/>
    <w:rsid w:val="00E5707A"/>
    <w:rsid w:val="00E60DF5"/>
    <w:rsid w:val="00E6768A"/>
    <w:rsid w:val="00E71F1A"/>
    <w:rsid w:val="00E75D40"/>
    <w:rsid w:val="00E82597"/>
    <w:rsid w:val="00E827BB"/>
    <w:rsid w:val="00E85B9D"/>
    <w:rsid w:val="00E94F80"/>
    <w:rsid w:val="00E95BC7"/>
    <w:rsid w:val="00E97C1A"/>
    <w:rsid w:val="00EA0CBA"/>
    <w:rsid w:val="00EA3D76"/>
    <w:rsid w:val="00EA56B7"/>
    <w:rsid w:val="00EC78B6"/>
    <w:rsid w:val="00EF3E34"/>
    <w:rsid w:val="00EF65C0"/>
    <w:rsid w:val="00F076D6"/>
    <w:rsid w:val="00F10CAC"/>
    <w:rsid w:val="00F12528"/>
    <w:rsid w:val="00F12CB2"/>
    <w:rsid w:val="00F243D6"/>
    <w:rsid w:val="00F31F41"/>
    <w:rsid w:val="00F32762"/>
    <w:rsid w:val="00F35DF7"/>
    <w:rsid w:val="00F6322C"/>
    <w:rsid w:val="00F675C7"/>
    <w:rsid w:val="00F700A3"/>
    <w:rsid w:val="00F82896"/>
    <w:rsid w:val="00F85EC9"/>
    <w:rsid w:val="00F976BC"/>
    <w:rsid w:val="00FA3389"/>
    <w:rsid w:val="00FA5965"/>
    <w:rsid w:val="00FB0EA6"/>
    <w:rsid w:val="00FB6469"/>
    <w:rsid w:val="00FD6BFE"/>
    <w:rsid w:val="00FF4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75D14"/>
  <w15:docId w15:val="{E733978E-DE30-4979-978E-3490145E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B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F41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129"/>
  </w:style>
  <w:style w:type="character" w:styleId="PageNumber">
    <w:name w:val="page number"/>
    <w:basedOn w:val="DefaultParagraphFont"/>
    <w:rsid w:val="006F4129"/>
  </w:style>
  <w:style w:type="paragraph" w:styleId="Header">
    <w:name w:val="header"/>
    <w:basedOn w:val="Normal"/>
    <w:link w:val="HeaderChar"/>
    <w:uiPriority w:val="99"/>
    <w:unhideWhenUsed/>
    <w:rsid w:val="006F41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129"/>
  </w:style>
  <w:style w:type="paragraph" w:styleId="BalloonText">
    <w:name w:val="Balloon Text"/>
    <w:basedOn w:val="Normal"/>
    <w:link w:val="BalloonTextChar"/>
    <w:uiPriority w:val="99"/>
    <w:semiHidden/>
    <w:unhideWhenUsed/>
    <w:rsid w:val="006F4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129"/>
    <w:rPr>
      <w:rFonts w:ascii="Tahoma" w:hAnsi="Tahoma" w:cs="Tahoma"/>
      <w:sz w:val="16"/>
      <w:szCs w:val="16"/>
    </w:rPr>
  </w:style>
  <w:style w:type="character" w:styleId="CommentReference">
    <w:name w:val="annotation reference"/>
    <w:basedOn w:val="DefaultParagraphFont"/>
    <w:uiPriority w:val="99"/>
    <w:semiHidden/>
    <w:unhideWhenUsed/>
    <w:rsid w:val="00FA3389"/>
    <w:rPr>
      <w:sz w:val="16"/>
      <w:szCs w:val="16"/>
    </w:rPr>
  </w:style>
  <w:style w:type="paragraph" w:styleId="CommentText">
    <w:name w:val="annotation text"/>
    <w:basedOn w:val="Normal"/>
    <w:link w:val="CommentTextChar"/>
    <w:uiPriority w:val="99"/>
    <w:unhideWhenUsed/>
    <w:rsid w:val="00FA3389"/>
    <w:pPr>
      <w:spacing w:line="240" w:lineRule="auto"/>
    </w:pPr>
    <w:rPr>
      <w:sz w:val="20"/>
      <w:szCs w:val="20"/>
    </w:rPr>
  </w:style>
  <w:style w:type="character" w:customStyle="1" w:styleId="CommentTextChar">
    <w:name w:val="Comment Text Char"/>
    <w:basedOn w:val="DefaultParagraphFont"/>
    <w:link w:val="CommentText"/>
    <w:uiPriority w:val="99"/>
    <w:rsid w:val="00FA3389"/>
    <w:rPr>
      <w:sz w:val="20"/>
      <w:szCs w:val="20"/>
    </w:rPr>
  </w:style>
  <w:style w:type="paragraph" w:styleId="CommentSubject">
    <w:name w:val="annotation subject"/>
    <w:basedOn w:val="CommentText"/>
    <w:next w:val="CommentText"/>
    <w:link w:val="CommentSubjectChar"/>
    <w:uiPriority w:val="99"/>
    <w:semiHidden/>
    <w:unhideWhenUsed/>
    <w:rsid w:val="00FA3389"/>
    <w:rPr>
      <w:b/>
      <w:bCs/>
    </w:rPr>
  </w:style>
  <w:style w:type="character" w:customStyle="1" w:styleId="CommentSubjectChar">
    <w:name w:val="Comment Subject Char"/>
    <w:basedOn w:val="CommentTextChar"/>
    <w:link w:val="CommentSubject"/>
    <w:uiPriority w:val="99"/>
    <w:semiHidden/>
    <w:rsid w:val="00FA3389"/>
    <w:rPr>
      <w:b/>
      <w:bCs/>
      <w:sz w:val="20"/>
      <w:szCs w:val="20"/>
    </w:rPr>
  </w:style>
  <w:style w:type="paragraph" w:customStyle="1" w:styleId="Default">
    <w:name w:val="Default"/>
    <w:rsid w:val="00F976BC"/>
    <w:pPr>
      <w:autoSpaceDE w:val="0"/>
      <w:autoSpaceDN w:val="0"/>
      <w:adjustRightInd w:val="0"/>
      <w:spacing w:after="0" w:line="240" w:lineRule="auto"/>
    </w:pPr>
    <w:rPr>
      <w:rFonts w:ascii="Arial" w:eastAsia="Calibri" w:hAnsi="Arial" w:cs="Arial"/>
      <w:color w:val="000000"/>
      <w:sz w:val="24"/>
      <w:szCs w:val="24"/>
      <w:lang w:eastAsia="en-GB"/>
    </w:rPr>
  </w:style>
  <w:style w:type="paragraph" w:styleId="ListParagraph">
    <w:name w:val="List Paragraph"/>
    <w:basedOn w:val="Normal"/>
    <w:uiPriority w:val="34"/>
    <w:qFormat/>
    <w:rsid w:val="009A6FA9"/>
    <w:pPr>
      <w:ind w:left="720"/>
      <w:contextualSpacing/>
    </w:pPr>
  </w:style>
  <w:style w:type="character" w:styleId="Hyperlink">
    <w:name w:val="Hyperlink"/>
    <w:unhideWhenUsed/>
    <w:rsid w:val="005578FA"/>
    <w:rPr>
      <w:color w:val="0000FF"/>
      <w:u w:val="single"/>
    </w:rPr>
  </w:style>
  <w:style w:type="character" w:customStyle="1" w:styleId="st1">
    <w:name w:val="st1"/>
    <w:rsid w:val="005578FA"/>
  </w:style>
  <w:style w:type="character" w:styleId="FollowedHyperlink">
    <w:name w:val="FollowedHyperlink"/>
    <w:basedOn w:val="DefaultParagraphFont"/>
    <w:uiPriority w:val="99"/>
    <w:semiHidden/>
    <w:unhideWhenUsed/>
    <w:rsid w:val="002B0C19"/>
    <w:rPr>
      <w:color w:val="800080" w:themeColor="followedHyperlink"/>
      <w:u w:val="single"/>
    </w:rPr>
  </w:style>
  <w:style w:type="table" w:styleId="TableGrid">
    <w:name w:val="Table Grid"/>
    <w:basedOn w:val="TableNormal"/>
    <w:uiPriority w:val="59"/>
    <w:rsid w:val="00E85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04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20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7991"/>
    <w:pPr>
      <w:spacing w:after="0" w:line="240" w:lineRule="auto"/>
    </w:pPr>
  </w:style>
  <w:style w:type="character" w:styleId="UnresolvedMention">
    <w:name w:val="Unresolved Mention"/>
    <w:basedOn w:val="DefaultParagraphFont"/>
    <w:uiPriority w:val="99"/>
    <w:semiHidden/>
    <w:unhideWhenUsed/>
    <w:rsid w:val="00C62913"/>
    <w:rPr>
      <w:color w:val="605E5C"/>
      <w:shd w:val="clear" w:color="auto" w:fill="E1DFDD"/>
    </w:rPr>
  </w:style>
  <w:style w:type="paragraph" w:styleId="NoSpacing">
    <w:name w:val="No Spacing"/>
    <w:uiPriority w:val="1"/>
    <w:qFormat/>
    <w:rsid w:val="00307B2B"/>
    <w:pPr>
      <w:spacing w:after="0" w:line="240" w:lineRule="auto"/>
    </w:pPr>
  </w:style>
  <w:style w:type="paragraph" w:customStyle="1" w:styleId="xmsonormal">
    <w:name w:val="x_msonormal"/>
    <w:basedOn w:val="Normal"/>
    <w:rsid w:val="00897E3A"/>
    <w:pPr>
      <w:spacing w:after="0" w:line="240" w:lineRule="auto"/>
    </w:pPr>
    <w:rPr>
      <w:rFonts w:ascii="Times New Roman" w:hAnsi="Times New Roman" w:cs="Times New Roman"/>
      <w:sz w:val="24"/>
      <w:szCs w:val="24"/>
      <w:lang w:eastAsia="en-GB"/>
    </w:rPr>
  </w:style>
  <w:style w:type="table" w:customStyle="1" w:styleId="TableGrid3">
    <w:name w:val="Table Grid3"/>
    <w:basedOn w:val="TableNormal"/>
    <w:next w:val="TableGrid"/>
    <w:uiPriority w:val="59"/>
    <w:rsid w:val="00290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90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68477">
      <w:bodyDiv w:val="1"/>
      <w:marLeft w:val="0"/>
      <w:marRight w:val="0"/>
      <w:marTop w:val="0"/>
      <w:marBottom w:val="0"/>
      <w:divBdr>
        <w:top w:val="none" w:sz="0" w:space="0" w:color="auto"/>
        <w:left w:val="none" w:sz="0" w:space="0" w:color="auto"/>
        <w:bottom w:val="none" w:sz="0" w:space="0" w:color="auto"/>
        <w:right w:val="none" w:sz="0" w:space="0" w:color="auto"/>
      </w:divBdr>
    </w:div>
    <w:div w:id="291400159">
      <w:bodyDiv w:val="1"/>
      <w:marLeft w:val="0"/>
      <w:marRight w:val="0"/>
      <w:marTop w:val="0"/>
      <w:marBottom w:val="0"/>
      <w:divBdr>
        <w:top w:val="none" w:sz="0" w:space="0" w:color="auto"/>
        <w:left w:val="none" w:sz="0" w:space="0" w:color="auto"/>
        <w:bottom w:val="none" w:sz="0" w:space="0" w:color="auto"/>
        <w:right w:val="none" w:sz="0" w:space="0" w:color="auto"/>
      </w:divBdr>
    </w:div>
    <w:div w:id="404380872">
      <w:bodyDiv w:val="1"/>
      <w:marLeft w:val="0"/>
      <w:marRight w:val="0"/>
      <w:marTop w:val="0"/>
      <w:marBottom w:val="0"/>
      <w:divBdr>
        <w:top w:val="none" w:sz="0" w:space="0" w:color="auto"/>
        <w:left w:val="none" w:sz="0" w:space="0" w:color="auto"/>
        <w:bottom w:val="none" w:sz="0" w:space="0" w:color="auto"/>
        <w:right w:val="none" w:sz="0" w:space="0" w:color="auto"/>
      </w:divBdr>
    </w:div>
    <w:div w:id="423460094">
      <w:bodyDiv w:val="1"/>
      <w:marLeft w:val="0"/>
      <w:marRight w:val="0"/>
      <w:marTop w:val="0"/>
      <w:marBottom w:val="0"/>
      <w:divBdr>
        <w:top w:val="none" w:sz="0" w:space="0" w:color="auto"/>
        <w:left w:val="none" w:sz="0" w:space="0" w:color="auto"/>
        <w:bottom w:val="none" w:sz="0" w:space="0" w:color="auto"/>
        <w:right w:val="none" w:sz="0" w:space="0" w:color="auto"/>
      </w:divBdr>
    </w:div>
    <w:div w:id="445152500">
      <w:bodyDiv w:val="1"/>
      <w:marLeft w:val="0"/>
      <w:marRight w:val="0"/>
      <w:marTop w:val="0"/>
      <w:marBottom w:val="0"/>
      <w:divBdr>
        <w:top w:val="none" w:sz="0" w:space="0" w:color="auto"/>
        <w:left w:val="none" w:sz="0" w:space="0" w:color="auto"/>
        <w:bottom w:val="none" w:sz="0" w:space="0" w:color="auto"/>
        <w:right w:val="none" w:sz="0" w:space="0" w:color="auto"/>
      </w:divBdr>
    </w:div>
    <w:div w:id="710881065">
      <w:bodyDiv w:val="1"/>
      <w:marLeft w:val="0"/>
      <w:marRight w:val="0"/>
      <w:marTop w:val="0"/>
      <w:marBottom w:val="0"/>
      <w:divBdr>
        <w:top w:val="none" w:sz="0" w:space="0" w:color="auto"/>
        <w:left w:val="none" w:sz="0" w:space="0" w:color="auto"/>
        <w:bottom w:val="none" w:sz="0" w:space="0" w:color="auto"/>
        <w:right w:val="none" w:sz="0" w:space="0" w:color="auto"/>
      </w:divBdr>
    </w:div>
    <w:div w:id="718362627">
      <w:bodyDiv w:val="1"/>
      <w:marLeft w:val="0"/>
      <w:marRight w:val="0"/>
      <w:marTop w:val="0"/>
      <w:marBottom w:val="0"/>
      <w:divBdr>
        <w:top w:val="none" w:sz="0" w:space="0" w:color="auto"/>
        <w:left w:val="none" w:sz="0" w:space="0" w:color="auto"/>
        <w:bottom w:val="none" w:sz="0" w:space="0" w:color="auto"/>
        <w:right w:val="none" w:sz="0" w:space="0" w:color="auto"/>
      </w:divBdr>
    </w:div>
    <w:div w:id="1142115810">
      <w:bodyDiv w:val="1"/>
      <w:marLeft w:val="0"/>
      <w:marRight w:val="0"/>
      <w:marTop w:val="0"/>
      <w:marBottom w:val="0"/>
      <w:divBdr>
        <w:top w:val="none" w:sz="0" w:space="0" w:color="auto"/>
        <w:left w:val="none" w:sz="0" w:space="0" w:color="auto"/>
        <w:bottom w:val="none" w:sz="0" w:space="0" w:color="auto"/>
        <w:right w:val="none" w:sz="0" w:space="0" w:color="auto"/>
      </w:divBdr>
    </w:div>
    <w:div w:id="1155223607">
      <w:bodyDiv w:val="1"/>
      <w:marLeft w:val="0"/>
      <w:marRight w:val="0"/>
      <w:marTop w:val="0"/>
      <w:marBottom w:val="0"/>
      <w:divBdr>
        <w:top w:val="none" w:sz="0" w:space="0" w:color="auto"/>
        <w:left w:val="none" w:sz="0" w:space="0" w:color="auto"/>
        <w:bottom w:val="none" w:sz="0" w:space="0" w:color="auto"/>
        <w:right w:val="none" w:sz="0" w:space="0" w:color="auto"/>
      </w:divBdr>
    </w:div>
    <w:div w:id="1169564188">
      <w:bodyDiv w:val="1"/>
      <w:marLeft w:val="0"/>
      <w:marRight w:val="0"/>
      <w:marTop w:val="0"/>
      <w:marBottom w:val="0"/>
      <w:divBdr>
        <w:top w:val="none" w:sz="0" w:space="0" w:color="auto"/>
        <w:left w:val="none" w:sz="0" w:space="0" w:color="auto"/>
        <w:bottom w:val="none" w:sz="0" w:space="0" w:color="auto"/>
        <w:right w:val="none" w:sz="0" w:space="0" w:color="auto"/>
      </w:divBdr>
    </w:div>
    <w:div w:id="1336229531">
      <w:bodyDiv w:val="1"/>
      <w:marLeft w:val="0"/>
      <w:marRight w:val="0"/>
      <w:marTop w:val="0"/>
      <w:marBottom w:val="0"/>
      <w:divBdr>
        <w:top w:val="none" w:sz="0" w:space="0" w:color="auto"/>
        <w:left w:val="none" w:sz="0" w:space="0" w:color="auto"/>
        <w:bottom w:val="none" w:sz="0" w:space="0" w:color="auto"/>
        <w:right w:val="none" w:sz="0" w:space="0" w:color="auto"/>
      </w:divBdr>
    </w:div>
    <w:div w:id="1402606248">
      <w:bodyDiv w:val="1"/>
      <w:marLeft w:val="0"/>
      <w:marRight w:val="0"/>
      <w:marTop w:val="0"/>
      <w:marBottom w:val="0"/>
      <w:divBdr>
        <w:top w:val="none" w:sz="0" w:space="0" w:color="auto"/>
        <w:left w:val="none" w:sz="0" w:space="0" w:color="auto"/>
        <w:bottom w:val="none" w:sz="0" w:space="0" w:color="auto"/>
        <w:right w:val="none" w:sz="0" w:space="0" w:color="auto"/>
      </w:divBdr>
    </w:div>
    <w:div w:id="1652324614">
      <w:bodyDiv w:val="1"/>
      <w:marLeft w:val="0"/>
      <w:marRight w:val="0"/>
      <w:marTop w:val="0"/>
      <w:marBottom w:val="0"/>
      <w:divBdr>
        <w:top w:val="none" w:sz="0" w:space="0" w:color="auto"/>
        <w:left w:val="none" w:sz="0" w:space="0" w:color="auto"/>
        <w:bottom w:val="none" w:sz="0" w:space="0" w:color="auto"/>
        <w:right w:val="none" w:sz="0" w:space="0" w:color="auto"/>
      </w:divBdr>
    </w:div>
    <w:div w:id="1667900271">
      <w:bodyDiv w:val="1"/>
      <w:marLeft w:val="0"/>
      <w:marRight w:val="0"/>
      <w:marTop w:val="0"/>
      <w:marBottom w:val="0"/>
      <w:divBdr>
        <w:top w:val="none" w:sz="0" w:space="0" w:color="auto"/>
        <w:left w:val="none" w:sz="0" w:space="0" w:color="auto"/>
        <w:bottom w:val="none" w:sz="0" w:space="0" w:color="auto"/>
        <w:right w:val="none" w:sz="0" w:space="0" w:color="auto"/>
      </w:divBdr>
    </w:div>
    <w:div w:id="1785463431">
      <w:bodyDiv w:val="1"/>
      <w:marLeft w:val="0"/>
      <w:marRight w:val="0"/>
      <w:marTop w:val="0"/>
      <w:marBottom w:val="0"/>
      <w:divBdr>
        <w:top w:val="none" w:sz="0" w:space="0" w:color="auto"/>
        <w:left w:val="none" w:sz="0" w:space="0" w:color="auto"/>
        <w:bottom w:val="none" w:sz="0" w:space="0" w:color="auto"/>
        <w:right w:val="none" w:sz="0" w:space="0" w:color="auto"/>
      </w:divBdr>
    </w:div>
    <w:div w:id="1891107005">
      <w:bodyDiv w:val="1"/>
      <w:marLeft w:val="0"/>
      <w:marRight w:val="0"/>
      <w:marTop w:val="0"/>
      <w:marBottom w:val="0"/>
      <w:divBdr>
        <w:top w:val="none" w:sz="0" w:space="0" w:color="auto"/>
        <w:left w:val="none" w:sz="0" w:space="0" w:color="auto"/>
        <w:bottom w:val="none" w:sz="0" w:space="0" w:color="auto"/>
        <w:right w:val="none" w:sz="0" w:space="0" w:color="auto"/>
      </w:divBdr>
    </w:div>
    <w:div w:id="1927808518">
      <w:bodyDiv w:val="1"/>
      <w:marLeft w:val="0"/>
      <w:marRight w:val="0"/>
      <w:marTop w:val="0"/>
      <w:marBottom w:val="0"/>
      <w:divBdr>
        <w:top w:val="none" w:sz="0" w:space="0" w:color="auto"/>
        <w:left w:val="none" w:sz="0" w:space="0" w:color="auto"/>
        <w:bottom w:val="none" w:sz="0" w:space="0" w:color="auto"/>
        <w:right w:val="none" w:sz="0" w:space="0" w:color="auto"/>
      </w:divBdr>
    </w:div>
    <w:div w:id="1975677836">
      <w:bodyDiv w:val="1"/>
      <w:marLeft w:val="0"/>
      <w:marRight w:val="0"/>
      <w:marTop w:val="0"/>
      <w:marBottom w:val="0"/>
      <w:divBdr>
        <w:top w:val="none" w:sz="0" w:space="0" w:color="auto"/>
        <w:left w:val="none" w:sz="0" w:space="0" w:color="auto"/>
        <w:bottom w:val="none" w:sz="0" w:space="0" w:color="auto"/>
        <w:right w:val="none" w:sz="0" w:space="0" w:color="auto"/>
      </w:divBdr>
    </w:div>
    <w:div w:id="198647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br01.safelinks.protection.outlook.com/?url=https%3A%2F%2Fwww.hweclinicalguidance.nhs.uk%2Fall-clinical-areas-documents%2Fdownload%3Fcid%3D2274%26checksum%3D95f8d9901ca8878e291552f001f67692&amp;data=05%7C02%7Cheernamehta%40nhs.net%7Ccba67ac584344a90298108dcafcc3bcd%7C37c354b285b047f5b22207b48d774ee3%7C0%7C0%7C638578538908037976%7CUnknown%7CTWFpbGZsb3d8eyJWIjoiMC4wLjAwMDAiLCJQIjoiV2luMzIiLCJBTiI6Ik1haWwiLCJXVCI6Mn0%3D%7C0%7C%7C%7C&amp;sdata=drWPIVzT4RkMn0VJJa96%2F2dIm19xPNtqcc0yghL%2FsEA%3D&amp;reserved=0" TargetMode="External"/><Relationship Id="rId18" Type="http://schemas.openxmlformats.org/officeDocument/2006/relationships/hyperlink" Target="https://www.gov.uk/government/publications/varicella-zoster-immunoglobulin" TargetMode="External"/><Relationship Id="rId26" Type="http://schemas.openxmlformats.org/officeDocument/2006/relationships/hyperlink" Target="mailto:Paht.ibd@nhs.net" TargetMode="External"/><Relationship Id="rId39" Type="http://schemas.openxmlformats.org/officeDocument/2006/relationships/hyperlink" Target="https://www.england.nhs.uk/wp-content/uploads/2018/11/infliximab-progressive-pulmonary-sarcoidosis-adults.pdf" TargetMode="External"/><Relationship Id="rId21" Type="http://schemas.openxmlformats.org/officeDocument/2006/relationships/hyperlink" Target="https://www.sps.nhs.uk/articles/npsa-alert-improving-compliance-with-oral-methotrexate-guidelines-2006/" TargetMode="External"/><Relationship Id="rId34" Type="http://schemas.openxmlformats.org/officeDocument/2006/relationships/hyperlink" Target="https://ard.bmj.com/content/78/6/736" TargetMode="External"/><Relationship Id="rId42" Type="http://schemas.openxmlformats.org/officeDocument/2006/relationships/hyperlink" Target="https://www.medicines.org.uk/emc/product/511/smpc" TargetMode="External"/><Relationship Id="rId47" Type="http://schemas.openxmlformats.org/officeDocument/2006/relationships/hyperlink" Target="https://www.england.nhs.uk/publication/shared-care-protocols/" TargetMode="External"/><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nf.org/bnf/index.htm" TargetMode="External"/><Relationship Id="rId29" Type="http://schemas.openxmlformats.org/officeDocument/2006/relationships/hyperlink" Target="mailto:tpa-tr.respiratoryadminclinicalcorrespondence@nhs.net" TargetMode="External"/><Relationship Id="rId11" Type="http://schemas.openxmlformats.org/officeDocument/2006/relationships/hyperlink" Target="https://www.medicines.org.uk/emc" TargetMode="External"/><Relationship Id="rId24" Type="http://schemas.openxmlformats.org/officeDocument/2006/relationships/hyperlink" Target="http://www.medicines.org.uk/emc" TargetMode="External"/><Relationship Id="rId32" Type="http://schemas.openxmlformats.org/officeDocument/2006/relationships/hyperlink" Target="https://www.bsg.org.uk/resource/bsg-consensus-guidelines-ibd-in-adults.html" TargetMode="External"/><Relationship Id="rId37" Type="http://schemas.openxmlformats.org/officeDocument/2006/relationships/hyperlink" Target="https://doi.org/10.1093/rheumatology/ket445" TargetMode="External"/><Relationship Id="rId40" Type="http://schemas.openxmlformats.org/officeDocument/2006/relationships/hyperlink" Target="http://doi.org/10.1093/rheumatology/kew479" TargetMode="External"/><Relationship Id="rId45" Type="http://schemas.openxmlformats.org/officeDocument/2006/relationships/hyperlink" Target="https://www.sps.nhs.uk/wp-content/uploads/2017/12/Drug-monitoring_October-2017.pdf" TargetMode="External"/><Relationship Id="rId53"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ww.gov.uk/government/publications/varicella-zoster-immunoglobulin" TargetMode="External"/><Relationship Id="rId19" Type="http://schemas.openxmlformats.org/officeDocument/2006/relationships/hyperlink" Target="https://www.gov.uk/government/publications/covid-19-the-green-book-chapter-14a" TargetMode="External"/><Relationship Id="rId31" Type="http://schemas.openxmlformats.org/officeDocument/2006/relationships/hyperlink" Target="https://www.nice.org.uk/guidance/ng129" TargetMode="External"/><Relationship Id="rId44" Type="http://schemas.openxmlformats.org/officeDocument/2006/relationships/hyperlink" Target="https://www.gov.uk/government/collections/immunisation-against-infectious-disease-the-green-book"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hweclinicalguidance.nhs.uk/all-clinical-areas-documents/download?cid=1739&amp;checksum=752d25a1f8dbfb2d656bac3094bfb81c" TargetMode="External"/><Relationship Id="rId14" Type="http://schemas.openxmlformats.org/officeDocument/2006/relationships/hyperlink" Target="http://www.bnf.org/bnf/index.htm" TargetMode="External"/><Relationship Id="rId22" Type="http://schemas.openxmlformats.org/officeDocument/2006/relationships/hyperlink" Target="https://www.gov.uk/drug-safety-update/methotrexate-once-weekly-for-autoimmune-diseases-new-measures-to-reduce-risk-of-fatal-overdose-due-to-inadvertent-daily-instead-of-weekly-dosing" TargetMode="External"/><Relationship Id="rId27" Type="http://schemas.openxmlformats.org/officeDocument/2006/relationships/hyperlink" Target="mailto:tpa-tr.dermatologyclinicalcorrespondence@nhs.net" TargetMode="External"/><Relationship Id="rId30" Type="http://schemas.openxmlformats.org/officeDocument/2006/relationships/hyperlink" Target="https://www.rheumatology.org.uk/practice-quality/guidelines/" TargetMode="External"/><Relationship Id="rId35" Type="http://schemas.openxmlformats.org/officeDocument/2006/relationships/hyperlink" Target="https://onlinelibrary.wiley.com/doi/full/10.1111/bjd.15930" TargetMode="External"/><Relationship Id="rId43" Type="http://schemas.openxmlformats.org/officeDocument/2006/relationships/hyperlink" Target="https://cks.nice.org.uk/dmards" TargetMode="External"/><Relationship Id="rId48" Type="http://schemas.openxmlformats.org/officeDocument/2006/relationships/hyperlink" Target="https://www.gov.uk/drug-safety-update/methotrexate-advise-patients-to-take-precautions-in-the-sun-to-avoid-photosensitivity-reactions" TargetMode="External"/><Relationship Id="rId8" Type="http://schemas.openxmlformats.org/officeDocument/2006/relationships/hyperlink" Target="https://www.hweclinicalguidance.nhs.uk/all-clinical-areas-documents/download?cid=1739&amp;checksum=752d25a1f8dbfb2d656bac3094bfb81c"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bnf.org/bnf/index.htm" TargetMode="External"/><Relationship Id="rId17" Type="http://schemas.openxmlformats.org/officeDocument/2006/relationships/hyperlink" Target="http://www.medicines.org.uk/emc" TargetMode="External"/><Relationship Id="rId25" Type="http://schemas.openxmlformats.org/officeDocument/2006/relationships/hyperlink" Target="mailto:Tpa-tr.gastroadminclinicalcorrespondence@nhs.net" TargetMode="External"/><Relationship Id="rId33" Type="http://schemas.openxmlformats.org/officeDocument/2006/relationships/hyperlink" Target="https://doi.org/10.1093/rheumatology/kex286" TargetMode="External"/><Relationship Id="rId38" Type="http://schemas.openxmlformats.org/officeDocument/2006/relationships/hyperlink" Target="https://ard.bmj.com/content/75/9/1583" TargetMode="External"/><Relationship Id="rId46" Type="http://schemas.openxmlformats.org/officeDocument/2006/relationships/hyperlink" Target="https://www.gov.uk/drug-safety-update/methotrexate-once-weekly-for-autoimmune-diseases-new-measures-to-reduce-risk-of-fatal-overdose-due-to-inadvertent-daily-instead-of-weekly-dosing" TargetMode="External"/><Relationship Id="rId20" Type="http://schemas.openxmlformats.org/officeDocument/2006/relationships/hyperlink" Target="http://www.toxbase.org" TargetMode="External"/><Relationship Id="rId41" Type="http://schemas.openxmlformats.org/officeDocument/2006/relationships/hyperlink" Target="http://doi.org/10.1093/rheumatology/kev404"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medicines.org.uk/emc" TargetMode="External"/><Relationship Id="rId23" Type="http://schemas.openxmlformats.org/officeDocument/2006/relationships/hyperlink" Target="http://www.bnf.org/bnf/index.htm" TargetMode="External"/><Relationship Id="rId28" Type="http://schemas.openxmlformats.org/officeDocument/2006/relationships/hyperlink" Target="mailto:tpa-tr.rheumatologyadminclinicalcorrespondence@nhs.net" TargetMode="External"/><Relationship Id="rId36" Type="http://schemas.openxmlformats.org/officeDocument/2006/relationships/hyperlink" Target="https://onlinelibrary.wiley.com/doi/full/10.1111/bjd.12072" TargetMode="External"/><Relationship Id="rId49" Type="http://schemas.openxmlformats.org/officeDocument/2006/relationships/hyperlink" Target="https://bnf.nice.org.uk/drugs/methotrexate/medicinal-form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3AAA0-6A10-4353-B880-A2D8EA100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12</Pages>
  <Words>6870</Words>
  <Characters>39161</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45940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 Tailor</dc:creator>
  <cp:lastModifiedBy>MEHTA, Heerna (NHS HERTFORDSHIRE AND WEST ESSEX ICB - 06K)</cp:lastModifiedBy>
  <cp:revision>4</cp:revision>
  <cp:lastPrinted>2020-09-07T12:45:00Z</cp:lastPrinted>
  <dcterms:created xsi:type="dcterms:W3CDTF">2025-05-01T14:39:00Z</dcterms:created>
  <dcterms:modified xsi:type="dcterms:W3CDTF">2025-05-06T08:43:00Z</dcterms:modified>
</cp:coreProperties>
</file>