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0B8E193" w:rsidR="006F4129" w:rsidRPr="000833DA" w:rsidRDefault="000833DA" w:rsidP="00BE7C05">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067FAB56" w14:textId="03001547" w:rsidR="00406BF2" w:rsidRDefault="00F322A8" w:rsidP="002D134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of </w:t>
      </w:r>
      <w:r w:rsidR="00BA4929">
        <w:rPr>
          <w:rFonts w:ascii="Arial" w:eastAsia="Times New Roman" w:hAnsi="Arial" w:cs="Times New Roman"/>
          <w:b/>
          <w:szCs w:val="24"/>
          <w:lang w:val="en-US"/>
        </w:rPr>
        <w:t>o</w:t>
      </w:r>
      <w:r>
        <w:rPr>
          <w:rFonts w:ascii="Arial" w:eastAsia="Times New Roman" w:hAnsi="Arial" w:cs="Times New Roman"/>
          <w:b/>
          <w:szCs w:val="24"/>
          <w:lang w:val="en-US"/>
        </w:rPr>
        <w:t xml:space="preserve">ral </w:t>
      </w:r>
      <w:r w:rsidR="00BA4929">
        <w:rPr>
          <w:rFonts w:ascii="Arial" w:eastAsia="Times New Roman" w:hAnsi="Arial" w:cs="Times New Roman"/>
          <w:b/>
          <w:szCs w:val="24"/>
          <w:lang w:val="en-US"/>
        </w:rPr>
        <w:t>s</w:t>
      </w:r>
      <w:r>
        <w:rPr>
          <w:rFonts w:ascii="Arial" w:eastAsia="Times New Roman" w:hAnsi="Arial" w:cs="Times New Roman"/>
          <w:b/>
          <w:szCs w:val="24"/>
          <w:lang w:val="en-US"/>
        </w:rPr>
        <w:t xml:space="preserve">ucroferric </w:t>
      </w:r>
      <w:r w:rsidR="001303A1">
        <w:rPr>
          <w:rFonts w:ascii="Arial" w:eastAsia="Times New Roman" w:hAnsi="Arial" w:cs="Times New Roman"/>
          <w:b/>
          <w:szCs w:val="24"/>
          <w:lang w:val="en-US"/>
        </w:rPr>
        <w:t>o</w:t>
      </w:r>
      <w:r w:rsidR="0087256F" w:rsidRPr="0087256F">
        <w:rPr>
          <w:rFonts w:ascii="Arial" w:eastAsia="Times New Roman" w:hAnsi="Arial" w:cs="Times New Roman"/>
          <w:b/>
          <w:szCs w:val="24"/>
          <w:lang w:val="en-US"/>
        </w:rPr>
        <w:t xml:space="preserve">xyhydroxide for </w:t>
      </w:r>
      <w:r w:rsidR="00BA4929">
        <w:rPr>
          <w:rFonts w:ascii="Arial" w:eastAsia="Times New Roman" w:hAnsi="Arial" w:cs="Times New Roman"/>
          <w:b/>
          <w:szCs w:val="24"/>
          <w:lang w:val="en-US"/>
        </w:rPr>
        <w:t>h</w:t>
      </w:r>
      <w:r w:rsidR="0087256F" w:rsidRPr="0087256F">
        <w:rPr>
          <w:rFonts w:ascii="Arial" w:eastAsia="Times New Roman" w:hAnsi="Arial" w:cs="Times New Roman"/>
          <w:b/>
          <w:szCs w:val="24"/>
          <w:lang w:val="en-US"/>
        </w:rPr>
        <w:t>yperphosphataemia</w:t>
      </w:r>
      <w:r w:rsidR="002D134E">
        <w:rPr>
          <w:rFonts w:ascii="Arial" w:eastAsia="Times New Roman" w:hAnsi="Arial" w:cs="Times New Roman"/>
          <w:b/>
          <w:szCs w:val="24"/>
          <w:lang w:val="en-US"/>
        </w:rPr>
        <w:t xml:space="preserve"> </w:t>
      </w:r>
      <w:r w:rsidR="0087256F" w:rsidRPr="0087256F">
        <w:rPr>
          <w:rFonts w:ascii="Arial" w:eastAsia="Times New Roman" w:hAnsi="Arial" w:cs="Times New Roman"/>
          <w:b/>
          <w:szCs w:val="24"/>
          <w:lang w:val="en-US"/>
        </w:rPr>
        <w:t xml:space="preserve">in </w:t>
      </w:r>
      <w:r w:rsidR="00BA4929">
        <w:rPr>
          <w:rFonts w:ascii="Arial" w:eastAsia="Times New Roman" w:hAnsi="Arial" w:cs="Times New Roman"/>
          <w:b/>
          <w:szCs w:val="24"/>
          <w:lang w:val="en-US"/>
        </w:rPr>
        <w:t>a</w:t>
      </w:r>
      <w:r w:rsidR="0087256F" w:rsidRPr="0087256F">
        <w:rPr>
          <w:rFonts w:ascii="Arial" w:eastAsia="Times New Roman" w:hAnsi="Arial" w:cs="Times New Roman"/>
          <w:b/>
          <w:szCs w:val="24"/>
          <w:lang w:val="en-US"/>
        </w:rPr>
        <w:t xml:space="preserve">dult </w:t>
      </w:r>
      <w:r w:rsidR="00BA4929">
        <w:rPr>
          <w:rFonts w:ascii="Arial" w:eastAsia="Times New Roman" w:hAnsi="Arial" w:cs="Times New Roman"/>
          <w:b/>
          <w:szCs w:val="24"/>
          <w:lang w:val="en-US"/>
        </w:rPr>
        <w:t>p</w:t>
      </w:r>
      <w:r w:rsidR="0087256F" w:rsidRPr="0087256F">
        <w:rPr>
          <w:rFonts w:ascii="Arial" w:eastAsia="Times New Roman" w:hAnsi="Arial" w:cs="Times New Roman"/>
          <w:b/>
          <w:szCs w:val="24"/>
          <w:lang w:val="en-US"/>
        </w:rPr>
        <w:t xml:space="preserve">atients with </w:t>
      </w:r>
      <w:r w:rsidR="00BA4929">
        <w:rPr>
          <w:rFonts w:ascii="Arial" w:eastAsia="Times New Roman" w:hAnsi="Arial" w:cs="Times New Roman"/>
          <w:b/>
          <w:szCs w:val="24"/>
          <w:lang w:val="en-US"/>
        </w:rPr>
        <w:t>e</w:t>
      </w:r>
      <w:r w:rsidR="00780BAF">
        <w:rPr>
          <w:rFonts w:ascii="Arial" w:eastAsia="Times New Roman" w:hAnsi="Arial" w:cs="Times New Roman"/>
          <w:b/>
          <w:szCs w:val="24"/>
          <w:lang w:val="en-US"/>
        </w:rPr>
        <w:t xml:space="preserve">nd </w:t>
      </w:r>
      <w:r w:rsidR="00BA4929">
        <w:rPr>
          <w:rFonts w:ascii="Arial" w:eastAsia="Times New Roman" w:hAnsi="Arial" w:cs="Times New Roman"/>
          <w:b/>
          <w:szCs w:val="24"/>
          <w:lang w:val="en-US"/>
        </w:rPr>
        <w:t>s</w:t>
      </w:r>
      <w:r w:rsidR="00780BAF">
        <w:rPr>
          <w:rFonts w:ascii="Arial" w:eastAsia="Times New Roman" w:hAnsi="Arial" w:cs="Times New Roman"/>
          <w:b/>
          <w:szCs w:val="24"/>
          <w:lang w:val="en-US"/>
        </w:rPr>
        <w:t xml:space="preserve">tage </w:t>
      </w:r>
      <w:r w:rsidR="00BA4929">
        <w:rPr>
          <w:rFonts w:ascii="Arial" w:eastAsia="Times New Roman" w:hAnsi="Arial" w:cs="Times New Roman"/>
          <w:b/>
          <w:szCs w:val="24"/>
          <w:lang w:val="en-US"/>
        </w:rPr>
        <w:t>r</w:t>
      </w:r>
      <w:r w:rsidR="00780BAF">
        <w:rPr>
          <w:rFonts w:ascii="Arial" w:eastAsia="Times New Roman" w:hAnsi="Arial" w:cs="Times New Roman"/>
          <w:b/>
          <w:szCs w:val="24"/>
          <w:lang w:val="en-US"/>
        </w:rPr>
        <w:t xml:space="preserve">enal </w:t>
      </w:r>
      <w:r w:rsidR="00BA4929">
        <w:rPr>
          <w:rFonts w:ascii="Arial" w:eastAsia="Times New Roman" w:hAnsi="Arial" w:cs="Times New Roman"/>
          <w:b/>
          <w:szCs w:val="24"/>
          <w:lang w:val="en-US"/>
        </w:rPr>
        <w:t>f</w:t>
      </w:r>
      <w:r w:rsidR="00780BAF">
        <w:rPr>
          <w:rFonts w:ascii="Arial" w:eastAsia="Times New Roman" w:hAnsi="Arial" w:cs="Times New Roman"/>
          <w:b/>
          <w:szCs w:val="24"/>
          <w:lang w:val="en-US"/>
        </w:rPr>
        <w:t>ailure requirin</w:t>
      </w:r>
      <w:r w:rsidR="00881082">
        <w:rPr>
          <w:rFonts w:ascii="Arial" w:eastAsia="Times New Roman" w:hAnsi="Arial" w:cs="Times New Roman"/>
          <w:b/>
          <w:szCs w:val="24"/>
          <w:lang w:val="en-US"/>
        </w:rPr>
        <w:t xml:space="preserve">g </w:t>
      </w:r>
      <w:r w:rsidR="00BA4929">
        <w:rPr>
          <w:rFonts w:ascii="Arial" w:eastAsia="Times New Roman" w:hAnsi="Arial" w:cs="Times New Roman"/>
          <w:b/>
          <w:szCs w:val="24"/>
          <w:lang w:val="en-US"/>
        </w:rPr>
        <w:t>r</w:t>
      </w:r>
      <w:r w:rsidR="00881082">
        <w:rPr>
          <w:rFonts w:ascii="Arial" w:eastAsia="Times New Roman" w:hAnsi="Arial" w:cs="Times New Roman"/>
          <w:b/>
          <w:szCs w:val="24"/>
          <w:lang w:val="en-US"/>
        </w:rPr>
        <w:t xml:space="preserve">enal </w:t>
      </w:r>
      <w:r w:rsidR="00BA4929">
        <w:rPr>
          <w:rFonts w:ascii="Arial" w:eastAsia="Times New Roman" w:hAnsi="Arial" w:cs="Times New Roman"/>
          <w:b/>
          <w:szCs w:val="24"/>
          <w:lang w:val="en-US"/>
        </w:rPr>
        <w:t>r</w:t>
      </w:r>
      <w:r w:rsidR="00881082">
        <w:rPr>
          <w:rFonts w:ascii="Arial" w:eastAsia="Times New Roman" w:hAnsi="Arial" w:cs="Times New Roman"/>
          <w:b/>
          <w:szCs w:val="24"/>
          <w:lang w:val="en-US"/>
        </w:rPr>
        <w:t xml:space="preserve">eplacement </w:t>
      </w:r>
      <w:r w:rsidR="00BA4929">
        <w:rPr>
          <w:rFonts w:ascii="Arial" w:eastAsia="Times New Roman" w:hAnsi="Arial" w:cs="Times New Roman"/>
          <w:b/>
          <w:szCs w:val="24"/>
          <w:lang w:val="en-US"/>
        </w:rPr>
        <w:t>t</w:t>
      </w:r>
      <w:r w:rsidR="00881082">
        <w:rPr>
          <w:rFonts w:ascii="Arial" w:eastAsia="Times New Roman" w:hAnsi="Arial" w:cs="Times New Roman"/>
          <w:b/>
          <w:szCs w:val="24"/>
          <w:lang w:val="en-US"/>
        </w:rPr>
        <w:t>herapy</w:t>
      </w:r>
      <w:r w:rsidR="00406BF2">
        <w:rPr>
          <w:rFonts w:ascii="Arial" w:eastAsia="Times New Roman" w:hAnsi="Arial" w:cs="Times New Roman"/>
          <w:b/>
          <w:szCs w:val="24"/>
          <w:lang w:val="en-US"/>
        </w:rPr>
        <w:t>:</w:t>
      </w:r>
    </w:p>
    <w:p w14:paraId="253940DF" w14:textId="007127C4" w:rsidR="006F4129" w:rsidRPr="006F4129" w:rsidRDefault="00F85EC9"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 No</w:t>
      </w:r>
      <w:r w:rsidR="00EE4517">
        <w:rPr>
          <w:rFonts w:ascii="Arial" w:eastAsia="Times New Roman" w:hAnsi="Arial" w:cs="Times New Roman"/>
          <w:b/>
          <w:szCs w:val="24"/>
          <w:lang w:val="en-US"/>
        </w:rPr>
        <w:t xml:space="preserve"> 1</w:t>
      </w:r>
      <w:r w:rsidR="002159E8">
        <w:rPr>
          <w:rFonts w:ascii="Arial" w:eastAsia="Times New Roman" w:hAnsi="Arial" w:cs="Times New Roman"/>
          <w:b/>
          <w:szCs w:val="24"/>
          <w:lang w:val="en-US"/>
        </w:rPr>
        <w:t>5</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 xml:space="preserve">Version </w:t>
      </w:r>
      <w:r w:rsidR="001303A1">
        <w:rPr>
          <w:rFonts w:ascii="Arial" w:eastAsia="Times New Roman" w:hAnsi="Arial" w:cs="Times New Roman"/>
          <w:b/>
          <w:szCs w:val="24"/>
          <w:lang w:val="en-US"/>
        </w:rPr>
        <w:t>2</w:t>
      </w:r>
      <w:r w:rsidR="00F2229F">
        <w:rPr>
          <w:rFonts w:ascii="Arial" w:eastAsia="Times New Roman" w:hAnsi="Arial" w:cs="Times New Roman"/>
          <w:b/>
          <w:szCs w:val="24"/>
          <w:lang w:val="en-US"/>
        </w:rPr>
        <w:t>.</w:t>
      </w:r>
      <w:r w:rsidR="006732C5">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4081BAD9" w14:textId="77777777" w:rsidR="006732C5" w:rsidRDefault="006732C5" w:rsidP="006732C5">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4BE9E79B" w14:textId="77777777" w:rsidR="006732C5" w:rsidRDefault="006732C5" w:rsidP="006732C5">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6732C5" w:rsidRPr="002A2513" w14:paraId="32E862DC" w14:textId="77777777" w:rsidTr="00983B1D">
        <w:trPr>
          <w:trHeight w:val="247"/>
        </w:trPr>
        <w:tc>
          <w:tcPr>
            <w:tcW w:w="4815" w:type="dxa"/>
            <w:gridSpan w:val="2"/>
            <w:tcBorders>
              <w:right w:val="single" w:sz="4" w:space="0" w:color="auto"/>
            </w:tcBorders>
            <w:noWrap/>
          </w:tcPr>
          <w:p w14:paraId="67670ECE" w14:textId="77777777" w:rsidR="006732C5" w:rsidRPr="00B168C1" w:rsidRDefault="006732C5"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77AFEB72" w14:textId="77777777" w:rsidR="006732C5" w:rsidRPr="00131AEC" w:rsidRDefault="006732C5" w:rsidP="00983B1D">
            <w:pPr>
              <w:jc w:val="center"/>
              <w:rPr>
                <w:rFonts w:ascii="Arial" w:hAnsi="Arial" w:cs="Arial"/>
                <w:b/>
                <w:bCs/>
                <w:sz w:val="18"/>
                <w:szCs w:val="18"/>
              </w:rPr>
            </w:pPr>
            <w:r w:rsidRPr="00131AEC">
              <w:rPr>
                <w:rFonts w:ascii="Arial" w:hAnsi="Arial" w:cs="Arial"/>
                <w:b/>
                <w:bCs/>
              </w:rPr>
              <w:t>Drug information</w:t>
            </w:r>
          </w:p>
        </w:tc>
      </w:tr>
      <w:tr w:rsidR="006732C5" w:rsidRPr="002A2513" w14:paraId="1C309110" w14:textId="77777777" w:rsidTr="00983B1D">
        <w:trPr>
          <w:trHeight w:val="510"/>
        </w:trPr>
        <w:tc>
          <w:tcPr>
            <w:tcW w:w="2852" w:type="dxa"/>
            <w:noWrap/>
            <w:hideMark/>
          </w:tcPr>
          <w:p w14:paraId="182561E0" w14:textId="77777777" w:rsidR="006732C5" w:rsidRPr="00B654C0" w:rsidRDefault="006732C5"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6D287A95" w14:textId="77777777" w:rsidR="006732C5" w:rsidRPr="002A2513" w:rsidRDefault="006732C5"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0"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0"/>
          </w:p>
        </w:tc>
        <w:tc>
          <w:tcPr>
            <w:tcW w:w="3827" w:type="dxa"/>
            <w:tcBorders>
              <w:right w:val="single" w:sz="4" w:space="0" w:color="auto"/>
            </w:tcBorders>
          </w:tcPr>
          <w:p w14:paraId="44F38669" w14:textId="77777777" w:rsidR="006732C5" w:rsidRPr="00B654C0" w:rsidRDefault="006732C5"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4D7853B8" w14:textId="77777777" w:rsidR="006732C5" w:rsidRPr="002A2513" w:rsidRDefault="006732C5"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732C5" w:rsidRPr="002A2513" w14:paraId="0CC00C4B" w14:textId="77777777" w:rsidTr="00983B1D">
        <w:trPr>
          <w:trHeight w:val="261"/>
        </w:trPr>
        <w:tc>
          <w:tcPr>
            <w:tcW w:w="2852" w:type="dxa"/>
            <w:noWrap/>
            <w:hideMark/>
          </w:tcPr>
          <w:p w14:paraId="0E39D6C7" w14:textId="77777777" w:rsidR="006732C5" w:rsidRPr="00B654C0" w:rsidRDefault="006732C5"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5BF13A1A" w14:textId="77777777" w:rsidR="006732C5" w:rsidRPr="002A2513" w:rsidRDefault="006732C5"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04EDEEC" w14:textId="77777777" w:rsidR="006732C5" w:rsidRPr="00B654C0" w:rsidRDefault="006732C5"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CCAD7A7" w14:textId="77777777" w:rsidR="006732C5" w:rsidRPr="002A2513" w:rsidRDefault="006732C5"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732C5" w:rsidRPr="002A2513" w14:paraId="7C42A6C4" w14:textId="77777777" w:rsidTr="00983B1D">
        <w:trPr>
          <w:trHeight w:val="247"/>
        </w:trPr>
        <w:tc>
          <w:tcPr>
            <w:tcW w:w="2852" w:type="dxa"/>
            <w:noWrap/>
            <w:hideMark/>
          </w:tcPr>
          <w:p w14:paraId="3EA45F01" w14:textId="77777777" w:rsidR="006732C5" w:rsidRPr="00B654C0" w:rsidRDefault="006732C5"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42DD8753" w14:textId="77777777" w:rsidR="006732C5" w:rsidRPr="002A2513" w:rsidRDefault="006732C5"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79D4C73" w14:textId="77777777" w:rsidR="006732C5" w:rsidRPr="00B654C0" w:rsidRDefault="006732C5"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788AB4AF" w14:textId="77777777" w:rsidR="006732C5" w:rsidRPr="002A2513" w:rsidRDefault="006732C5"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732C5" w:rsidRPr="002A2513" w14:paraId="1104AE95" w14:textId="77777777" w:rsidTr="00983B1D">
        <w:trPr>
          <w:trHeight w:val="50"/>
        </w:trPr>
        <w:tc>
          <w:tcPr>
            <w:tcW w:w="2852" w:type="dxa"/>
            <w:noWrap/>
          </w:tcPr>
          <w:p w14:paraId="24049D86" w14:textId="77777777" w:rsidR="006732C5" w:rsidRPr="00B654C0" w:rsidRDefault="006732C5"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601BDBF2" w14:textId="77777777" w:rsidR="006732C5" w:rsidRPr="00B654C0" w:rsidRDefault="006732C5"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27D1AA95" w14:textId="77777777" w:rsidR="006732C5" w:rsidRPr="00B654C0" w:rsidRDefault="006732C5"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3189DD89" w14:textId="77777777" w:rsidR="006732C5" w:rsidRPr="00B654C0" w:rsidRDefault="006732C5"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6732C5" w:rsidRPr="002A2513" w14:paraId="6DEF0B8A" w14:textId="77777777" w:rsidTr="00983B1D">
        <w:trPr>
          <w:trHeight w:val="50"/>
        </w:trPr>
        <w:tc>
          <w:tcPr>
            <w:tcW w:w="4815" w:type="dxa"/>
            <w:gridSpan w:val="2"/>
            <w:tcBorders>
              <w:right w:val="single" w:sz="4" w:space="0" w:color="auto"/>
            </w:tcBorders>
            <w:noWrap/>
          </w:tcPr>
          <w:p w14:paraId="7BAA4D7C" w14:textId="77777777" w:rsidR="006732C5" w:rsidRPr="00B168C1" w:rsidRDefault="006732C5"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4F6B9990" w14:textId="77777777" w:rsidR="006732C5" w:rsidRPr="002A2513" w:rsidRDefault="006732C5"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6732C5" w:rsidRPr="002A2513" w14:paraId="14DC99D1" w14:textId="77777777" w:rsidTr="00983B1D">
        <w:trPr>
          <w:trHeight w:val="418"/>
        </w:trPr>
        <w:tc>
          <w:tcPr>
            <w:tcW w:w="4815" w:type="dxa"/>
            <w:gridSpan w:val="2"/>
            <w:tcBorders>
              <w:right w:val="single" w:sz="4" w:space="0" w:color="auto"/>
            </w:tcBorders>
            <w:noWrap/>
          </w:tcPr>
          <w:p w14:paraId="069AB25C" w14:textId="77777777" w:rsidR="006732C5" w:rsidRPr="00B168C1" w:rsidRDefault="006732C5"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77B92565" w14:textId="77777777" w:rsidR="006732C5" w:rsidRPr="002A2513" w:rsidRDefault="006732C5"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6E059FCB" w14:textId="77777777" w:rsidR="006732C5" w:rsidRPr="00B25DFC" w:rsidRDefault="006732C5" w:rsidP="006732C5">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6732C5" w14:paraId="524CFC07" w14:textId="77777777" w:rsidTr="00983B1D">
        <w:trPr>
          <w:trHeight w:val="672"/>
        </w:trPr>
        <w:tc>
          <w:tcPr>
            <w:tcW w:w="11374" w:type="dxa"/>
            <w:gridSpan w:val="3"/>
          </w:tcPr>
          <w:p w14:paraId="68D029C7" w14:textId="77777777" w:rsidR="006732C5" w:rsidRPr="00131AEC" w:rsidRDefault="006732C5"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14DF9B07" w14:textId="77777777" w:rsidR="006732C5" w:rsidRPr="000E0E99" w:rsidRDefault="006732C5"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614B05F3" w14:textId="77777777" w:rsidR="006732C5" w:rsidRPr="00B42EA4" w:rsidRDefault="006732C5" w:rsidP="006732C5">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16303424" w14:textId="77777777" w:rsidR="006732C5" w:rsidRPr="00131AEC" w:rsidRDefault="006732C5" w:rsidP="006732C5">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6732C5" w14:paraId="50F0E91A" w14:textId="77777777" w:rsidTr="00983B1D">
        <w:trPr>
          <w:trHeight w:val="461"/>
        </w:trPr>
        <w:tc>
          <w:tcPr>
            <w:tcW w:w="5375" w:type="dxa"/>
          </w:tcPr>
          <w:p w14:paraId="6E6D8629"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7AC0C921"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6732C5" w14:paraId="379EDB54" w14:textId="77777777" w:rsidTr="00983B1D">
        <w:trPr>
          <w:trHeight w:val="461"/>
        </w:trPr>
        <w:tc>
          <w:tcPr>
            <w:tcW w:w="5375" w:type="dxa"/>
          </w:tcPr>
          <w:p w14:paraId="452B7CDC"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061EBC6"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732C5" w14:paraId="39D121E6" w14:textId="77777777" w:rsidTr="00983B1D">
        <w:trPr>
          <w:trHeight w:val="360"/>
        </w:trPr>
        <w:tc>
          <w:tcPr>
            <w:tcW w:w="5375" w:type="dxa"/>
          </w:tcPr>
          <w:p w14:paraId="6450FB88"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11CE7E54"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6732C5" w14:paraId="7659DC05" w14:textId="77777777" w:rsidTr="00983B1D">
        <w:trPr>
          <w:trHeight w:val="360"/>
        </w:trPr>
        <w:tc>
          <w:tcPr>
            <w:tcW w:w="5375" w:type="dxa"/>
          </w:tcPr>
          <w:p w14:paraId="270E560A" w14:textId="77777777" w:rsidR="006732C5" w:rsidRPr="00B654C0" w:rsidRDefault="006732C5"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6C077D2B" w14:textId="77777777" w:rsidR="006732C5" w:rsidRPr="00B654C0" w:rsidRDefault="006732C5" w:rsidP="00983B1D">
            <w:pPr>
              <w:rPr>
                <w:rFonts w:ascii="Arial" w:hAnsi="Arial" w:cs="Arial"/>
                <w:bCs/>
                <w:color w:val="000000"/>
                <w:lang w:eastAsia="en-GB"/>
              </w:rPr>
            </w:pPr>
          </w:p>
        </w:tc>
      </w:tr>
      <w:tr w:rsidR="006732C5" w14:paraId="3BDAA6CD" w14:textId="77777777" w:rsidTr="00983B1D">
        <w:trPr>
          <w:trHeight w:val="461"/>
        </w:trPr>
        <w:tc>
          <w:tcPr>
            <w:tcW w:w="5375" w:type="dxa"/>
          </w:tcPr>
          <w:p w14:paraId="705AA054"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FC5A1BD" w14:textId="77777777" w:rsidR="006732C5" w:rsidRPr="00B654C0" w:rsidRDefault="006732C5"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732C5" w14:paraId="20BCB749" w14:textId="77777777" w:rsidTr="00983B1D">
        <w:trPr>
          <w:trHeight w:val="147"/>
        </w:trPr>
        <w:tc>
          <w:tcPr>
            <w:tcW w:w="11374" w:type="dxa"/>
            <w:gridSpan w:val="3"/>
          </w:tcPr>
          <w:p w14:paraId="4E3DE9D4" w14:textId="77777777" w:rsidR="006732C5" w:rsidRDefault="006732C5" w:rsidP="00983B1D">
            <w:pPr>
              <w:contextualSpacing/>
              <w:jc w:val="both"/>
              <w:rPr>
                <w:rFonts w:ascii="Arial" w:hAnsi="Arial" w:cs="Arial"/>
                <w:b/>
                <w:u w:val="single"/>
              </w:rPr>
            </w:pPr>
            <w:r w:rsidRPr="000E0E99">
              <w:rPr>
                <w:rFonts w:ascii="Arial" w:hAnsi="Arial" w:cs="Arial"/>
                <w:b/>
                <w:u w:val="single"/>
              </w:rPr>
              <w:t>GP response to shared care</w:t>
            </w:r>
          </w:p>
          <w:p w14:paraId="38403E50" w14:textId="77777777" w:rsidR="006732C5" w:rsidRPr="00B654C0" w:rsidRDefault="006732C5" w:rsidP="00983B1D">
            <w:pPr>
              <w:contextualSpacing/>
              <w:jc w:val="both"/>
              <w:rPr>
                <w:rFonts w:ascii="Arial" w:hAnsi="Arial" w:cs="Arial"/>
                <w:b/>
                <w:u w:val="single"/>
              </w:rPr>
            </w:pPr>
          </w:p>
          <w:p w14:paraId="13A343CE" w14:textId="77777777" w:rsidR="006732C5" w:rsidRPr="000E0E99" w:rsidRDefault="006732C5"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796CE6E9" w14:textId="77777777" w:rsidR="006732C5" w:rsidRPr="00B654C0" w:rsidRDefault="006732C5"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61E377DF" w14:textId="77777777" w:rsidR="006732C5" w:rsidRPr="000E0E99" w:rsidRDefault="006732C5"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E7A9055" w14:textId="77777777" w:rsidR="006732C5" w:rsidRPr="000E0E99" w:rsidRDefault="006732C5"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F00036A" w14:textId="77777777" w:rsidR="006732C5" w:rsidRPr="009E68B2" w:rsidRDefault="006732C5" w:rsidP="00983B1D">
            <w:pPr>
              <w:contextualSpacing/>
              <w:rPr>
                <w:rFonts w:ascii="Arial" w:hAnsi="Arial" w:cs="Arial"/>
                <w:b/>
              </w:rPr>
            </w:pPr>
            <w:bookmarkStart w:id="1"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1"/>
          <w:p w14:paraId="6E8FE122" w14:textId="77777777" w:rsidR="006732C5" w:rsidRPr="000E0E99" w:rsidRDefault="006732C5" w:rsidP="00983B1D">
            <w:pPr>
              <w:contextualSpacing/>
              <w:rPr>
                <w:rFonts w:ascii="Arial" w:hAnsi="Arial" w:cs="Arial"/>
              </w:rPr>
            </w:pPr>
          </w:p>
        </w:tc>
      </w:tr>
      <w:tr w:rsidR="006732C5" w14:paraId="2AA34FC0" w14:textId="77777777" w:rsidTr="00983B1D">
        <w:trPr>
          <w:trHeight w:val="462"/>
        </w:trPr>
        <w:tc>
          <w:tcPr>
            <w:tcW w:w="5645" w:type="dxa"/>
            <w:gridSpan w:val="2"/>
          </w:tcPr>
          <w:p w14:paraId="02D02E96" w14:textId="77777777" w:rsidR="006732C5" w:rsidRPr="00B654C0" w:rsidRDefault="006732C5"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0797D36A" w14:textId="77777777" w:rsidR="006732C5" w:rsidRDefault="006732C5"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66962F59" w14:textId="77777777" w:rsidR="006732C5" w:rsidRPr="00B654C0" w:rsidRDefault="006732C5"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732C5" w14:paraId="556C9BCA" w14:textId="77777777" w:rsidTr="00983B1D">
        <w:trPr>
          <w:trHeight w:val="462"/>
        </w:trPr>
        <w:tc>
          <w:tcPr>
            <w:tcW w:w="5645" w:type="dxa"/>
            <w:gridSpan w:val="2"/>
          </w:tcPr>
          <w:p w14:paraId="56374EEB" w14:textId="77777777" w:rsidR="006732C5" w:rsidRPr="00B654C0" w:rsidRDefault="006732C5"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22DB62DE" w14:textId="77777777" w:rsidR="006732C5" w:rsidRPr="00B654C0" w:rsidRDefault="006732C5" w:rsidP="00983B1D">
            <w:pPr>
              <w:contextualSpacing/>
              <w:jc w:val="both"/>
              <w:rPr>
                <w:rFonts w:ascii="Arial" w:hAnsi="Arial" w:cs="Arial"/>
                <w:bCs/>
                <w:sz w:val="24"/>
                <w:szCs w:val="24"/>
                <w:u w:val="single"/>
              </w:rPr>
            </w:pPr>
          </w:p>
        </w:tc>
      </w:tr>
      <w:tr w:rsidR="006732C5" w14:paraId="6D498061" w14:textId="77777777" w:rsidTr="00983B1D">
        <w:trPr>
          <w:trHeight w:val="462"/>
        </w:trPr>
        <w:tc>
          <w:tcPr>
            <w:tcW w:w="5645" w:type="dxa"/>
            <w:gridSpan w:val="2"/>
          </w:tcPr>
          <w:p w14:paraId="42A1769D" w14:textId="77777777" w:rsidR="006732C5" w:rsidRPr="00B654C0" w:rsidRDefault="006732C5"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75043E5" w14:textId="77777777" w:rsidR="006732C5" w:rsidRPr="00B654C0" w:rsidRDefault="006732C5" w:rsidP="00983B1D">
            <w:pPr>
              <w:contextualSpacing/>
              <w:jc w:val="both"/>
              <w:rPr>
                <w:rFonts w:ascii="Arial" w:hAnsi="Arial" w:cs="Arial"/>
                <w:bCs/>
                <w:sz w:val="24"/>
                <w:szCs w:val="24"/>
                <w:u w:val="single"/>
              </w:rPr>
            </w:pPr>
          </w:p>
        </w:tc>
      </w:tr>
      <w:tr w:rsidR="006732C5" w14:paraId="2A3C214C" w14:textId="77777777" w:rsidTr="00983B1D">
        <w:trPr>
          <w:trHeight w:val="462"/>
        </w:trPr>
        <w:tc>
          <w:tcPr>
            <w:tcW w:w="5645" w:type="dxa"/>
            <w:gridSpan w:val="2"/>
          </w:tcPr>
          <w:p w14:paraId="37CF016D" w14:textId="77777777" w:rsidR="006732C5" w:rsidRPr="00B654C0" w:rsidRDefault="006732C5"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1B767390" w14:textId="77777777" w:rsidR="006732C5" w:rsidRPr="00B654C0" w:rsidRDefault="006732C5"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59CAFB19" w14:textId="3439B3D2"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0A4EE1">
        <w:rPr>
          <w:rFonts w:ascii="Arial" w:eastAsia="Times New Roman" w:hAnsi="Arial" w:cs="Arial"/>
          <w:b/>
          <w:lang w:val="en-US"/>
        </w:rPr>
        <w:t>…………………………………………………………………………………………………….</w:t>
      </w:r>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BA4929" w:rsidRPr="00755AEA" w14:paraId="2B897B6D" w14:textId="77777777" w:rsidTr="00270E56">
        <w:trPr>
          <w:trHeight w:val="632"/>
        </w:trPr>
        <w:tc>
          <w:tcPr>
            <w:tcW w:w="10774" w:type="dxa"/>
            <w:shd w:val="clear" w:color="auto" w:fill="auto"/>
          </w:tcPr>
          <w:p w14:paraId="0937A345" w14:textId="77777777" w:rsidR="00BA4929" w:rsidRDefault="00BA4929" w:rsidP="00F5655B">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367F3388" w14:textId="77777777" w:rsidR="00BA4929" w:rsidRDefault="00BA4929" w:rsidP="00F5655B">
            <w:pPr>
              <w:spacing w:after="0" w:line="240" w:lineRule="auto"/>
              <w:rPr>
                <w:rFonts w:ascii="Arial" w:eastAsia="Times New Roman" w:hAnsi="Arial" w:cs="Arial"/>
                <w:b/>
                <w:bCs/>
                <w:sz w:val="24"/>
                <w:szCs w:val="24"/>
                <w:lang w:eastAsia="en-GB"/>
              </w:rPr>
            </w:pPr>
          </w:p>
          <w:p w14:paraId="48E8BB5A" w14:textId="77777777" w:rsidR="00BA4929" w:rsidRPr="00E60DF5" w:rsidRDefault="00BA4929" w:rsidP="00F5655B">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7706973B" w14:textId="77777777" w:rsidR="004118FD" w:rsidRPr="000C7F57" w:rsidRDefault="004118FD" w:rsidP="004118FD">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52E498A3" w14:textId="3598BCC1" w:rsidR="004118FD" w:rsidRPr="00F23BDD" w:rsidRDefault="004118FD" w:rsidP="004118FD">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If shared care accepted prescribe </w:t>
            </w:r>
            <w:r w:rsidRPr="004118FD">
              <w:rPr>
                <w:rFonts w:ascii="Arial" w:eastAsia="Times New Roman" w:hAnsi="Arial" w:cs="Arial"/>
                <w:bCs/>
                <w:lang w:eastAsia="en-GB"/>
              </w:rPr>
              <w:t xml:space="preserve">sucroferric oxyhydroxide </w:t>
            </w:r>
            <w:r w:rsidRPr="00F23BDD">
              <w:rPr>
                <w:rFonts w:ascii="Arial" w:eastAsia="Times New Roman" w:hAnsi="Arial" w:cs="Arial"/>
                <w:bCs/>
                <w:lang w:eastAsia="en-GB"/>
              </w:rPr>
              <w:t xml:space="preserve">once </w:t>
            </w:r>
            <w:r>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Pr>
                <w:rFonts w:ascii="Arial" w:eastAsia="Times New Roman" w:hAnsi="Arial" w:cs="Arial"/>
                <w:bCs/>
                <w:lang w:eastAsia="en-GB"/>
              </w:rPr>
              <w:t>. This is</w:t>
            </w:r>
            <w:r>
              <w:rPr>
                <w:rStyle w:val="CommentReference"/>
              </w:rPr>
              <w:t xml:space="preserve"> </w:t>
            </w:r>
            <w:r>
              <w:rPr>
                <w:rFonts w:ascii="Arial" w:eastAsia="Times New Roman" w:hAnsi="Arial" w:cs="Arial"/>
                <w:bCs/>
                <w:lang w:eastAsia="en-GB"/>
              </w:rPr>
              <w:t>us</w:t>
            </w:r>
            <w:r w:rsidRPr="00F23BDD">
              <w:rPr>
                <w:rFonts w:ascii="Arial" w:eastAsia="Times New Roman" w:hAnsi="Arial" w:cs="Arial"/>
                <w:bCs/>
                <w:lang w:eastAsia="en-GB"/>
              </w:rPr>
              <w:t xml:space="preserve">ually within </w:t>
            </w:r>
            <w:r w:rsidRPr="0080559F">
              <w:rPr>
                <w:rFonts w:ascii="Arial" w:eastAsia="Times New Roman" w:hAnsi="Arial" w:cs="Arial"/>
                <w:bCs/>
                <w:lang w:eastAsia="en-GB"/>
              </w:rPr>
              <w:t>8-12weeks</w:t>
            </w:r>
            <w:r w:rsidRPr="00F23BDD">
              <w:rPr>
                <w:rFonts w:ascii="Arial" w:eastAsia="Times New Roman" w:hAnsi="Arial" w:cs="Arial"/>
                <w:bCs/>
                <w:lang w:eastAsia="en-GB"/>
              </w:rPr>
              <w:t xml:space="preserve"> </w:t>
            </w:r>
            <w:r>
              <w:rPr>
                <w:rFonts w:ascii="Arial" w:eastAsia="Times New Roman" w:hAnsi="Arial" w:cs="Arial"/>
                <w:bCs/>
                <w:lang w:eastAsia="en-GB"/>
              </w:rPr>
              <w:t>after initiation of therapy.</w:t>
            </w:r>
          </w:p>
          <w:p w14:paraId="26C075C4"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Prescribe as per recommendation from specialist. Ensure ongoing monitoring undertaken by specialist. </w:t>
            </w:r>
          </w:p>
          <w:p w14:paraId="40729DCB"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081C5A6D" w14:textId="77777777" w:rsidR="004118FD" w:rsidRDefault="004118FD" w:rsidP="004118FD">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42C5CDBB" w14:textId="7A8CB87D" w:rsidR="004118FD" w:rsidRPr="00F23BDD" w:rsidRDefault="004118FD" w:rsidP="004118FD">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w:t>
            </w:r>
            <w:r>
              <w:rPr>
                <w:rFonts w:ascii="Arial" w:eastAsia="Times New Roman" w:hAnsi="Arial" w:cs="Arial"/>
                <w:bCs/>
                <w:lang w:eastAsia="en-GB"/>
              </w:rPr>
              <w:t>.</w:t>
            </w:r>
            <w:r w:rsidRPr="00F23BDD">
              <w:rPr>
                <w:rFonts w:ascii="Arial" w:eastAsia="Times New Roman" w:hAnsi="Arial" w:cs="Arial"/>
                <w:bCs/>
                <w:lang w:eastAsia="en-GB"/>
              </w:rPr>
              <w:t xml:space="preserve"> </w:t>
            </w:r>
          </w:p>
          <w:p w14:paraId="3972595F" w14:textId="77777777" w:rsidR="004118FD" w:rsidRPr="000C7F57" w:rsidRDefault="004118FD" w:rsidP="004118FD">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6813BD75" w14:textId="1DDC04DF" w:rsidR="004118FD" w:rsidRPr="0080559F" w:rsidRDefault="004118FD" w:rsidP="0080559F">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Pr>
                <w:rFonts w:ascii="Arial" w:eastAsia="Times New Roman" w:hAnsi="Arial" w:cs="Arial"/>
                <w:bCs/>
                <w:lang w:eastAsia="en-GB"/>
              </w:rPr>
              <w:t>S</w:t>
            </w:r>
            <w:r w:rsidRPr="000C7F57">
              <w:rPr>
                <w:rFonts w:ascii="Arial" w:eastAsia="Times New Roman" w:hAnsi="Arial" w:cs="Arial"/>
                <w:bCs/>
                <w:lang w:eastAsia="en-GB"/>
              </w:rPr>
              <w:t>pecialist</w:t>
            </w:r>
            <w:r>
              <w:rPr>
                <w:rFonts w:ascii="Arial" w:eastAsia="Times New Roman" w:hAnsi="Arial" w:cs="Arial"/>
                <w:bCs/>
                <w:lang w:eastAsia="en-GB"/>
              </w:rPr>
              <w:t xml:space="preserve">. </w:t>
            </w:r>
          </w:p>
          <w:p w14:paraId="0D0B48EE" w14:textId="33E89E10" w:rsidR="00BA4929" w:rsidRPr="0080559F" w:rsidRDefault="004118FD" w:rsidP="00720D85">
            <w:pPr>
              <w:numPr>
                <w:ilvl w:val="0"/>
                <w:numId w:val="13"/>
              </w:numPr>
              <w:spacing w:after="0" w:line="240" w:lineRule="auto"/>
              <w:rPr>
                <w:rFonts w:ascii="Arial" w:eastAsia="Times New Roman" w:hAnsi="Arial" w:cs="Arial"/>
                <w:bCs/>
                <w:lang w:eastAsia="en-GB"/>
              </w:rPr>
            </w:pPr>
            <w:r w:rsidRPr="0080559F">
              <w:rPr>
                <w:rFonts w:ascii="Arial" w:eastAsia="Times New Roman" w:hAnsi="Arial" w:cs="Arial"/>
                <w:bCs/>
                <w:lang w:eastAsia="en-GB"/>
              </w:rPr>
              <w:t xml:space="preserve">Report adverse events to the Specialist and MHRA/CHM. </w:t>
            </w:r>
          </w:p>
          <w:p w14:paraId="04F99740" w14:textId="77777777" w:rsidR="00BA4929" w:rsidRPr="000C7F57" w:rsidRDefault="00BA4929" w:rsidP="00F5655B">
            <w:pPr>
              <w:spacing w:after="0" w:line="240" w:lineRule="auto"/>
              <w:rPr>
                <w:rFonts w:ascii="Arial" w:eastAsia="Times New Roman" w:hAnsi="Arial" w:cs="Arial"/>
                <w:bCs/>
                <w:lang w:eastAsia="en-GB"/>
              </w:rPr>
            </w:pPr>
          </w:p>
          <w:tbl>
            <w:tblPr>
              <w:tblStyle w:val="TableGrid"/>
              <w:tblpPr w:leftFromText="180" w:rightFromText="180" w:vertAnchor="text" w:horzAnchor="margin" w:tblpX="-147" w:tblpY="441"/>
              <w:tblOverlap w:val="never"/>
              <w:tblW w:w="10830" w:type="dxa"/>
              <w:tblLayout w:type="fixed"/>
              <w:tblLook w:val="04A0" w:firstRow="1" w:lastRow="0" w:firstColumn="1" w:lastColumn="0" w:noHBand="0" w:noVBand="1"/>
            </w:tblPr>
            <w:tblGrid>
              <w:gridCol w:w="10830"/>
            </w:tblGrid>
            <w:tr w:rsidR="00BA4929" w14:paraId="6C423A8C" w14:textId="77777777" w:rsidTr="00270E56">
              <w:trPr>
                <w:trHeight w:val="3296"/>
              </w:trPr>
              <w:tc>
                <w:tcPr>
                  <w:tcW w:w="10830" w:type="dxa"/>
                </w:tcPr>
                <w:p w14:paraId="762C1BFB" w14:textId="77777777" w:rsidR="00BA4929" w:rsidRDefault="00BA4929" w:rsidP="00F5655B">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153A730F" w14:textId="77777777" w:rsidR="00BA4929" w:rsidRPr="00B62EE0" w:rsidRDefault="00BA4929" w:rsidP="00F5655B">
                  <w:pPr>
                    <w:keepNext/>
                    <w:spacing w:after="120"/>
                    <w:contextualSpacing/>
                    <w:jc w:val="both"/>
                    <w:outlineLvl w:val="0"/>
                    <w:rPr>
                      <w:rFonts w:ascii="Arial" w:eastAsia="Times New Roman" w:hAnsi="Arial" w:cs="Times New Roman"/>
                      <w:b/>
                      <w:bCs/>
                      <w:sz w:val="12"/>
                      <w:szCs w:val="24"/>
                    </w:rPr>
                  </w:pPr>
                </w:p>
                <w:p w14:paraId="7E5CB820" w14:textId="0885EE8B" w:rsidR="00BA4929" w:rsidRDefault="00BA4929" w:rsidP="00F5655B">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Pr>
                      <w:rFonts w:ascii="Arial" w:eastAsia="Times New Roman" w:hAnsi="Arial" w:cs="Arial"/>
                      <w:b/>
                      <w:bCs/>
                      <w:u w:val="single"/>
                    </w:rPr>
                    <w:t xml:space="preserve"> – see GP monitoring highlighted in grey</w:t>
                  </w:r>
                </w:p>
                <w:p w14:paraId="151CECAB" w14:textId="77777777" w:rsidR="001303A1" w:rsidRPr="00843717" w:rsidRDefault="001303A1" w:rsidP="00F5655B">
                  <w:pPr>
                    <w:keepNext/>
                    <w:contextualSpacing/>
                    <w:jc w:val="both"/>
                    <w:outlineLvl w:val="0"/>
                    <w:rPr>
                      <w:rFonts w:ascii="Arial" w:eastAsia="Times New Roman" w:hAnsi="Arial" w:cs="Arial"/>
                      <w:b/>
                      <w:bCs/>
                      <w:u w:val="single"/>
                    </w:rPr>
                  </w:pPr>
                </w:p>
                <w:tbl>
                  <w:tblPr>
                    <w:tblStyle w:val="TableGrid2"/>
                    <w:tblW w:w="10372" w:type="dxa"/>
                    <w:jc w:val="center"/>
                    <w:tblLayout w:type="fixed"/>
                    <w:tblLook w:val="04A0" w:firstRow="1" w:lastRow="0" w:firstColumn="1" w:lastColumn="0" w:noHBand="0" w:noVBand="1"/>
                  </w:tblPr>
                  <w:tblGrid>
                    <w:gridCol w:w="1390"/>
                    <w:gridCol w:w="1444"/>
                    <w:gridCol w:w="1219"/>
                    <w:gridCol w:w="1493"/>
                    <w:gridCol w:w="2025"/>
                    <w:gridCol w:w="1409"/>
                    <w:gridCol w:w="1392"/>
                  </w:tblGrid>
                  <w:tr w:rsidR="001303A1" w:rsidRPr="00843717" w14:paraId="5CD1AACC" w14:textId="77777777" w:rsidTr="00270E56">
                    <w:trPr>
                      <w:jc w:val="center"/>
                    </w:trPr>
                    <w:tc>
                      <w:tcPr>
                        <w:tcW w:w="2834" w:type="dxa"/>
                        <w:gridSpan w:val="2"/>
                        <w:shd w:val="clear" w:color="auto" w:fill="auto"/>
                      </w:tcPr>
                      <w:p w14:paraId="6FCBE74C" w14:textId="77777777" w:rsidR="001303A1" w:rsidRPr="00843717" w:rsidRDefault="001303A1" w:rsidP="001303A1">
                        <w:pPr>
                          <w:rPr>
                            <w:rFonts w:ascii="Arial" w:hAnsi="Arial" w:cs="Arial"/>
                            <w:b/>
                          </w:rPr>
                        </w:pPr>
                        <w:r w:rsidRPr="00843717">
                          <w:rPr>
                            <w:rFonts w:ascii="Arial" w:hAnsi="Arial" w:cs="Arial"/>
                            <w:b/>
                          </w:rPr>
                          <w:t>Monitoring table</w:t>
                        </w:r>
                      </w:p>
                    </w:tc>
                    <w:tc>
                      <w:tcPr>
                        <w:tcW w:w="1219" w:type="dxa"/>
                        <w:shd w:val="clear" w:color="auto" w:fill="auto"/>
                      </w:tcPr>
                      <w:p w14:paraId="7C7543DE" w14:textId="77777777" w:rsidR="001303A1" w:rsidRPr="00843717" w:rsidRDefault="001303A1" w:rsidP="001303A1">
                        <w:pPr>
                          <w:jc w:val="center"/>
                          <w:rPr>
                            <w:rFonts w:ascii="Arial" w:hAnsi="Arial" w:cs="Arial"/>
                            <w:b/>
                          </w:rPr>
                        </w:pPr>
                        <w:r w:rsidRPr="00843717">
                          <w:rPr>
                            <w:rFonts w:ascii="Arial" w:hAnsi="Arial" w:cs="Arial"/>
                            <w:b/>
                          </w:rPr>
                          <w:t>Hospital specialist</w:t>
                        </w:r>
                      </w:p>
                    </w:tc>
                    <w:tc>
                      <w:tcPr>
                        <w:tcW w:w="1493" w:type="dxa"/>
                        <w:shd w:val="clear" w:color="auto" w:fill="auto"/>
                      </w:tcPr>
                      <w:p w14:paraId="39B9A631" w14:textId="77777777" w:rsidR="001303A1" w:rsidRPr="004579C4" w:rsidRDefault="001303A1" w:rsidP="001303A1">
                        <w:pPr>
                          <w:jc w:val="center"/>
                          <w:rPr>
                            <w:rFonts w:ascii="Arial" w:hAnsi="Arial" w:cs="Arial"/>
                            <w:b/>
                          </w:rPr>
                        </w:pPr>
                        <w:r w:rsidRPr="004579C4">
                          <w:rPr>
                            <w:rFonts w:ascii="Arial" w:hAnsi="Arial" w:cs="Arial"/>
                            <w:b/>
                          </w:rPr>
                          <w:t>Hospital specialist</w:t>
                        </w:r>
                      </w:p>
                    </w:tc>
                    <w:tc>
                      <w:tcPr>
                        <w:tcW w:w="2025" w:type="dxa"/>
                        <w:shd w:val="pct10" w:color="auto" w:fill="auto"/>
                      </w:tcPr>
                      <w:p w14:paraId="22297A19" w14:textId="77777777" w:rsidR="001303A1" w:rsidRPr="004579C4" w:rsidRDefault="001303A1" w:rsidP="001303A1">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Pr="0011502F">
                          <w:rPr>
                            <w:rFonts w:ascii="Arial" w:hAnsi="Arial" w:cs="Arial"/>
                            <w:b/>
                            <w:highlight w:val="yellow"/>
                          </w:rPr>
                          <w:t xml:space="preserve"> </w:t>
                        </w:r>
                      </w:p>
                    </w:tc>
                    <w:tc>
                      <w:tcPr>
                        <w:tcW w:w="1409" w:type="dxa"/>
                        <w:shd w:val="pct10" w:color="auto" w:fill="auto"/>
                      </w:tcPr>
                      <w:p w14:paraId="2C3DD1D2" w14:textId="77777777" w:rsidR="001303A1" w:rsidRPr="004579C4" w:rsidRDefault="001303A1" w:rsidP="001303A1">
                        <w:pPr>
                          <w:jc w:val="center"/>
                          <w:rPr>
                            <w:rFonts w:ascii="Arial" w:hAnsi="Arial" w:cs="Arial"/>
                            <w:b/>
                          </w:rPr>
                        </w:pPr>
                        <w:r w:rsidRPr="000E322B">
                          <w:rPr>
                            <w:rFonts w:ascii="Arial" w:hAnsi="Arial" w:cs="Arial"/>
                            <w:b/>
                          </w:rPr>
                          <w:t>GP</w:t>
                        </w:r>
                        <w:r>
                          <w:rPr>
                            <w:rFonts w:ascii="Arial" w:hAnsi="Arial" w:cs="Arial"/>
                            <w:b/>
                          </w:rPr>
                          <w:t xml:space="preserve"> </w:t>
                        </w:r>
                      </w:p>
                    </w:tc>
                    <w:tc>
                      <w:tcPr>
                        <w:tcW w:w="1392" w:type="dxa"/>
                        <w:shd w:val="clear" w:color="auto" w:fill="auto"/>
                      </w:tcPr>
                      <w:p w14:paraId="5AA73CBB" w14:textId="77777777" w:rsidR="001303A1" w:rsidRPr="00843717" w:rsidRDefault="001303A1" w:rsidP="001303A1">
                        <w:pPr>
                          <w:jc w:val="center"/>
                          <w:rPr>
                            <w:rFonts w:ascii="Arial" w:hAnsi="Arial" w:cs="Arial"/>
                            <w:b/>
                          </w:rPr>
                        </w:pPr>
                        <w:r w:rsidRPr="00843717">
                          <w:rPr>
                            <w:rFonts w:ascii="Arial" w:hAnsi="Arial" w:cs="Arial"/>
                            <w:b/>
                          </w:rPr>
                          <w:t>Hospital specialist</w:t>
                        </w:r>
                        <w:r>
                          <w:rPr>
                            <w:rFonts w:ascii="Arial" w:hAnsi="Arial" w:cs="Arial"/>
                            <w:b/>
                          </w:rPr>
                          <w:t xml:space="preserve"> </w:t>
                        </w:r>
                      </w:p>
                    </w:tc>
                  </w:tr>
                  <w:tr w:rsidR="001303A1" w:rsidRPr="00843717" w14:paraId="3A7245B6" w14:textId="77777777" w:rsidTr="00270E56">
                    <w:trPr>
                      <w:trHeight w:val="817"/>
                      <w:jc w:val="center"/>
                    </w:trPr>
                    <w:tc>
                      <w:tcPr>
                        <w:tcW w:w="1390" w:type="dxa"/>
                        <w:shd w:val="clear" w:color="auto" w:fill="auto"/>
                      </w:tcPr>
                      <w:p w14:paraId="72923E48" w14:textId="77777777" w:rsidR="001303A1" w:rsidRPr="00843717" w:rsidRDefault="001303A1" w:rsidP="001303A1">
                        <w:pPr>
                          <w:jc w:val="center"/>
                          <w:rPr>
                            <w:rFonts w:ascii="Arial" w:hAnsi="Arial" w:cs="Arial"/>
                            <w:b/>
                          </w:rPr>
                        </w:pPr>
                      </w:p>
                      <w:p w14:paraId="6F6C38C1" w14:textId="77777777" w:rsidR="001303A1" w:rsidRPr="00843717" w:rsidRDefault="001303A1" w:rsidP="001303A1">
                        <w:pPr>
                          <w:jc w:val="center"/>
                          <w:rPr>
                            <w:rFonts w:ascii="Arial" w:hAnsi="Arial" w:cs="Arial"/>
                            <w:b/>
                          </w:rPr>
                        </w:pPr>
                        <w:r w:rsidRPr="00843717">
                          <w:rPr>
                            <w:rFonts w:ascii="Arial" w:hAnsi="Arial" w:cs="Arial"/>
                            <w:b/>
                          </w:rPr>
                          <w:t>Test</w:t>
                        </w:r>
                      </w:p>
                    </w:tc>
                    <w:tc>
                      <w:tcPr>
                        <w:tcW w:w="1444" w:type="dxa"/>
                        <w:shd w:val="clear" w:color="auto" w:fill="auto"/>
                      </w:tcPr>
                      <w:p w14:paraId="25CA33D5" w14:textId="77777777" w:rsidR="001303A1" w:rsidRPr="00843717" w:rsidRDefault="001303A1" w:rsidP="001303A1">
                        <w:pPr>
                          <w:jc w:val="center"/>
                          <w:rPr>
                            <w:rFonts w:ascii="Arial" w:hAnsi="Arial" w:cs="Arial"/>
                            <w:b/>
                          </w:rPr>
                        </w:pPr>
                      </w:p>
                      <w:p w14:paraId="5933459F" w14:textId="77777777" w:rsidR="001303A1" w:rsidRPr="00843717" w:rsidRDefault="001303A1" w:rsidP="001303A1">
                        <w:pPr>
                          <w:jc w:val="center"/>
                          <w:rPr>
                            <w:rFonts w:ascii="Arial" w:hAnsi="Arial" w:cs="Arial"/>
                            <w:b/>
                          </w:rPr>
                        </w:pPr>
                        <w:r w:rsidRPr="00843717">
                          <w:rPr>
                            <w:rFonts w:ascii="Arial" w:hAnsi="Arial" w:cs="Arial"/>
                            <w:b/>
                          </w:rPr>
                          <w:t>Indication</w:t>
                        </w:r>
                      </w:p>
                    </w:tc>
                    <w:tc>
                      <w:tcPr>
                        <w:tcW w:w="1219" w:type="dxa"/>
                        <w:shd w:val="clear" w:color="auto" w:fill="auto"/>
                      </w:tcPr>
                      <w:p w14:paraId="1F02DD66" w14:textId="77777777" w:rsidR="001303A1" w:rsidRPr="00843717" w:rsidRDefault="001303A1" w:rsidP="001303A1">
                        <w:pPr>
                          <w:jc w:val="center"/>
                          <w:rPr>
                            <w:rFonts w:ascii="Arial" w:hAnsi="Arial" w:cs="Arial"/>
                          </w:rPr>
                        </w:pPr>
                        <w:r w:rsidRPr="00843717">
                          <w:rPr>
                            <w:rFonts w:ascii="Arial" w:hAnsi="Arial" w:cs="Arial"/>
                          </w:rPr>
                          <w:t>Pre-treatment baseline</w:t>
                        </w:r>
                      </w:p>
                    </w:tc>
                    <w:tc>
                      <w:tcPr>
                        <w:tcW w:w="1493" w:type="dxa"/>
                        <w:shd w:val="clear" w:color="auto" w:fill="auto"/>
                      </w:tcPr>
                      <w:p w14:paraId="4BF45677" w14:textId="77777777" w:rsidR="001303A1" w:rsidRPr="004579C4" w:rsidRDefault="001303A1" w:rsidP="001303A1">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77A5E6D9" w14:textId="77777777" w:rsidR="001303A1" w:rsidRPr="004579C4" w:rsidRDefault="001303A1" w:rsidP="001303A1">
                        <w:pPr>
                          <w:jc w:val="center"/>
                          <w:rPr>
                            <w:rFonts w:ascii="Arial" w:hAnsi="Arial" w:cs="Arial"/>
                          </w:rPr>
                        </w:pPr>
                        <w:r w:rsidRPr="004579C4">
                          <w:rPr>
                            <w:rFonts w:ascii="Arial" w:hAnsi="Arial" w:cs="Arial"/>
                          </w:rPr>
                          <w:t xml:space="preserve">Following Treatment </w:t>
                        </w:r>
                      </w:p>
                      <w:p w14:paraId="329607F2" w14:textId="77777777" w:rsidR="001303A1" w:rsidRPr="004579C4" w:rsidRDefault="001303A1" w:rsidP="001303A1">
                        <w:pPr>
                          <w:jc w:val="center"/>
                          <w:rPr>
                            <w:rFonts w:ascii="Arial" w:hAnsi="Arial" w:cs="Arial"/>
                          </w:rPr>
                        </w:pPr>
                        <w:r w:rsidRPr="000E322B">
                          <w:rPr>
                            <w:rFonts w:ascii="Arial" w:hAnsi="Arial" w:cs="Arial"/>
                          </w:rPr>
                          <w:t>Initiation</w:t>
                        </w:r>
                      </w:p>
                    </w:tc>
                    <w:tc>
                      <w:tcPr>
                        <w:tcW w:w="1409" w:type="dxa"/>
                        <w:shd w:val="pct10" w:color="auto" w:fill="auto"/>
                      </w:tcPr>
                      <w:p w14:paraId="40BBA528" w14:textId="77777777" w:rsidR="001303A1" w:rsidRPr="004579C4" w:rsidRDefault="001303A1" w:rsidP="001303A1">
                        <w:pPr>
                          <w:jc w:val="center"/>
                          <w:rPr>
                            <w:rFonts w:ascii="Arial" w:hAnsi="Arial" w:cs="Arial"/>
                          </w:rPr>
                        </w:pPr>
                        <w:r w:rsidRPr="004579C4">
                          <w:rPr>
                            <w:rFonts w:ascii="Arial" w:hAnsi="Arial" w:cs="Arial"/>
                          </w:rPr>
                          <w:t>Ongoing</w:t>
                        </w:r>
                      </w:p>
                    </w:tc>
                    <w:tc>
                      <w:tcPr>
                        <w:tcW w:w="1392" w:type="dxa"/>
                        <w:shd w:val="clear" w:color="auto" w:fill="auto"/>
                      </w:tcPr>
                      <w:p w14:paraId="79BBCBFD" w14:textId="77777777" w:rsidR="001303A1" w:rsidRDefault="001303A1" w:rsidP="001303A1">
                        <w:pPr>
                          <w:jc w:val="center"/>
                          <w:rPr>
                            <w:rFonts w:ascii="Arial" w:hAnsi="Arial" w:cs="Arial"/>
                          </w:rPr>
                        </w:pPr>
                        <w:r w:rsidRPr="00843717">
                          <w:rPr>
                            <w:rFonts w:ascii="Arial" w:hAnsi="Arial" w:cs="Arial"/>
                          </w:rPr>
                          <w:t>Annual review</w:t>
                        </w:r>
                      </w:p>
                      <w:p w14:paraId="348DAEA8" w14:textId="77777777" w:rsidR="001303A1" w:rsidRPr="00843717" w:rsidRDefault="001303A1" w:rsidP="001303A1">
                        <w:pPr>
                          <w:jc w:val="center"/>
                          <w:rPr>
                            <w:rFonts w:ascii="Arial" w:hAnsi="Arial" w:cs="Arial"/>
                          </w:rPr>
                        </w:pPr>
                      </w:p>
                    </w:tc>
                  </w:tr>
                  <w:tr w:rsidR="001303A1" w:rsidRPr="00843717" w14:paraId="36C3C1C0" w14:textId="77777777" w:rsidTr="00270E56">
                    <w:trPr>
                      <w:trHeight w:val="486"/>
                      <w:jc w:val="center"/>
                    </w:trPr>
                    <w:tc>
                      <w:tcPr>
                        <w:tcW w:w="1390" w:type="dxa"/>
                        <w:shd w:val="clear" w:color="auto" w:fill="auto"/>
                      </w:tcPr>
                      <w:p w14:paraId="4CE9396C" w14:textId="77777777" w:rsidR="001303A1" w:rsidRPr="001467F4" w:rsidRDefault="001303A1" w:rsidP="001303A1">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2A4CCA10" w14:textId="77777777" w:rsidR="001303A1" w:rsidRDefault="001303A1" w:rsidP="001303A1">
                        <w:pPr>
                          <w:jc w:val="center"/>
                          <w:rPr>
                            <w:rFonts w:ascii="Arial" w:hAnsi="Arial" w:cs="Arial"/>
                          </w:rPr>
                        </w:pPr>
                        <w:r w:rsidRPr="00963B98">
                          <w:rPr>
                            <w:rFonts w:ascii="Arial" w:hAnsi="Arial" w:cs="Arial"/>
                          </w:rPr>
                          <w:t>Baseline and ongoing assessment for disease and drug dose assessment</w:t>
                        </w:r>
                      </w:p>
                      <w:p w14:paraId="5EF09BE1" w14:textId="77777777" w:rsidR="001303A1" w:rsidRPr="001467F4" w:rsidRDefault="001303A1" w:rsidP="001303A1">
                        <w:pPr>
                          <w:jc w:val="center"/>
                          <w:rPr>
                            <w:rFonts w:ascii="Arial" w:hAnsi="Arial" w:cs="Arial"/>
                          </w:rPr>
                        </w:pPr>
                      </w:p>
                    </w:tc>
                    <w:tc>
                      <w:tcPr>
                        <w:tcW w:w="1219" w:type="dxa"/>
                        <w:shd w:val="clear" w:color="auto" w:fill="auto"/>
                      </w:tcPr>
                      <w:p w14:paraId="4F98FF4C" w14:textId="77777777" w:rsidR="001303A1" w:rsidRDefault="001303A1" w:rsidP="001303A1">
                        <w:pPr>
                          <w:jc w:val="center"/>
                          <w:rPr>
                            <w:rFonts w:ascii="Arial" w:hAnsi="Arial" w:cs="Arial"/>
                          </w:rPr>
                        </w:pPr>
                      </w:p>
                      <w:p w14:paraId="3B86EA6A" w14:textId="77777777" w:rsidR="001303A1" w:rsidRPr="00843717" w:rsidRDefault="001303A1" w:rsidP="001303A1">
                        <w:pPr>
                          <w:jc w:val="center"/>
                          <w:rPr>
                            <w:rFonts w:ascii="Arial" w:hAnsi="Arial" w:cs="Arial"/>
                          </w:rPr>
                        </w:pPr>
                        <w:r>
                          <w:rPr>
                            <w:rFonts w:ascii="Arial" w:hAnsi="Arial" w:cs="Arial"/>
                          </w:rPr>
                          <w:t>√</w:t>
                        </w:r>
                      </w:p>
                    </w:tc>
                    <w:tc>
                      <w:tcPr>
                        <w:tcW w:w="1493" w:type="dxa"/>
                        <w:shd w:val="clear" w:color="auto" w:fill="auto"/>
                      </w:tcPr>
                      <w:p w14:paraId="41DBBC40" w14:textId="77777777" w:rsidR="001303A1" w:rsidRDefault="001303A1" w:rsidP="001303A1">
                        <w:pPr>
                          <w:jc w:val="center"/>
                          <w:rPr>
                            <w:rFonts w:ascii="Arial" w:hAnsi="Arial" w:cs="Arial"/>
                          </w:rPr>
                        </w:pPr>
                      </w:p>
                      <w:p w14:paraId="25D1B1A0" w14:textId="77777777" w:rsidR="001303A1" w:rsidRDefault="001303A1" w:rsidP="001303A1">
                        <w:pPr>
                          <w:jc w:val="center"/>
                          <w:rPr>
                            <w:rFonts w:ascii="Arial" w:hAnsi="Arial" w:cs="Arial"/>
                          </w:rPr>
                        </w:pPr>
                        <w:r>
                          <w:rPr>
                            <w:rFonts w:ascii="Arial" w:hAnsi="Arial" w:cs="Arial"/>
                          </w:rPr>
                          <w:t xml:space="preserve">Monthly </w:t>
                        </w:r>
                      </w:p>
                      <w:p w14:paraId="789820D0" w14:textId="77777777" w:rsidR="001303A1" w:rsidRPr="004579C4" w:rsidRDefault="001303A1" w:rsidP="001303A1">
                        <w:pPr>
                          <w:jc w:val="center"/>
                          <w:rPr>
                            <w:rFonts w:ascii="Arial" w:hAnsi="Arial" w:cs="Arial"/>
                          </w:rPr>
                        </w:pPr>
                      </w:p>
                    </w:tc>
                    <w:tc>
                      <w:tcPr>
                        <w:tcW w:w="2025" w:type="dxa"/>
                        <w:shd w:val="pct10" w:color="auto" w:fill="auto"/>
                      </w:tcPr>
                      <w:p w14:paraId="7F2FB5A8" w14:textId="77777777" w:rsidR="001303A1" w:rsidRDefault="001303A1" w:rsidP="001303A1">
                        <w:pPr>
                          <w:jc w:val="center"/>
                          <w:rPr>
                            <w:rFonts w:ascii="Arial" w:hAnsi="Arial" w:cs="Arial"/>
                          </w:rPr>
                        </w:pPr>
                        <w:r>
                          <w:rPr>
                            <w:rFonts w:ascii="Arial" w:hAnsi="Arial" w:cs="Arial"/>
                          </w:rPr>
                          <w:t>*Monthly –</w:t>
                        </w:r>
                      </w:p>
                      <w:p w14:paraId="6458F606" w14:textId="77777777" w:rsidR="001303A1" w:rsidRPr="004579C4" w:rsidRDefault="001303A1" w:rsidP="001303A1">
                        <w:pPr>
                          <w:jc w:val="center"/>
                          <w:rPr>
                            <w:rFonts w:ascii="Arial" w:hAnsi="Arial" w:cs="Arial"/>
                          </w:rPr>
                        </w:pPr>
                        <w:r>
                          <w:rPr>
                            <w:rFonts w:ascii="Arial" w:hAnsi="Arial" w:cs="Arial"/>
                          </w:rPr>
                          <w:t>2 to 3 monthly</w:t>
                        </w:r>
                      </w:p>
                    </w:tc>
                    <w:tc>
                      <w:tcPr>
                        <w:tcW w:w="1409" w:type="dxa"/>
                        <w:shd w:val="pct10" w:color="auto" w:fill="auto"/>
                      </w:tcPr>
                      <w:p w14:paraId="43E33818" w14:textId="77777777" w:rsidR="001303A1" w:rsidRPr="004579C4"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7EEBCA7B" w14:textId="77777777" w:rsidR="001303A1" w:rsidRPr="00843717" w:rsidRDefault="001303A1" w:rsidP="001303A1">
                        <w:pPr>
                          <w:jc w:val="center"/>
                          <w:rPr>
                            <w:rFonts w:ascii="Arial" w:hAnsi="Arial" w:cs="Arial"/>
                          </w:rPr>
                        </w:pPr>
                        <w:r>
                          <w:rPr>
                            <w:rFonts w:ascii="Arial" w:hAnsi="Arial" w:cs="Arial"/>
                          </w:rPr>
                          <w:t>√</w:t>
                        </w:r>
                      </w:p>
                    </w:tc>
                  </w:tr>
                  <w:tr w:rsidR="001303A1" w:rsidRPr="00843717" w14:paraId="5C2C3C09" w14:textId="77777777" w:rsidTr="00270E56">
                    <w:trPr>
                      <w:trHeight w:val="554"/>
                      <w:jc w:val="center"/>
                    </w:trPr>
                    <w:tc>
                      <w:tcPr>
                        <w:tcW w:w="1390" w:type="dxa"/>
                        <w:shd w:val="clear" w:color="auto" w:fill="auto"/>
                      </w:tcPr>
                      <w:p w14:paraId="0EECC057" w14:textId="77777777" w:rsidR="001303A1" w:rsidRPr="001467F4" w:rsidRDefault="001303A1" w:rsidP="001303A1">
                        <w:pPr>
                          <w:jc w:val="center"/>
                          <w:rPr>
                            <w:rFonts w:ascii="Arial" w:hAnsi="Arial" w:cs="Arial"/>
                          </w:rPr>
                        </w:pPr>
                        <w:r w:rsidRPr="001467F4">
                          <w:rPr>
                            <w:rFonts w:ascii="Arial" w:hAnsi="Arial" w:cs="Arial"/>
                          </w:rPr>
                          <w:t>Serum calcium</w:t>
                        </w:r>
                      </w:p>
                    </w:tc>
                    <w:tc>
                      <w:tcPr>
                        <w:tcW w:w="1444" w:type="dxa"/>
                        <w:vMerge/>
                        <w:shd w:val="clear" w:color="auto" w:fill="auto"/>
                      </w:tcPr>
                      <w:p w14:paraId="2B9B7810" w14:textId="77777777" w:rsidR="001303A1" w:rsidRPr="001467F4" w:rsidRDefault="001303A1" w:rsidP="001303A1">
                        <w:pPr>
                          <w:jc w:val="center"/>
                          <w:rPr>
                            <w:rFonts w:ascii="Arial" w:hAnsi="Arial" w:cs="Arial"/>
                          </w:rPr>
                        </w:pPr>
                      </w:p>
                    </w:tc>
                    <w:tc>
                      <w:tcPr>
                        <w:tcW w:w="1219" w:type="dxa"/>
                        <w:shd w:val="clear" w:color="auto" w:fill="auto"/>
                      </w:tcPr>
                      <w:p w14:paraId="0659C8F8" w14:textId="77777777" w:rsidR="001303A1" w:rsidRDefault="001303A1" w:rsidP="001303A1">
                        <w:pPr>
                          <w:jc w:val="center"/>
                          <w:rPr>
                            <w:rFonts w:ascii="Arial" w:hAnsi="Arial" w:cs="Arial"/>
                          </w:rPr>
                        </w:pPr>
                      </w:p>
                      <w:p w14:paraId="3D7F8CB0" w14:textId="77777777" w:rsidR="001303A1" w:rsidRPr="001467F4" w:rsidRDefault="001303A1" w:rsidP="001303A1">
                        <w:pPr>
                          <w:jc w:val="center"/>
                          <w:rPr>
                            <w:rFonts w:ascii="Arial" w:hAnsi="Arial" w:cs="Arial"/>
                          </w:rPr>
                        </w:pPr>
                        <w:r>
                          <w:rPr>
                            <w:rFonts w:ascii="Arial" w:hAnsi="Arial" w:cs="Arial"/>
                          </w:rPr>
                          <w:t>√</w:t>
                        </w:r>
                      </w:p>
                    </w:tc>
                    <w:tc>
                      <w:tcPr>
                        <w:tcW w:w="1493" w:type="dxa"/>
                        <w:shd w:val="clear" w:color="auto" w:fill="auto"/>
                      </w:tcPr>
                      <w:p w14:paraId="6145176C" w14:textId="77777777" w:rsidR="001303A1" w:rsidRDefault="001303A1" w:rsidP="001303A1">
                        <w:pPr>
                          <w:jc w:val="center"/>
                          <w:rPr>
                            <w:rFonts w:ascii="Arial" w:hAnsi="Arial" w:cs="Arial"/>
                          </w:rPr>
                        </w:pPr>
                      </w:p>
                      <w:p w14:paraId="32A0821F" w14:textId="77777777" w:rsidR="001303A1" w:rsidRDefault="001303A1" w:rsidP="001303A1">
                        <w:pPr>
                          <w:jc w:val="center"/>
                          <w:rPr>
                            <w:rFonts w:ascii="Arial" w:hAnsi="Arial" w:cs="Arial"/>
                          </w:rPr>
                        </w:pPr>
                        <w:r>
                          <w:rPr>
                            <w:rFonts w:ascii="Arial" w:hAnsi="Arial" w:cs="Arial"/>
                          </w:rPr>
                          <w:t xml:space="preserve">Monthly </w:t>
                        </w:r>
                      </w:p>
                      <w:p w14:paraId="52ACAAB7" w14:textId="77777777" w:rsidR="001303A1" w:rsidRPr="004579C4" w:rsidRDefault="001303A1" w:rsidP="001303A1">
                        <w:pPr>
                          <w:jc w:val="center"/>
                          <w:rPr>
                            <w:rFonts w:ascii="Arial" w:hAnsi="Arial" w:cs="Arial"/>
                          </w:rPr>
                        </w:pPr>
                      </w:p>
                    </w:tc>
                    <w:tc>
                      <w:tcPr>
                        <w:tcW w:w="2025" w:type="dxa"/>
                        <w:shd w:val="pct10" w:color="auto" w:fill="auto"/>
                      </w:tcPr>
                      <w:p w14:paraId="451E04F3" w14:textId="77777777" w:rsidR="001303A1" w:rsidRDefault="001303A1" w:rsidP="001303A1">
                        <w:pPr>
                          <w:jc w:val="center"/>
                          <w:rPr>
                            <w:rFonts w:ascii="Arial" w:hAnsi="Arial" w:cs="Arial"/>
                          </w:rPr>
                        </w:pPr>
                        <w:r>
                          <w:rPr>
                            <w:rFonts w:ascii="Arial" w:hAnsi="Arial" w:cs="Arial"/>
                          </w:rPr>
                          <w:t>*Monthly –</w:t>
                        </w:r>
                      </w:p>
                      <w:p w14:paraId="2BB0A948" w14:textId="77777777" w:rsidR="001303A1" w:rsidRPr="004579C4" w:rsidRDefault="001303A1" w:rsidP="001303A1">
                        <w:pPr>
                          <w:jc w:val="center"/>
                          <w:rPr>
                            <w:rFonts w:ascii="Arial" w:hAnsi="Arial" w:cs="Arial"/>
                          </w:rPr>
                        </w:pPr>
                        <w:r>
                          <w:rPr>
                            <w:rFonts w:ascii="Arial" w:hAnsi="Arial" w:cs="Arial"/>
                          </w:rPr>
                          <w:t>2 to 3 monthly</w:t>
                        </w:r>
                      </w:p>
                    </w:tc>
                    <w:tc>
                      <w:tcPr>
                        <w:tcW w:w="1409" w:type="dxa"/>
                        <w:shd w:val="pct10" w:color="auto" w:fill="auto"/>
                      </w:tcPr>
                      <w:p w14:paraId="335B022E" w14:textId="77777777" w:rsidR="001303A1" w:rsidRPr="004579C4"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456F5C14" w14:textId="77777777" w:rsidR="001303A1" w:rsidRDefault="001303A1" w:rsidP="001303A1">
                        <w:pPr>
                          <w:jc w:val="center"/>
                          <w:rPr>
                            <w:rFonts w:ascii="Arial" w:hAnsi="Arial" w:cs="Arial"/>
                          </w:rPr>
                        </w:pPr>
                        <w:r>
                          <w:rPr>
                            <w:rFonts w:ascii="Arial" w:hAnsi="Arial" w:cs="Arial"/>
                          </w:rPr>
                          <w:t>√</w:t>
                        </w:r>
                      </w:p>
                    </w:tc>
                  </w:tr>
                  <w:tr w:rsidR="001303A1" w:rsidRPr="00843717" w14:paraId="7E2CF1E8" w14:textId="77777777" w:rsidTr="00270E56">
                    <w:trPr>
                      <w:trHeight w:val="451"/>
                      <w:jc w:val="center"/>
                    </w:trPr>
                    <w:tc>
                      <w:tcPr>
                        <w:tcW w:w="1390" w:type="dxa"/>
                        <w:shd w:val="clear" w:color="auto" w:fill="auto"/>
                      </w:tcPr>
                      <w:p w14:paraId="28081E21" w14:textId="77777777" w:rsidR="001303A1" w:rsidRPr="001467F4" w:rsidRDefault="001303A1" w:rsidP="001303A1">
                        <w:pPr>
                          <w:jc w:val="center"/>
                          <w:rPr>
                            <w:rFonts w:ascii="Arial" w:hAnsi="Arial" w:cs="Arial"/>
                          </w:rPr>
                        </w:pPr>
                        <w:r w:rsidRPr="001467F4">
                          <w:rPr>
                            <w:rFonts w:ascii="Arial" w:hAnsi="Arial" w:cs="Arial"/>
                          </w:rPr>
                          <w:t>Parathyroid hormone</w:t>
                        </w:r>
                      </w:p>
                    </w:tc>
                    <w:tc>
                      <w:tcPr>
                        <w:tcW w:w="1444" w:type="dxa"/>
                        <w:vMerge/>
                        <w:shd w:val="clear" w:color="auto" w:fill="auto"/>
                      </w:tcPr>
                      <w:p w14:paraId="5A78B14D" w14:textId="77777777" w:rsidR="001303A1" w:rsidRPr="001467F4" w:rsidRDefault="001303A1" w:rsidP="001303A1">
                        <w:pPr>
                          <w:jc w:val="center"/>
                          <w:rPr>
                            <w:rFonts w:ascii="Arial" w:hAnsi="Arial" w:cs="Arial"/>
                          </w:rPr>
                        </w:pPr>
                      </w:p>
                    </w:tc>
                    <w:tc>
                      <w:tcPr>
                        <w:tcW w:w="1219" w:type="dxa"/>
                        <w:shd w:val="clear" w:color="auto" w:fill="auto"/>
                      </w:tcPr>
                      <w:p w14:paraId="6336C497" w14:textId="77777777" w:rsidR="001303A1" w:rsidRDefault="001303A1" w:rsidP="001303A1">
                        <w:pPr>
                          <w:jc w:val="center"/>
                          <w:rPr>
                            <w:rFonts w:ascii="Arial" w:hAnsi="Arial" w:cs="Arial"/>
                          </w:rPr>
                        </w:pPr>
                      </w:p>
                      <w:p w14:paraId="4720CB18" w14:textId="77777777" w:rsidR="001303A1" w:rsidRDefault="001303A1" w:rsidP="001303A1">
                        <w:pPr>
                          <w:jc w:val="center"/>
                          <w:rPr>
                            <w:rFonts w:ascii="Arial" w:hAnsi="Arial" w:cs="Arial"/>
                          </w:rPr>
                        </w:pPr>
                        <w:r>
                          <w:rPr>
                            <w:rFonts w:ascii="Arial" w:hAnsi="Arial" w:cs="Arial"/>
                          </w:rPr>
                          <w:t>√</w:t>
                        </w:r>
                      </w:p>
                    </w:tc>
                    <w:tc>
                      <w:tcPr>
                        <w:tcW w:w="1493" w:type="dxa"/>
                        <w:shd w:val="clear" w:color="auto" w:fill="auto"/>
                      </w:tcPr>
                      <w:p w14:paraId="501C2352" w14:textId="77777777" w:rsidR="001303A1" w:rsidRDefault="001303A1" w:rsidP="001303A1">
                        <w:pPr>
                          <w:jc w:val="center"/>
                          <w:rPr>
                            <w:rFonts w:ascii="Arial" w:hAnsi="Arial" w:cs="Arial"/>
                          </w:rPr>
                        </w:pPr>
                      </w:p>
                      <w:p w14:paraId="6283E531" w14:textId="77777777" w:rsidR="001303A1" w:rsidRDefault="001303A1" w:rsidP="001303A1">
                        <w:pPr>
                          <w:jc w:val="center"/>
                          <w:rPr>
                            <w:rFonts w:ascii="Arial" w:hAnsi="Arial" w:cs="Arial"/>
                          </w:rPr>
                        </w:pPr>
                        <w:r>
                          <w:rPr>
                            <w:rFonts w:ascii="Arial" w:hAnsi="Arial" w:cs="Arial"/>
                          </w:rPr>
                          <w:t xml:space="preserve">3 monthly </w:t>
                        </w:r>
                      </w:p>
                    </w:tc>
                    <w:tc>
                      <w:tcPr>
                        <w:tcW w:w="2025" w:type="dxa"/>
                        <w:shd w:val="pct10" w:color="auto" w:fill="auto"/>
                      </w:tcPr>
                      <w:p w14:paraId="78FC71EC" w14:textId="77777777" w:rsidR="001303A1" w:rsidRDefault="001303A1" w:rsidP="001303A1">
                        <w:pPr>
                          <w:jc w:val="center"/>
                          <w:rPr>
                            <w:rFonts w:ascii="Arial" w:hAnsi="Arial" w:cs="Arial"/>
                          </w:rPr>
                        </w:pPr>
                        <w:r>
                          <w:rPr>
                            <w:rFonts w:ascii="Arial" w:hAnsi="Arial" w:cs="Arial"/>
                          </w:rPr>
                          <w:t xml:space="preserve">3 monthly </w:t>
                        </w:r>
                      </w:p>
                    </w:tc>
                    <w:tc>
                      <w:tcPr>
                        <w:tcW w:w="1409" w:type="dxa"/>
                        <w:shd w:val="pct10" w:color="auto" w:fill="auto"/>
                      </w:tcPr>
                      <w:p w14:paraId="07AB64DF" w14:textId="77777777" w:rsidR="001303A1" w:rsidRDefault="001303A1" w:rsidP="001303A1">
                        <w:pPr>
                          <w:jc w:val="center"/>
                          <w:rPr>
                            <w:rFonts w:ascii="Arial" w:hAnsi="Arial" w:cs="Arial"/>
                          </w:rPr>
                        </w:pPr>
                        <w:r>
                          <w:rPr>
                            <w:rFonts w:ascii="Arial" w:hAnsi="Arial" w:cs="Arial"/>
                          </w:rPr>
                          <w:t>Not required by GP</w:t>
                        </w:r>
                      </w:p>
                    </w:tc>
                    <w:tc>
                      <w:tcPr>
                        <w:tcW w:w="1392" w:type="dxa"/>
                        <w:shd w:val="clear" w:color="auto" w:fill="auto"/>
                      </w:tcPr>
                      <w:p w14:paraId="5549757C" w14:textId="77777777" w:rsidR="001303A1" w:rsidRDefault="001303A1" w:rsidP="001303A1">
                        <w:pPr>
                          <w:jc w:val="center"/>
                          <w:rPr>
                            <w:rFonts w:ascii="Arial" w:hAnsi="Arial" w:cs="Arial"/>
                          </w:rPr>
                        </w:pPr>
                        <w:r>
                          <w:rPr>
                            <w:rFonts w:ascii="Arial" w:hAnsi="Arial" w:cs="Arial"/>
                          </w:rPr>
                          <w:t>√</w:t>
                        </w:r>
                      </w:p>
                    </w:tc>
                  </w:tr>
                  <w:tr w:rsidR="001303A1" w:rsidRPr="00843717" w14:paraId="1F01A83B" w14:textId="77777777" w:rsidTr="00270E56">
                    <w:trPr>
                      <w:trHeight w:val="451"/>
                      <w:jc w:val="center"/>
                    </w:trPr>
                    <w:tc>
                      <w:tcPr>
                        <w:tcW w:w="10372" w:type="dxa"/>
                        <w:gridSpan w:val="7"/>
                        <w:shd w:val="clear" w:color="auto" w:fill="auto"/>
                      </w:tcPr>
                      <w:p w14:paraId="1D4945A6" w14:textId="00CE3457" w:rsidR="001303A1" w:rsidRPr="00D161B2" w:rsidRDefault="001303A1" w:rsidP="001303A1">
                        <w:pPr>
                          <w:rPr>
                            <w:rFonts w:ascii="Arial" w:hAnsi="Arial" w:cs="Arial"/>
                            <w:sz w:val="18"/>
                            <w:szCs w:val="18"/>
                          </w:rPr>
                        </w:pPr>
                        <w:r>
                          <w:rPr>
                            <w:rFonts w:ascii="Arial" w:hAnsi="Arial" w:cs="Arial"/>
                          </w:rPr>
                          <w:t>*</w:t>
                        </w:r>
                        <w:r>
                          <w:rPr>
                            <w:rFonts w:ascii="Arial" w:hAnsi="Arial" w:cs="Arial"/>
                            <w:sz w:val="18"/>
                            <w:szCs w:val="18"/>
                          </w:rPr>
                          <w:t>D</w:t>
                        </w:r>
                        <w:r w:rsidRPr="001760AB">
                          <w:rPr>
                            <w:rFonts w:ascii="Arial" w:hAnsi="Arial" w:cs="Arial"/>
                            <w:sz w:val="18"/>
                            <w:szCs w:val="18"/>
                          </w:rPr>
                          <w:t>ialys</w:t>
                        </w:r>
                        <w:r w:rsidR="00D161B2">
                          <w:rPr>
                            <w:rFonts w:ascii="Arial" w:hAnsi="Arial" w:cs="Arial"/>
                            <w:sz w:val="18"/>
                            <w:szCs w:val="18"/>
                          </w:rPr>
                          <w:t>i</w:t>
                        </w:r>
                        <w:r w:rsidRPr="001760AB">
                          <w:rPr>
                            <w:rFonts w:ascii="Arial" w:hAnsi="Arial" w:cs="Arial"/>
                            <w:sz w:val="18"/>
                            <w:szCs w:val="18"/>
                          </w:rPr>
                          <w:t xml:space="preserve">s patients are monitored routinely </w:t>
                        </w:r>
                        <w:r>
                          <w:rPr>
                            <w:rFonts w:ascii="Arial" w:hAnsi="Arial" w:cs="Arial"/>
                            <w:sz w:val="18"/>
                            <w:szCs w:val="18"/>
                          </w:rPr>
                          <w:t>monthly</w:t>
                        </w:r>
                        <w:r w:rsidRPr="001760AB">
                          <w:rPr>
                            <w:rFonts w:ascii="Arial" w:hAnsi="Arial" w:cs="Arial"/>
                            <w:sz w:val="18"/>
                            <w:szCs w:val="18"/>
                          </w:rPr>
                          <w:t>, non-dialys</w:t>
                        </w:r>
                        <w:r w:rsidR="00D161B2">
                          <w:rPr>
                            <w:rFonts w:ascii="Arial" w:hAnsi="Arial" w:cs="Arial"/>
                            <w:sz w:val="18"/>
                            <w:szCs w:val="18"/>
                          </w:rPr>
                          <w:t>i</w:t>
                        </w:r>
                        <w:r w:rsidRPr="001760AB">
                          <w:rPr>
                            <w:rFonts w:ascii="Arial" w:hAnsi="Arial" w:cs="Arial"/>
                            <w:sz w:val="18"/>
                            <w:szCs w:val="18"/>
                          </w:rPr>
                          <w:t>s patients are routinely monitored every 2-3months</w:t>
                        </w:r>
                        <w:r>
                          <w:rPr>
                            <w:rFonts w:ascii="Arial" w:hAnsi="Arial" w:cs="Arial"/>
                            <w:sz w:val="18"/>
                            <w:szCs w:val="18"/>
                          </w:rPr>
                          <w:t xml:space="preserve"> (see also page 4)</w:t>
                        </w:r>
                      </w:p>
                    </w:tc>
                  </w:tr>
                  <w:tr w:rsidR="001303A1" w:rsidRPr="00843717" w14:paraId="113467DD" w14:textId="77777777" w:rsidTr="00270E56">
                    <w:trPr>
                      <w:jc w:val="center"/>
                    </w:trPr>
                    <w:tc>
                      <w:tcPr>
                        <w:tcW w:w="10372" w:type="dxa"/>
                        <w:gridSpan w:val="7"/>
                      </w:tcPr>
                      <w:p w14:paraId="1D9F9862" w14:textId="77777777" w:rsidR="001303A1" w:rsidRDefault="001303A1" w:rsidP="001303A1">
                        <w:pPr>
                          <w:spacing w:after="40"/>
                          <w:rPr>
                            <w:rFonts w:ascii="Arial" w:hAnsi="Arial" w:cs="Arial"/>
                            <w:b/>
                            <w:u w:val="single"/>
                          </w:rPr>
                        </w:pPr>
                        <w:r w:rsidRPr="00843717">
                          <w:rPr>
                            <w:rFonts w:ascii="Arial" w:hAnsi="Arial" w:cs="Arial"/>
                            <w:b/>
                            <w:u w:val="single"/>
                          </w:rPr>
                          <w:t>Action to be taken if Abnormal Result</w:t>
                        </w:r>
                      </w:p>
                      <w:p w14:paraId="0EA59CE1" w14:textId="77777777" w:rsidR="001303A1" w:rsidRDefault="001303A1" w:rsidP="001303A1">
                        <w:pPr>
                          <w:rPr>
                            <w:rFonts w:ascii="Arial" w:hAnsi="Arial" w:cs="Arial"/>
                          </w:rPr>
                        </w:pPr>
                        <w:r>
                          <w:rPr>
                            <w:rFonts w:ascii="Arial" w:hAnsi="Arial" w:cs="Arial"/>
                          </w:rPr>
                          <w:t>GP will be informed by specialist via letter.</w:t>
                        </w:r>
                      </w:p>
                      <w:p w14:paraId="02801CD6" w14:textId="77777777" w:rsidR="001303A1" w:rsidRDefault="001303A1" w:rsidP="001303A1">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07DF00F5" w14:textId="77777777" w:rsidR="001303A1" w:rsidRPr="00843717" w:rsidRDefault="001303A1" w:rsidP="001303A1">
                        <w:pPr>
                          <w:rPr>
                            <w:rFonts w:ascii="Arial" w:hAnsi="Arial" w:cs="Arial"/>
                          </w:rPr>
                        </w:pPr>
                      </w:p>
                    </w:tc>
                  </w:tr>
                </w:tbl>
                <w:p w14:paraId="774D51A6" w14:textId="77777777" w:rsidR="00BA4929" w:rsidRPr="00F12528" w:rsidRDefault="00BA4929" w:rsidP="001303A1">
                  <w:pPr>
                    <w:rPr>
                      <w:rFonts w:ascii="Arial" w:eastAsia="Times New Roman" w:hAnsi="Arial" w:cs="Arial"/>
                      <w:b/>
                      <w:bCs/>
                      <w:szCs w:val="24"/>
                      <w:lang w:val="en-US"/>
                    </w:rPr>
                  </w:pPr>
                </w:p>
              </w:tc>
            </w:tr>
          </w:tbl>
          <w:p w14:paraId="43CD06C5" w14:textId="77777777" w:rsidR="00BA4929" w:rsidRPr="00755AEA" w:rsidRDefault="00BA4929" w:rsidP="00F5655B">
            <w:pPr>
              <w:spacing w:after="0" w:line="240" w:lineRule="auto"/>
              <w:rPr>
                <w:rFonts w:ascii="Arial" w:eastAsia="Times New Roman" w:hAnsi="Arial" w:cs="Arial"/>
                <w:bCs/>
                <w:lang w:eastAsia="en-GB"/>
              </w:rPr>
            </w:pPr>
          </w:p>
        </w:tc>
      </w:tr>
    </w:tbl>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54726014"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1C1BC873"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780BAF">
        <w:rPr>
          <w:rFonts w:ascii="Arial" w:hAnsi="Arial" w:cs="Arial"/>
        </w:rPr>
        <w:t xml:space="preserve"> (page </w:t>
      </w:r>
      <w:r w:rsidR="006732C5">
        <w:rPr>
          <w:rFonts w:ascii="Arial" w:hAnsi="Arial" w:cs="Arial"/>
        </w:rPr>
        <w:t>1</w:t>
      </w:r>
      <w:r>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48B534A9" w14:textId="77777777" w:rsidR="002A009B" w:rsidRPr="002B0C19" w:rsidRDefault="00C83EBD" w:rsidP="006732C5">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23A770EC" w14:textId="51241AA5" w:rsidR="00F322A8" w:rsidRDefault="00F322A8" w:rsidP="002D134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of </w:t>
      </w:r>
      <w:r w:rsidR="00270E56">
        <w:rPr>
          <w:rFonts w:ascii="Arial" w:eastAsia="Times New Roman" w:hAnsi="Arial" w:cs="Times New Roman"/>
          <w:b/>
          <w:szCs w:val="24"/>
          <w:lang w:val="en-US"/>
        </w:rPr>
        <w:t>o</w:t>
      </w:r>
      <w:r>
        <w:rPr>
          <w:rFonts w:ascii="Arial" w:eastAsia="Times New Roman" w:hAnsi="Arial" w:cs="Times New Roman"/>
          <w:b/>
          <w:szCs w:val="24"/>
          <w:lang w:val="en-US"/>
        </w:rPr>
        <w:t xml:space="preserve">ral </w:t>
      </w:r>
      <w:r w:rsidR="00270E56">
        <w:rPr>
          <w:rFonts w:ascii="Arial" w:eastAsia="Times New Roman" w:hAnsi="Arial" w:cs="Times New Roman"/>
          <w:b/>
          <w:szCs w:val="24"/>
          <w:lang w:val="en-US"/>
        </w:rPr>
        <w:t>s</w:t>
      </w:r>
      <w:r>
        <w:rPr>
          <w:rFonts w:ascii="Arial" w:eastAsia="Times New Roman" w:hAnsi="Arial" w:cs="Times New Roman"/>
          <w:b/>
          <w:szCs w:val="24"/>
          <w:lang w:val="en-US"/>
        </w:rPr>
        <w:t xml:space="preserve">ucroferric </w:t>
      </w:r>
      <w:r w:rsidR="00270E56">
        <w:rPr>
          <w:rFonts w:ascii="Arial" w:eastAsia="Times New Roman" w:hAnsi="Arial" w:cs="Times New Roman"/>
          <w:b/>
          <w:szCs w:val="24"/>
          <w:lang w:val="en-US"/>
        </w:rPr>
        <w:t>o</w:t>
      </w:r>
      <w:r w:rsidRPr="0087256F">
        <w:rPr>
          <w:rFonts w:ascii="Arial" w:eastAsia="Times New Roman" w:hAnsi="Arial" w:cs="Times New Roman"/>
          <w:b/>
          <w:szCs w:val="24"/>
          <w:lang w:val="en-US"/>
        </w:rPr>
        <w:t xml:space="preserve">xyhydroxide for </w:t>
      </w:r>
      <w:r w:rsidR="00270E56">
        <w:rPr>
          <w:rFonts w:ascii="Arial" w:eastAsia="Times New Roman" w:hAnsi="Arial" w:cs="Times New Roman"/>
          <w:b/>
          <w:szCs w:val="24"/>
          <w:lang w:val="en-US"/>
        </w:rPr>
        <w:t>h</w:t>
      </w:r>
      <w:r w:rsidRPr="0087256F">
        <w:rPr>
          <w:rFonts w:ascii="Arial" w:eastAsia="Times New Roman" w:hAnsi="Arial" w:cs="Times New Roman"/>
          <w:b/>
          <w:szCs w:val="24"/>
          <w:lang w:val="en-US"/>
        </w:rPr>
        <w:t>yperphosphataemia</w:t>
      </w:r>
      <w:r w:rsidR="002D134E">
        <w:rPr>
          <w:rFonts w:ascii="Arial" w:eastAsia="Times New Roman" w:hAnsi="Arial" w:cs="Times New Roman"/>
          <w:b/>
          <w:szCs w:val="24"/>
          <w:lang w:val="en-US"/>
        </w:rPr>
        <w:t xml:space="preserve"> </w:t>
      </w:r>
      <w:r w:rsidRPr="0087256F">
        <w:rPr>
          <w:rFonts w:ascii="Arial" w:eastAsia="Times New Roman" w:hAnsi="Arial" w:cs="Times New Roman"/>
          <w:b/>
          <w:szCs w:val="24"/>
          <w:lang w:val="en-US"/>
        </w:rPr>
        <w:t xml:space="preserve">in </w:t>
      </w:r>
      <w:r w:rsidR="00270E56">
        <w:rPr>
          <w:rFonts w:ascii="Arial" w:eastAsia="Times New Roman" w:hAnsi="Arial" w:cs="Times New Roman"/>
          <w:b/>
          <w:szCs w:val="24"/>
          <w:lang w:val="en-US"/>
        </w:rPr>
        <w:t>a</w:t>
      </w:r>
      <w:r w:rsidRPr="0087256F">
        <w:rPr>
          <w:rFonts w:ascii="Arial" w:eastAsia="Times New Roman" w:hAnsi="Arial" w:cs="Times New Roman"/>
          <w:b/>
          <w:szCs w:val="24"/>
          <w:lang w:val="en-US"/>
        </w:rPr>
        <w:t xml:space="preserve">dult </w:t>
      </w:r>
      <w:r w:rsidR="00270E56">
        <w:rPr>
          <w:rFonts w:ascii="Arial" w:eastAsia="Times New Roman" w:hAnsi="Arial" w:cs="Times New Roman"/>
          <w:b/>
          <w:szCs w:val="24"/>
          <w:lang w:val="en-US"/>
        </w:rPr>
        <w:t>p</w:t>
      </w:r>
      <w:r w:rsidRPr="0087256F">
        <w:rPr>
          <w:rFonts w:ascii="Arial" w:eastAsia="Times New Roman" w:hAnsi="Arial" w:cs="Times New Roman"/>
          <w:b/>
          <w:szCs w:val="24"/>
          <w:lang w:val="en-US"/>
        </w:rPr>
        <w:t xml:space="preserve">atients with </w:t>
      </w:r>
      <w:r w:rsidR="00270E56">
        <w:rPr>
          <w:rFonts w:ascii="Arial" w:eastAsia="Times New Roman" w:hAnsi="Arial" w:cs="Times New Roman"/>
          <w:b/>
          <w:szCs w:val="24"/>
          <w:lang w:val="en-US"/>
        </w:rPr>
        <w:t>e</w:t>
      </w:r>
      <w:r>
        <w:rPr>
          <w:rFonts w:ascii="Arial" w:eastAsia="Times New Roman" w:hAnsi="Arial" w:cs="Times New Roman"/>
          <w:b/>
          <w:szCs w:val="24"/>
          <w:lang w:val="en-US"/>
        </w:rPr>
        <w:t xml:space="preserve">nd </w:t>
      </w:r>
      <w:r w:rsidR="00270E56">
        <w:rPr>
          <w:rFonts w:ascii="Arial" w:eastAsia="Times New Roman" w:hAnsi="Arial" w:cs="Times New Roman"/>
          <w:b/>
          <w:szCs w:val="24"/>
          <w:lang w:val="en-US"/>
        </w:rPr>
        <w:t>s</w:t>
      </w:r>
      <w:r>
        <w:rPr>
          <w:rFonts w:ascii="Arial" w:eastAsia="Times New Roman" w:hAnsi="Arial" w:cs="Times New Roman"/>
          <w:b/>
          <w:szCs w:val="24"/>
          <w:lang w:val="en-US"/>
        </w:rPr>
        <w:t xml:space="preserve">tage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enal </w:t>
      </w:r>
      <w:r w:rsidR="00270E56">
        <w:rPr>
          <w:rFonts w:ascii="Arial" w:eastAsia="Times New Roman" w:hAnsi="Arial" w:cs="Times New Roman"/>
          <w:b/>
          <w:szCs w:val="24"/>
          <w:lang w:val="en-US"/>
        </w:rPr>
        <w:t>f</w:t>
      </w:r>
      <w:r>
        <w:rPr>
          <w:rFonts w:ascii="Arial" w:eastAsia="Times New Roman" w:hAnsi="Arial" w:cs="Times New Roman"/>
          <w:b/>
          <w:szCs w:val="24"/>
          <w:lang w:val="en-US"/>
        </w:rPr>
        <w:t xml:space="preserve">ailure requiring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enal </w:t>
      </w:r>
      <w:r w:rsidR="00270E56">
        <w:rPr>
          <w:rFonts w:ascii="Arial" w:eastAsia="Times New Roman" w:hAnsi="Arial" w:cs="Times New Roman"/>
          <w:b/>
          <w:szCs w:val="24"/>
          <w:lang w:val="en-US"/>
        </w:rPr>
        <w:t>r</w:t>
      </w:r>
      <w:r>
        <w:rPr>
          <w:rFonts w:ascii="Arial" w:eastAsia="Times New Roman" w:hAnsi="Arial" w:cs="Times New Roman"/>
          <w:b/>
          <w:szCs w:val="24"/>
          <w:lang w:val="en-US"/>
        </w:rPr>
        <w:t xml:space="preserve">eplacement </w:t>
      </w:r>
      <w:r w:rsidR="00270E56">
        <w:rPr>
          <w:rFonts w:ascii="Arial" w:eastAsia="Times New Roman" w:hAnsi="Arial" w:cs="Times New Roman"/>
          <w:b/>
          <w:szCs w:val="24"/>
          <w:lang w:val="en-US"/>
        </w:rPr>
        <w:t>t</w:t>
      </w:r>
      <w:r>
        <w:rPr>
          <w:rFonts w:ascii="Arial" w:eastAsia="Times New Roman" w:hAnsi="Arial" w:cs="Times New Roman"/>
          <w:b/>
          <w:szCs w:val="24"/>
          <w:lang w:val="en-US"/>
        </w:rPr>
        <w:t>herapy</w:t>
      </w:r>
      <w:r w:rsidR="00CD1399">
        <w:rPr>
          <w:rFonts w:ascii="Arial" w:eastAsia="Times New Roman" w:hAnsi="Arial" w:cs="Times New Roman"/>
          <w:b/>
          <w:szCs w:val="24"/>
          <w:lang w:val="en-US"/>
        </w:rPr>
        <w:t>:</w:t>
      </w:r>
    </w:p>
    <w:p w14:paraId="7A7BFCE4" w14:textId="2D219A33" w:rsidR="00723203" w:rsidRPr="006F4129" w:rsidRDefault="00CD1399" w:rsidP="00F322A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Guideline No </w:t>
      </w:r>
      <w:r w:rsidR="00EE4517">
        <w:rPr>
          <w:rFonts w:ascii="Arial" w:eastAsia="Times New Roman" w:hAnsi="Arial" w:cs="Times New Roman"/>
          <w:b/>
          <w:szCs w:val="24"/>
          <w:lang w:val="en-US"/>
        </w:rPr>
        <w:t>1</w:t>
      </w:r>
      <w:r w:rsidR="002159E8">
        <w:rPr>
          <w:rFonts w:ascii="Arial" w:eastAsia="Times New Roman" w:hAnsi="Arial" w:cs="Times New Roman"/>
          <w:b/>
          <w:szCs w:val="24"/>
          <w:lang w:val="en-US"/>
        </w:rPr>
        <w:t>5</w:t>
      </w:r>
      <w:r>
        <w:rPr>
          <w:rFonts w:ascii="Arial" w:eastAsia="Times New Roman" w:hAnsi="Arial" w:cs="Times New Roman"/>
          <w:b/>
          <w:szCs w:val="24"/>
          <w:lang w:val="en-US"/>
        </w:rPr>
        <w:t xml:space="preserve">; </w:t>
      </w:r>
      <w:r w:rsidR="00723203">
        <w:rPr>
          <w:rFonts w:ascii="Arial" w:eastAsia="Times New Roman" w:hAnsi="Arial" w:cs="Times New Roman"/>
          <w:b/>
          <w:szCs w:val="24"/>
          <w:lang w:val="en-US"/>
        </w:rPr>
        <w:t xml:space="preserve">Version </w:t>
      </w:r>
      <w:r w:rsidR="006B440D">
        <w:rPr>
          <w:rFonts w:ascii="Arial" w:eastAsia="Times New Roman" w:hAnsi="Arial" w:cs="Times New Roman"/>
          <w:b/>
          <w:szCs w:val="24"/>
          <w:lang w:val="en-US"/>
        </w:rPr>
        <w:t>2</w:t>
      </w:r>
      <w:r w:rsidR="00F2229F">
        <w:rPr>
          <w:rFonts w:ascii="Arial" w:eastAsia="Times New Roman" w:hAnsi="Arial" w:cs="Times New Roman"/>
          <w:b/>
          <w:szCs w:val="24"/>
          <w:lang w:val="en-US"/>
        </w:rPr>
        <w:t>.</w:t>
      </w:r>
      <w:r w:rsidR="006732C5">
        <w:rPr>
          <w:rFonts w:ascii="Arial" w:eastAsia="Times New Roman" w:hAnsi="Arial" w:cs="Times New Roman"/>
          <w:b/>
          <w:szCs w:val="24"/>
          <w:lang w:val="en-US"/>
        </w:rPr>
        <w:t>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27EC8F07"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3937C826"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C063405"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suggests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050671F8"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34EFBE0"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Phosphate binders are indicated for the control of hyperphosphataemia in adult patients with chronic kidney disease. A number of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2A0840">
        <w:rPr>
          <w:rFonts w:ascii="Arial" w:hAnsi="Arial" w:cs="Arial"/>
        </w:rPr>
        <w:t>sevelamer carbonate (Renvela</w:t>
      </w:r>
      <w:r w:rsidRPr="002A0840">
        <w:rPr>
          <w:rFonts w:ascii="Arial" w:hAnsi="Arial" w:cs="Arial"/>
          <w:vertAlign w:val="superscript"/>
        </w:rPr>
        <w:t>®</w:t>
      </w:r>
      <w:r w:rsidRPr="002A0840">
        <w:rPr>
          <w:rFonts w:ascii="Arial" w:hAnsi="Arial" w:cs="Arial"/>
        </w:rPr>
        <w:t>),</w:t>
      </w:r>
      <w:r>
        <w:rPr>
          <w:rFonts w:ascii="Arial" w:hAnsi="Arial" w:cs="Arial"/>
          <w:b/>
          <w:bCs/>
        </w:rPr>
        <w:t xml:space="preserve"> </w:t>
      </w:r>
      <w:r w:rsidRPr="002A0840">
        <w:rPr>
          <w:rFonts w:ascii="Arial" w:hAnsi="Arial" w:cs="Arial"/>
          <w:b/>
          <w:bCs/>
        </w:rPr>
        <w:t>sucroferric oxyhydroxide (Velphoro</w:t>
      </w:r>
      <w:r w:rsidRPr="002A0840">
        <w:rPr>
          <w:rFonts w:ascii="Arial" w:hAnsi="Arial" w:cs="Arial"/>
          <w:b/>
          <w:bCs/>
          <w:vertAlign w:val="superscript"/>
        </w:rPr>
        <w:t>®</w:t>
      </w:r>
      <w:r w:rsidRPr="002A0840">
        <w:rPr>
          <w:rFonts w:ascii="Arial" w:hAnsi="Arial" w:cs="Arial"/>
          <w:b/>
          <w:bCs/>
        </w:rPr>
        <w:t>)</w:t>
      </w:r>
      <w:r w:rsidRPr="00963B98">
        <w:rPr>
          <w:rFonts w:ascii="Arial" w:hAnsi="Arial" w:cs="Arial"/>
        </w:rPr>
        <w:t xml:space="preserve"> </w:t>
      </w:r>
      <w:r w:rsidRPr="00052F98">
        <w:rPr>
          <w:rFonts w:ascii="Arial" w:hAnsi="Arial" w:cs="Arial"/>
        </w:rPr>
        <w:t>and lanthanum (Fosrenol</w:t>
      </w:r>
      <w:bookmarkStart w:id="2" w:name="_Hlk148714396"/>
      <w:r w:rsidRPr="00052F98">
        <w:rPr>
          <w:rFonts w:ascii="Arial" w:hAnsi="Arial" w:cs="Arial"/>
          <w:vertAlign w:val="superscript"/>
        </w:rPr>
        <w:t>®</w:t>
      </w:r>
      <w:bookmarkEnd w:id="2"/>
      <w:r w:rsidRPr="00052F98">
        <w:rPr>
          <w:rFonts w:ascii="Arial" w:hAnsi="Arial" w:cs="Arial"/>
        </w:rPr>
        <w:t>). These products may be used in combination with 1α-hydroxycholecalciferol (alfacalcidol) or one of its analogues</w:t>
      </w:r>
      <w:r>
        <w:rPr>
          <w:rFonts w:ascii="Arial" w:hAnsi="Arial" w:cs="Arial"/>
        </w:rPr>
        <w:t>,</w:t>
      </w:r>
      <w:r w:rsidRPr="00052F98">
        <w:rPr>
          <w:rFonts w:ascii="Arial" w:hAnsi="Arial" w:cs="Arial"/>
        </w:rPr>
        <w:t xml:space="preserve"> or cinacalcet to control the development of renal bone disease.</w:t>
      </w:r>
    </w:p>
    <w:p w14:paraId="6821B6D6"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7F98CA"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Pr>
          <w:rFonts w:ascii="Arial" w:hAnsi="Arial" w:cs="Arial"/>
        </w:rPr>
        <w:t>:</w:t>
      </w:r>
    </w:p>
    <w:p w14:paraId="7B153D25"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Pr>
          <w:rFonts w:ascii="Arial" w:hAnsi="Arial" w:cs="Arial"/>
        </w:rPr>
        <w:t>(Consider</w:t>
      </w:r>
      <w:r w:rsidRPr="002A7EB0">
        <w:rPr>
          <w:rFonts w:ascii="Arial" w:hAnsi="Arial" w:cs="Arial"/>
        </w:rPr>
        <w:t xml:space="preserve"> patient preference and use calcium carbonate if </w:t>
      </w:r>
      <w:r>
        <w:rPr>
          <w:rFonts w:ascii="Arial" w:hAnsi="Arial" w:cs="Arial"/>
        </w:rPr>
        <w:t xml:space="preserve">calcium </w:t>
      </w:r>
      <w:r w:rsidRPr="002A7EB0">
        <w:rPr>
          <w:rFonts w:ascii="Arial" w:hAnsi="Arial" w:cs="Arial"/>
        </w:rPr>
        <w:t xml:space="preserve">acetate not </w:t>
      </w:r>
      <w:r>
        <w:rPr>
          <w:rFonts w:ascii="Arial" w:hAnsi="Arial" w:cs="Arial"/>
        </w:rPr>
        <w:t>suitable).</w:t>
      </w:r>
    </w:p>
    <w:p w14:paraId="78D7A462"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03CA2BD5" w14:textId="01BA9279"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Pr>
          <w:rFonts w:ascii="Arial" w:hAnsi="Arial" w:cs="Arial"/>
        </w:rPr>
        <w:t xml:space="preserve">carbonate </w:t>
      </w:r>
      <w:r w:rsidRPr="00052F98">
        <w:rPr>
          <w:rFonts w:ascii="Arial" w:hAnsi="Arial" w:cs="Arial"/>
        </w:rPr>
        <w:t xml:space="preserve">cannot be used, consider using </w:t>
      </w:r>
      <w:r>
        <w:rPr>
          <w:rFonts w:ascii="Arial" w:hAnsi="Arial" w:cs="Arial"/>
        </w:rPr>
        <w:t>s</w:t>
      </w:r>
      <w:r w:rsidRPr="00052F98">
        <w:rPr>
          <w:rFonts w:ascii="Arial" w:hAnsi="Arial" w:cs="Arial"/>
        </w:rPr>
        <w:t xml:space="preserve">ucroferric </w:t>
      </w:r>
      <w:r>
        <w:rPr>
          <w:rFonts w:ascii="Arial" w:hAnsi="Arial" w:cs="Arial"/>
        </w:rPr>
        <w:t>o</w:t>
      </w:r>
      <w:r w:rsidRPr="00052F98">
        <w:rPr>
          <w:rFonts w:ascii="Arial" w:hAnsi="Arial" w:cs="Arial"/>
        </w:rPr>
        <w:t>xyhydroxide</w:t>
      </w:r>
      <w:r>
        <w:rPr>
          <w:rFonts w:ascii="Arial" w:hAnsi="Arial" w:cs="Arial"/>
        </w:rPr>
        <w:t xml:space="preserve"> for patients on dialys</w:t>
      </w:r>
      <w:r w:rsidR="00B20D48">
        <w:rPr>
          <w:rFonts w:ascii="Arial" w:hAnsi="Arial" w:cs="Arial"/>
        </w:rPr>
        <w:t>i</w:t>
      </w:r>
      <w:r>
        <w:rPr>
          <w:rFonts w:ascii="Arial" w:hAnsi="Arial" w:cs="Arial"/>
        </w:rPr>
        <w:t>s</w:t>
      </w:r>
      <w:r w:rsidRPr="00052F98">
        <w:rPr>
          <w:rFonts w:ascii="Arial" w:hAnsi="Arial" w:cs="Arial"/>
        </w:rPr>
        <w:t xml:space="preserve">. </w:t>
      </w:r>
    </w:p>
    <w:p w14:paraId="7E0030F7" w14:textId="77777777" w:rsidR="00270E56" w:rsidRDefault="00270E56" w:rsidP="00270E56">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Pr>
          <w:rFonts w:ascii="Arial" w:hAnsi="Arial" w:cs="Arial"/>
        </w:rPr>
        <w:t xml:space="preserve"> only </w:t>
      </w:r>
      <w:r w:rsidRPr="00052F98">
        <w:rPr>
          <w:rFonts w:ascii="Arial" w:hAnsi="Arial" w:cs="Arial"/>
        </w:rPr>
        <w:t xml:space="preserve">if other phosphate binders cannot be used. </w:t>
      </w:r>
    </w:p>
    <w:p w14:paraId="35CDACEA" w14:textId="77777777" w:rsidR="002A0840" w:rsidRPr="00052F98" w:rsidRDefault="002A0840" w:rsidP="002A084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3570618" w14:textId="77777777" w:rsidR="002A0840" w:rsidRDefault="002A0840" w:rsidP="002A084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Kidney Disease Improving Global Outcomes (</w:t>
      </w:r>
      <w:r w:rsidRPr="00052F98">
        <w:rPr>
          <w:rFonts w:ascii="Arial" w:hAnsi="Arial" w:cs="Arial"/>
        </w:rPr>
        <w:t>KDIGO</w:t>
      </w:r>
      <w:r>
        <w:rPr>
          <w:rFonts w:ascii="Arial" w:hAnsi="Arial" w:cs="Arial"/>
        </w:rPr>
        <w:t>)</w:t>
      </w:r>
      <w:r w:rsidRPr="00052F98">
        <w:rPr>
          <w:rFonts w:ascii="Arial" w:hAnsi="Arial" w:cs="Arial"/>
        </w:rPr>
        <w:t xml:space="preserve"> guidelines suggest lowering elevated phosphate levels towards the normal range and avoiding hypercalcaemia. </w:t>
      </w:r>
    </w:p>
    <w:p w14:paraId="2063D658" w14:textId="3C8C7B00" w:rsidR="00F322A8" w:rsidRPr="00F322A8" w:rsidRDefault="002A0840" w:rsidP="002A084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t>
      </w:r>
      <w:r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r w:rsidR="00270E56">
        <w:rPr>
          <w:rFonts w:ascii="Arial" w:hAnsi="Arial" w:cs="Arial"/>
        </w:rPr>
        <w:t>.</w:t>
      </w:r>
    </w:p>
    <w:p w14:paraId="318B19E1" w14:textId="77777777" w:rsidR="00F322A8" w:rsidRPr="00F322A8" w:rsidRDefault="00F322A8" w:rsidP="00F322A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5A776090" w14:textId="3C28571B" w:rsidR="002A009B" w:rsidRDefault="002A009B" w:rsidP="002A009B">
      <w:pPr>
        <w:spacing w:after="0" w:line="240" w:lineRule="auto"/>
        <w:rPr>
          <w:rFonts w:ascii="Arial" w:hAnsi="Arial" w:cs="Arial"/>
          <w:b/>
        </w:rPr>
      </w:pPr>
    </w:p>
    <w:p w14:paraId="72A289B6" w14:textId="608A0254" w:rsidR="002A0840" w:rsidRDefault="002A0840" w:rsidP="002A009B">
      <w:pPr>
        <w:spacing w:after="0" w:line="240" w:lineRule="auto"/>
        <w:rPr>
          <w:rFonts w:ascii="Arial" w:hAnsi="Arial" w:cs="Arial"/>
          <w:b/>
        </w:rPr>
      </w:pPr>
    </w:p>
    <w:p w14:paraId="29882A0E" w14:textId="67C2373F" w:rsidR="002A0840" w:rsidRDefault="002A0840" w:rsidP="002A009B">
      <w:pPr>
        <w:spacing w:after="0" w:line="240" w:lineRule="auto"/>
        <w:rPr>
          <w:rFonts w:ascii="Arial" w:hAnsi="Arial" w:cs="Arial"/>
          <w:b/>
        </w:rPr>
      </w:pPr>
    </w:p>
    <w:p w14:paraId="20CE55C3" w14:textId="1B39A198" w:rsidR="002A0840" w:rsidRDefault="002A0840" w:rsidP="002A009B">
      <w:pPr>
        <w:spacing w:after="0" w:line="240" w:lineRule="auto"/>
        <w:rPr>
          <w:rFonts w:ascii="Arial" w:hAnsi="Arial" w:cs="Arial"/>
          <w:b/>
        </w:rPr>
      </w:pPr>
    </w:p>
    <w:p w14:paraId="0CF915AB" w14:textId="77777777" w:rsidR="0080559F" w:rsidRDefault="0080559F" w:rsidP="002A009B">
      <w:pPr>
        <w:spacing w:after="0" w:line="240" w:lineRule="auto"/>
        <w:rPr>
          <w:rFonts w:ascii="Arial" w:hAnsi="Arial" w:cs="Arial"/>
          <w:b/>
        </w:rPr>
      </w:pPr>
    </w:p>
    <w:p w14:paraId="37E62284" w14:textId="12C6F3A1" w:rsidR="002A0840" w:rsidRDefault="002A0840" w:rsidP="002A009B">
      <w:pPr>
        <w:spacing w:after="0" w:line="240" w:lineRule="auto"/>
        <w:rPr>
          <w:rFonts w:ascii="Arial" w:hAnsi="Arial" w:cs="Arial"/>
          <w:b/>
        </w:rPr>
      </w:pPr>
    </w:p>
    <w:p w14:paraId="757D1A83" w14:textId="5B6F082D" w:rsidR="002A0840" w:rsidRDefault="002A0840" w:rsidP="002A009B">
      <w:pPr>
        <w:spacing w:after="0" w:line="240" w:lineRule="auto"/>
        <w:rPr>
          <w:rFonts w:ascii="Arial" w:hAnsi="Arial" w:cs="Arial"/>
          <w:b/>
        </w:rPr>
      </w:pPr>
    </w:p>
    <w:p w14:paraId="4D999877" w14:textId="77777777" w:rsidR="002A0840" w:rsidRDefault="002A0840" w:rsidP="002A009B">
      <w:pPr>
        <w:spacing w:after="0" w:line="240" w:lineRule="auto"/>
        <w:rPr>
          <w:rFonts w:ascii="Arial" w:hAnsi="Arial" w:cs="Arial"/>
          <w:b/>
        </w:rPr>
      </w:pPr>
    </w:p>
    <w:p w14:paraId="0D4F2CC3" w14:textId="77777777" w:rsidR="00C565B6" w:rsidRPr="005430C6" w:rsidRDefault="00C565B6" w:rsidP="002A009B">
      <w:pPr>
        <w:spacing w:after="0" w:line="240" w:lineRule="auto"/>
        <w:rPr>
          <w:rFonts w:ascii="Arial" w:hAnsi="Arial" w:cs="Arial"/>
          <w:b/>
          <w:sz w:val="18"/>
        </w:rPr>
      </w:pPr>
    </w:p>
    <w:p w14:paraId="30C04829" w14:textId="77777777" w:rsidR="002A009B" w:rsidRDefault="002A009B" w:rsidP="008A6329">
      <w:pPr>
        <w:pBdr>
          <w:top w:val="single" w:sz="4" w:space="1" w:color="auto"/>
          <w:left w:val="single" w:sz="4" w:space="3" w:color="auto"/>
          <w:bottom w:val="single" w:sz="4" w:space="1" w:color="auto"/>
          <w:right w:val="single" w:sz="4" w:space="4" w:color="auto"/>
        </w:pBdr>
        <w:spacing w:after="0" w:line="240" w:lineRule="auto"/>
      </w:pPr>
      <w:r w:rsidRPr="00004CD4">
        <w:rPr>
          <w:rFonts w:ascii="Arial" w:hAnsi="Arial" w:cs="Arial"/>
          <w:b/>
        </w:rPr>
        <w:lastRenderedPageBreak/>
        <w:t xml:space="preserve">DOSAGE, ROUTE OF ADMINISTRATION AND </w:t>
      </w:r>
      <w:r>
        <w:rPr>
          <w:rFonts w:ascii="Arial" w:hAnsi="Arial" w:cs="Arial"/>
          <w:b/>
        </w:rPr>
        <w:t>DURATION OF TREATMENT</w:t>
      </w:r>
      <w:r w:rsidRPr="00672B57">
        <w:t xml:space="preserve"> </w:t>
      </w:r>
    </w:p>
    <w:p w14:paraId="33A64C97" w14:textId="4106631B" w:rsidR="008A6329" w:rsidRDefault="002A009B"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72E00CB7" w14:textId="0D6FF5E9" w:rsidR="002A0840" w:rsidRPr="00C565B6" w:rsidRDefault="002A0840" w:rsidP="002A0840">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rPr>
      </w:pPr>
      <w:r w:rsidRPr="002A0840">
        <w:rPr>
          <w:rFonts w:ascii="Arial" w:hAnsi="Arial" w:cs="Arial"/>
          <w:color w:val="000000" w:themeColor="text1"/>
        </w:rPr>
        <w:t xml:space="preserve">Sucroferric oxyhydroxide is available as 500mg chewable </w:t>
      </w:r>
      <w:r w:rsidRPr="0080559F">
        <w:rPr>
          <w:rFonts w:ascii="Arial" w:hAnsi="Arial" w:cs="Arial"/>
          <w:color w:val="000000" w:themeColor="text1"/>
        </w:rPr>
        <w:t>tablets</w:t>
      </w:r>
      <w:r w:rsidRPr="0080559F">
        <w:rPr>
          <w:rFonts w:ascii="Arial" w:hAnsi="Arial" w:cs="Arial"/>
        </w:rPr>
        <w:t>.</w:t>
      </w:r>
    </w:p>
    <w:p w14:paraId="2663FD40" w14:textId="67D5D4CD" w:rsid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b/>
        </w:rPr>
      </w:pPr>
      <w:r w:rsidRPr="008A6329">
        <w:rPr>
          <w:rFonts w:ascii="Arial" w:hAnsi="Arial" w:cs="Arial"/>
        </w:rPr>
        <w:t>The recommended starting dose is one tablet three times a day, increased as necessary to a maximum of six tablets (3000mg) a day</w:t>
      </w:r>
      <w:r>
        <w:rPr>
          <w:rFonts w:ascii="Arial" w:hAnsi="Arial" w:cs="Arial"/>
          <w:b/>
        </w:rPr>
        <w:t xml:space="preserve">. </w:t>
      </w:r>
    </w:p>
    <w:p w14:paraId="5C424F82" w14:textId="7D59AE5F"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r w:rsidRPr="008A6329">
        <w:rPr>
          <w:rFonts w:ascii="Arial" w:hAnsi="Arial" w:cs="Arial"/>
        </w:rPr>
        <w:t xml:space="preserve">Sucroferric oxyhydroxide should be taken with or immediately after food, with the daily dose divided between phosphate containing meals. Tablets must be </w:t>
      </w:r>
      <w:r w:rsidR="00C10992">
        <w:rPr>
          <w:rFonts w:ascii="Arial" w:hAnsi="Arial" w:cs="Arial"/>
        </w:rPr>
        <w:t>c</w:t>
      </w:r>
      <w:r w:rsidRPr="008A6329">
        <w:rPr>
          <w:rFonts w:ascii="Arial" w:hAnsi="Arial" w:cs="Arial"/>
        </w:rPr>
        <w:t xml:space="preserve">hewed and NOT swallowed whole </w:t>
      </w:r>
    </w:p>
    <w:p w14:paraId="31B6B987" w14:textId="77777777"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p>
    <w:p w14:paraId="53A4C6E1" w14:textId="25893442" w:rsidR="008A6329" w:rsidRPr="008A6329" w:rsidRDefault="008A6329" w:rsidP="008A6329">
      <w:pPr>
        <w:pBdr>
          <w:top w:val="single" w:sz="4" w:space="1" w:color="auto"/>
          <w:left w:val="single" w:sz="4" w:space="3" w:color="auto"/>
          <w:bottom w:val="single" w:sz="4" w:space="1" w:color="auto"/>
          <w:right w:val="single" w:sz="4" w:space="4" w:color="auto"/>
        </w:pBdr>
        <w:spacing w:after="0" w:line="240" w:lineRule="auto"/>
        <w:rPr>
          <w:rFonts w:ascii="Arial" w:hAnsi="Arial" w:cs="Arial"/>
        </w:rPr>
      </w:pPr>
      <w:r w:rsidRPr="008A6329">
        <w:rPr>
          <w:rFonts w:ascii="Arial" w:hAnsi="Arial" w:cs="Arial"/>
        </w:rPr>
        <w:t>Serum phosphate levels should be monitored and the dose of sucroferric oxyhydroxide</w:t>
      </w:r>
      <w:r w:rsidR="003B1FF4">
        <w:rPr>
          <w:rFonts w:ascii="Arial" w:hAnsi="Arial" w:cs="Arial"/>
        </w:rPr>
        <w:t xml:space="preserve"> </w:t>
      </w:r>
      <w:r w:rsidR="003B1FF4" w:rsidRPr="003B1FF4">
        <w:rPr>
          <w:rFonts w:ascii="Arial" w:hAnsi="Arial" w:cs="Arial"/>
        </w:rPr>
        <w:t>up or down</w:t>
      </w:r>
      <w:r w:rsidRPr="008A6329">
        <w:rPr>
          <w:rFonts w:ascii="Arial" w:hAnsi="Arial" w:cs="Arial"/>
        </w:rPr>
        <w:t xml:space="preserve"> titrated</w:t>
      </w:r>
      <w:r w:rsidR="003B1FF4">
        <w:rPr>
          <w:rFonts w:ascii="Arial" w:hAnsi="Arial" w:cs="Arial"/>
        </w:rPr>
        <w:t xml:space="preserve"> </w:t>
      </w:r>
      <w:r w:rsidR="003B1FF4" w:rsidRPr="003B1FF4">
        <w:rPr>
          <w:rFonts w:ascii="Arial" w:hAnsi="Arial" w:cs="Arial"/>
        </w:rPr>
        <w:t>in increments of 500 mg iron (1 tablet) per day</w:t>
      </w:r>
      <w:r w:rsidRPr="008A6329">
        <w:rPr>
          <w:rFonts w:ascii="Arial" w:hAnsi="Arial" w:cs="Arial"/>
        </w:rPr>
        <w:t xml:space="preserve"> every two to four weeks until an acceptable serum phosphate level is reached, with regular monitoring thereafter. </w:t>
      </w:r>
    </w:p>
    <w:p w14:paraId="2DB79EB8" w14:textId="77777777" w:rsidR="00F2229F" w:rsidRDefault="00F2229F" w:rsidP="00F2229F">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u w:val="single"/>
        </w:rPr>
      </w:pPr>
      <w:bookmarkStart w:id="3" w:name="_Hlk178167891"/>
    </w:p>
    <w:p w14:paraId="02DBF8EF" w14:textId="47C6B918" w:rsidR="00F2229F" w:rsidRPr="00F2229F" w:rsidRDefault="00F2229F" w:rsidP="00F2229F">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u w:val="single"/>
        </w:rPr>
      </w:pPr>
      <w:r w:rsidRPr="00F2229F">
        <w:rPr>
          <w:rFonts w:ascii="Arial" w:hAnsi="Arial" w:cs="Arial"/>
          <w:u w:val="single"/>
        </w:rPr>
        <w:t>Swallowing difficulties</w:t>
      </w:r>
    </w:p>
    <w:p w14:paraId="44D8B658" w14:textId="7850B9E1" w:rsidR="00F2229F" w:rsidRPr="00F2229F" w:rsidRDefault="00F2229F" w:rsidP="008A6329">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b/>
          <w:bCs/>
        </w:rPr>
      </w:pPr>
      <w:r w:rsidRPr="00F2229F">
        <w:rPr>
          <w:rFonts w:ascii="Arial" w:hAnsi="Arial" w:cs="Arial"/>
        </w:rPr>
        <w:t xml:space="preserve">Please refer to the </w:t>
      </w:r>
      <w:hyperlink r:id="rId12" w:history="1">
        <w:r w:rsidRPr="00F2229F">
          <w:rPr>
            <w:rStyle w:val="Hyperlink"/>
            <w:rFonts w:ascii="Arial" w:hAnsi="Arial" w:cs="Arial"/>
          </w:rPr>
          <w:t>‘specials’ alternative guidance</w:t>
        </w:r>
      </w:hyperlink>
      <w:r w:rsidRPr="00F2229F">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2229F">
        <w:rPr>
          <w:rFonts w:ascii="Arial" w:hAnsi="Arial" w:cs="Arial"/>
        </w:rPr>
        <w:t>takes into account</w:t>
      </w:r>
      <w:proofErr w:type="gramEnd"/>
      <w:r w:rsidRPr="00F2229F">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bookmarkEnd w:id="3"/>
    </w:p>
    <w:p w14:paraId="0F6E95C3" w14:textId="77777777" w:rsidR="0057501A" w:rsidRDefault="0057501A" w:rsidP="0057501A">
      <w:pPr>
        <w:spacing w:after="0" w:line="240" w:lineRule="auto"/>
        <w:rPr>
          <w:rFonts w:ascii="Arial" w:eastAsia="Times New Roman" w:hAnsi="Arial" w:cs="Arial"/>
          <w:b/>
          <w:sz w:val="8"/>
          <w:szCs w:val="8"/>
          <w:lang w:eastAsia="en-GB"/>
        </w:rPr>
      </w:pPr>
    </w:p>
    <w:p w14:paraId="41C8F1DD" w14:textId="77777777" w:rsidR="00EE4517" w:rsidRDefault="00EE4517" w:rsidP="0057501A">
      <w:pPr>
        <w:spacing w:after="0" w:line="240" w:lineRule="auto"/>
        <w:rPr>
          <w:rFonts w:ascii="Arial" w:eastAsia="Times New Roman" w:hAnsi="Arial" w:cs="Arial"/>
          <w:b/>
          <w:sz w:val="8"/>
          <w:szCs w:val="8"/>
          <w:lang w:eastAsia="en-GB"/>
        </w:rPr>
      </w:pPr>
    </w:p>
    <w:p w14:paraId="54F37BD5" w14:textId="77777777" w:rsidR="00EE4517" w:rsidRPr="0057501A" w:rsidRDefault="00EE4517"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79BFAA83" w14:textId="126CB01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Diagnose and assess if patient is suitable for treatment with </w:t>
            </w:r>
            <w:r w:rsidR="00AC2B85">
              <w:rPr>
                <w:rFonts w:ascii="Arial" w:eastAsia="Times New Roman" w:hAnsi="Arial" w:cs="Arial"/>
                <w:bCs/>
                <w:lang w:eastAsia="en-GB"/>
              </w:rPr>
              <w:t>s</w:t>
            </w:r>
            <w:r w:rsidRPr="00CB2C0C">
              <w:rPr>
                <w:rFonts w:ascii="Arial" w:eastAsia="Times New Roman" w:hAnsi="Arial" w:cs="Arial"/>
                <w:bCs/>
                <w:lang w:eastAsia="en-GB"/>
              </w:rPr>
              <w:t xml:space="preserve">ucroferric oxyhydroxide and initiate treatment. </w:t>
            </w:r>
          </w:p>
          <w:p w14:paraId="48FD6A3C"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p>
          <w:p w14:paraId="3CE1695F"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Obtain agreement and consent to share care. Complete and sign Specialist and patient agreement section of Shared Care Agreement form. Document in patient’s notes and transfer once patient stabilised.</w:t>
            </w:r>
          </w:p>
          <w:p w14:paraId="2E9438BB"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075121E6"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Receipt and recording in patient records/notes that GP has / has not accepted shared care and ensuring appropriate action if not (specialist to continue to prescribe/monitor).</w:t>
            </w:r>
          </w:p>
          <w:p w14:paraId="4E8E1E5D"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Prescribe for initial stabilisation period. This is usually 8-12 weeks. </w:t>
            </w:r>
          </w:p>
          <w:p w14:paraId="3D2FBD43"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Undertake baseline and ongoing tests as indicated in the monitoring table. Review results of safety monitoring and request additional tests as required. </w:t>
            </w:r>
          </w:p>
          <w:p w14:paraId="6B7C8742"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Continue to review the patient at agreed specified intervals, sending a written summary to the GP whenever the patient is reviewed. </w:t>
            </w:r>
          </w:p>
          <w:p w14:paraId="235DD99A"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Monitor response and adverse effects to treatment and need to continue therapy. Notify the GP of any changes to dose or cessation of therapy.</w:t>
            </w:r>
          </w:p>
          <w:p w14:paraId="6271AEB4"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Advise the GP on when to adjust the dose or to stop treatment. </w:t>
            </w:r>
          </w:p>
          <w:p w14:paraId="3E480D5A"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Notify GP if patient does not attend clinic repeatedly and advise on action to take. </w:t>
            </w:r>
          </w:p>
          <w:p w14:paraId="265A1B30"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Provide any other advice, information or support for the GP if required. Communicate any clinically important issues and action to be taken and ensure clear back-up arrangements exist for GPs to obtain advice and support. </w:t>
            </w:r>
          </w:p>
          <w:p w14:paraId="69D1BCE7"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 xml:space="preserve">Report any adverse events to MHRA/CHM and the GP. </w:t>
            </w:r>
          </w:p>
          <w:p w14:paraId="2E48DA29" w14:textId="77777777" w:rsidR="00CB2C0C" w:rsidRPr="00CB2C0C" w:rsidRDefault="00CB2C0C" w:rsidP="00CB2C0C">
            <w:pPr>
              <w:numPr>
                <w:ilvl w:val="0"/>
                <w:numId w:val="11"/>
              </w:numPr>
              <w:spacing w:after="0" w:line="240" w:lineRule="auto"/>
              <w:rPr>
                <w:rFonts w:ascii="Arial" w:eastAsia="Times New Roman" w:hAnsi="Arial" w:cs="Arial"/>
                <w:bCs/>
                <w:lang w:eastAsia="en-GB"/>
              </w:rPr>
            </w:pPr>
            <w:r w:rsidRPr="00CB2C0C">
              <w:rPr>
                <w:rFonts w:ascii="Arial" w:eastAsia="Times New Roman" w:hAnsi="Arial" w:cs="Arial"/>
                <w:bCs/>
                <w:lang w:eastAsia="en-GB"/>
              </w:rPr>
              <w:t>Support any training arrangements to ensure that GPs have the skills to ensure safe practice.</w:t>
            </w:r>
          </w:p>
          <w:p w14:paraId="7CF94A46" w14:textId="4746949A" w:rsidR="0079154A" w:rsidRPr="00A25330" w:rsidRDefault="0079154A" w:rsidP="00CB2C0C">
            <w:pPr>
              <w:shd w:val="clear" w:color="auto" w:fill="FFFFFF"/>
              <w:spacing w:after="0" w:line="240" w:lineRule="auto"/>
              <w:ind w:left="360"/>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AC2B85">
      <w:pPr>
        <w:keepNext/>
        <w:pBdr>
          <w:top w:val="single" w:sz="4" w:space="1" w:color="auto"/>
          <w:left w:val="single" w:sz="4" w:space="4" w:color="auto"/>
          <w:bottom w:val="single" w:sz="4" w:space="1" w:color="auto"/>
          <w:right w:val="single" w:sz="4" w:space="6" w:color="auto"/>
        </w:pBdr>
        <w:tabs>
          <w:tab w:val="left" w:pos="357"/>
        </w:tabs>
        <w:spacing w:after="0" w:line="240" w:lineRule="auto"/>
        <w:ind w:left="70" w:right="-88"/>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D5FB788" w:rsidR="005E21BE" w:rsidRDefault="005E21BE" w:rsidP="00AC2B85">
      <w:pPr>
        <w:keepNext/>
        <w:pBdr>
          <w:top w:val="single" w:sz="4" w:space="1" w:color="auto"/>
          <w:left w:val="single" w:sz="4" w:space="4" w:color="auto"/>
          <w:bottom w:val="single" w:sz="4" w:space="1" w:color="auto"/>
          <w:right w:val="single" w:sz="4" w:space="6" w:color="auto"/>
        </w:pBdr>
        <w:tabs>
          <w:tab w:val="left" w:pos="357"/>
        </w:tabs>
        <w:spacing w:after="0" w:line="240" w:lineRule="auto"/>
        <w:ind w:left="70" w:right="-88"/>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C565B6">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565B6">
        <w:rPr>
          <w:rFonts w:ascii="Arial" w:eastAsia="Times New Roman" w:hAnsi="Arial" w:cs="Arial"/>
          <w:bCs/>
          <w:szCs w:val="24"/>
        </w:rPr>
        <w:t xml:space="preserve"> page 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1593E52E" w14:textId="77777777" w:rsidR="00AC2B85" w:rsidRDefault="00AC2B85" w:rsidP="00AC2B85">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65CBC8E3" w14:textId="77777777" w:rsidR="00AC2B85" w:rsidRPr="007D20CF" w:rsidRDefault="00AC2B85" w:rsidP="00AC2B85">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55E688A0" w14:textId="05B482EB"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lastRenderedPageBreak/>
              <w:t xml:space="preserve">Take the </w:t>
            </w:r>
            <w:r w:rsidR="00783422">
              <w:rPr>
                <w:rFonts w:ascii="Arial" w:eastAsia="Times New Roman" w:hAnsi="Arial" w:cs="Arial"/>
                <w:bCs/>
                <w:lang w:eastAsia="en-GB"/>
              </w:rPr>
              <w:t>s</w:t>
            </w:r>
            <w:r w:rsidR="00783422" w:rsidRPr="00CB2C0C">
              <w:rPr>
                <w:rFonts w:ascii="Arial" w:eastAsia="Times New Roman" w:hAnsi="Arial" w:cs="Arial"/>
                <w:bCs/>
                <w:lang w:eastAsia="en-GB"/>
              </w:rPr>
              <w:t xml:space="preserve">ucroferric oxyhydroxide </w:t>
            </w:r>
            <w:r w:rsidRPr="001467F4">
              <w:rPr>
                <w:rFonts w:ascii="Arial" w:eastAsia="Times New Roman" w:hAnsi="Arial" w:cs="Arial"/>
                <w:bCs/>
                <w:lang w:eastAsia="en-GB"/>
              </w:rPr>
              <w:t>as prescribed.</w:t>
            </w:r>
          </w:p>
          <w:p w14:paraId="08144C01" w14:textId="77777777" w:rsidR="00AC2B85" w:rsidRPr="007D20CF" w:rsidRDefault="00AC2B85" w:rsidP="00AC2B85">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appointments. </w:t>
            </w:r>
          </w:p>
          <w:p w14:paraId="0DB468BB" w14:textId="77777777"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5D228168" w14:textId="77777777" w:rsidR="00AC2B85" w:rsidRPr="00061E36" w:rsidRDefault="00AC2B85" w:rsidP="00AC2B85">
            <w:pPr>
              <w:pStyle w:val="ListParagraph"/>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0FCB6AD2" w14:textId="4F629F84" w:rsidR="00AC2B85" w:rsidRPr="00EE67FF" w:rsidRDefault="00AC2B85" w:rsidP="00AC2B85">
            <w:pPr>
              <w:numPr>
                <w:ilvl w:val="0"/>
                <w:numId w:val="25"/>
              </w:numPr>
              <w:spacing w:after="0" w:line="240" w:lineRule="auto"/>
              <w:ind w:left="357" w:hanging="357"/>
              <w:rPr>
                <w:rFonts w:ascii="Arial" w:eastAsia="Times New Roman" w:hAnsi="Arial" w:cs="Arial"/>
                <w:bCs/>
                <w:i/>
                <w:i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r w:rsidR="00EE67FF" w:rsidRPr="00EE67FF">
              <w:rPr>
                <w:rFonts w:ascii="Arial" w:eastAsia="Times New Roman" w:hAnsi="Arial" w:cs="Arial"/>
                <w:bCs/>
                <w:i/>
                <w:iCs/>
                <w:lang w:eastAsia="en-GB"/>
              </w:rPr>
              <w:t>(cont. page 6/10)</w:t>
            </w:r>
          </w:p>
          <w:p w14:paraId="09CDAD52" w14:textId="77777777" w:rsidR="00AC2B85" w:rsidRPr="00630281" w:rsidRDefault="00AC2B85" w:rsidP="00AC2B85">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327ECAA7" w14:textId="03E4B53A" w:rsidR="00AC2B85" w:rsidRPr="001467F4"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sidR="00783422">
              <w:rPr>
                <w:rFonts w:ascii="Arial" w:eastAsia="Times New Roman" w:hAnsi="Arial" w:cs="Arial"/>
                <w:bCs/>
                <w:lang w:eastAsia="en-GB"/>
              </w:rPr>
              <w:t>s</w:t>
            </w:r>
            <w:r w:rsidR="00783422" w:rsidRPr="00CB2C0C">
              <w:rPr>
                <w:rFonts w:ascii="Arial" w:eastAsia="Times New Roman" w:hAnsi="Arial" w:cs="Arial"/>
                <w:bCs/>
                <w:lang w:eastAsia="en-GB"/>
              </w:rPr>
              <w:t xml:space="preserve">ucroferric oxyhydroxide </w:t>
            </w:r>
            <w:r w:rsidRPr="001467F4">
              <w:rPr>
                <w:rFonts w:ascii="Arial" w:eastAsia="Times New Roman" w:hAnsi="Arial" w:cs="Arial"/>
                <w:bCs/>
                <w:lang w:eastAsia="en-GB"/>
              </w:rPr>
              <w:t xml:space="preserve">with the </w:t>
            </w:r>
            <w:r w:rsidR="0080559F">
              <w:rPr>
                <w:rFonts w:ascii="Arial" w:eastAsia="Times New Roman" w:hAnsi="Arial" w:cs="Arial"/>
                <w:bCs/>
                <w:lang w:eastAsia="en-GB"/>
              </w:rPr>
              <w:t>s</w:t>
            </w:r>
            <w:r w:rsidRPr="001467F4">
              <w:rPr>
                <w:rFonts w:ascii="Arial" w:eastAsia="Times New Roman" w:hAnsi="Arial" w:cs="Arial"/>
                <w:bCs/>
                <w:lang w:eastAsia="en-GB"/>
              </w:rPr>
              <w:t>pecialist or GP.</w:t>
            </w:r>
          </w:p>
          <w:p w14:paraId="4531346C" w14:textId="77777777" w:rsidR="00AC2B85" w:rsidRDefault="00AC2B85" w:rsidP="00AC2B85">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0BB4DF37" w14:textId="77777777" w:rsidR="00AC2B85" w:rsidRPr="001467F4" w:rsidRDefault="00AC2B85" w:rsidP="00AC2B85">
            <w:pPr>
              <w:numPr>
                <w:ilvl w:val="0"/>
                <w:numId w:val="25"/>
              </w:numPr>
              <w:spacing w:after="0" w:line="240" w:lineRule="auto"/>
              <w:rPr>
                <w:rFonts w:ascii="Arial" w:eastAsia="Times New Roman" w:hAnsi="Arial" w:cs="Arial"/>
                <w:bCs/>
                <w:lang w:eastAsia="en-GB"/>
              </w:rPr>
            </w:pPr>
            <w:r>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1CD0E953" w:rsidR="00D719FD" w:rsidRPr="00CA1BB1" w:rsidRDefault="00D719FD" w:rsidP="0080559F">
            <w:pPr>
              <w:spacing w:after="0" w:line="240" w:lineRule="auto"/>
              <w:ind w:left="357"/>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36942C7F"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2642D30" w14:textId="77777777" w:rsidR="00AC2B85" w:rsidRDefault="00A62397" w:rsidP="00AC2B85">
            <w:pPr>
              <w:pStyle w:val="ListParagraph"/>
              <w:numPr>
                <w:ilvl w:val="0"/>
                <w:numId w:val="28"/>
              </w:numPr>
              <w:rPr>
                <w:rFonts w:ascii="Arial" w:eastAsia="Times New Roman" w:hAnsi="Arial" w:cs="Arial"/>
                <w:bCs/>
                <w:lang w:eastAsia="en-GB"/>
              </w:rPr>
            </w:pPr>
            <w:r w:rsidRPr="00AC2B85">
              <w:rPr>
                <w:rFonts w:ascii="Arial" w:eastAsia="Times New Roman" w:hAnsi="Arial" w:cs="Arial"/>
                <w:bCs/>
                <w:lang w:eastAsia="en-GB"/>
              </w:rPr>
              <w:t xml:space="preserve"> </w:t>
            </w:r>
            <w:r w:rsidR="00AC2B85"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sidR="00AC2B85">
              <w:rPr>
                <w:rFonts w:ascii="Arial" w:eastAsia="Times New Roman" w:hAnsi="Arial" w:cs="Arial"/>
                <w:bCs/>
                <w:lang w:eastAsia="en-GB"/>
              </w:rPr>
              <w:t xml:space="preserve"> </w:t>
            </w:r>
            <w:r w:rsidR="00AC2B85" w:rsidRPr="00950462">
              <w:rPr>
                <w:rFonts w:ascii="Arial" w:eastAsia="Times New Roman" w:hAnsi="Arial" w:cs="Arial"/>
                <w:bCs/>
                <w:lang w:eastAsia="en-GB"/>
              </w:rPr>
              <w:t>to ensure that it is safe before issuing or dispensing prescriptions.</w:t>
            </w:r>
          </w:p>
          <w:p w14:paraId="64512CE0" w14:textId="4DD0DCD1" w:rsidR="00643CDA" w:rsidRPr="00AC2B85" w:rsidRDefault="00AC2B85" w:rsidP="00AC2B85">
            <w:pPr>
              <w:pStyle w:val="ListParagraph"/>
              <w:numPr>
                <w:ilvl w:val="0"/>
                <w:numId w:val="28"/>
              </w:numPr>
              <w:rPr>
                <w:rFonts w:ascii="Arial" w:eastAsia="Times New Roman" w:hAnsi="Arial" w:cs="Arial"/>
                <w:bCs/>
                <w:lang w:eastAsia="en-GB"/>
              </w:rPr>
            </w:pPr>
            <w:r w:rsidRPr="00786F53">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09A35BF"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1E67A0F8" w14:textId="2F409D5E" w:rsidR="00D73BA6" w:rsidRDefault="00D73BA6" w:rsidP="006828D4">
            <w:pPr>
              <w:pStyle w:val="ListParagraph"/>
              <w:numPr>
                <w:ilvl w:val="0"/>
                <w:numId w:val="28"/>
              </w:numPr>
              <w:spacing w:after="0" w:line="240" w:lineRule="auto"/>
              <w:ind w:left="357" w:hanging="357"/>
              <w:rPr>
                <w:rFonts w:ascii="Arial" w:hAnsi="Arial" w:cs="Arial"/>
                <w:bCs/>
              </w:rPr>
            </w:pPr>
            <w:r w:rsidRPr="000C7F57">
              <w:rPr>
                <w:rFonts w:ascii="Arial" w:hAnsi="Arial" w:cs="Arial"/>
                <w:bCs/>
              </w:rPr>
              <w:t>GP to liaise with specialist if any side</w:t>
            </w:r>
            <w:r w:rsidR="006828D4">
              <w:rPr>
                <w:rFonts w:ascii="Arial" w:hAnsi="Arial" w:cs="Arial"/>
                <w:bCs/>
              </w:rPr>
              <w:t xml:space="preserve"> effects are a cause for concern</w:t>
            </w:r>
            <w:r w:rsidRPr="006828D4">
              <w:rPr>
                <w:rFonts w:ascii="Arial" w:hAnsi="Arial" w:cs="Arial"/>
                <w:bCs/>
              </w:rPr>
              <w:t xml:space="preserve"> </w:t>
            </w:r>
          </w:p>
          <w:p w14:paraId="008B1680" w14:textId="77777777" w:rsidR="009C023B" w:rsidRPr="006828D4" w:rsidRDefault="009C023B" w:rsidP="009C023B">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8C60E5">
              <w:trPr>
                <w:trHeight w:val="497"/>
              </w:trPr>
              <w:tc>
                <w:tcPr>
                  <w:tcW w:w="4644" w:type="dxa"/>
                </w:tcPr>
                <w:p w14:paraId="12672B3C" w14:textId="4A8C9611" w:rsidR="00CA1BB1" w:rsidRPr="00843717" w:rsidRDefault="006828D4" w:rsidP="00A62397">
                  <w:pPr>
                    <w:pStyle w:val="Default"/>
                    <w:rPr>
                      <w:sz w:val="22"/>
                      <w:szCs w:val="22"/>
                    </w:rPr>
                  </w:pPr>
                  <w:r>
                    <w:rPr>
                      <w:sz w:val="22"/>
                      <w:szCs w:val="22"/>
                    </w:rPr>
                    <w:t>Gastro- intestinal effects e.g. nausea, vomiting, diarrhoea</w:t>
                  </w:r>
                  <w:r w:rsidR="00A62397">
                    <w:rPr>
                      <w:sz w:val="22"/>
                      <w:szCs w:val="22"/>
                    </w:rPr>
                    <w:t>, discoloured faeces</w:t>
                  </w:r>
                  <w:r>
                    <w:rPr>
                      <w:sz w:val="22"/>
                      <w:szCs w:val="22"/>
                    </w:rPr>
                    <w:t xml:space="preserve">. </w:t>
                  </w:r>
                </w:p>
              </w:tc>
              <w:tc>
                <w:tcPr>
                  <w:tcW w:w="5670" w:type="dxa"/>
                  <w:shd w:val="pct10" w:color="auto" w:fill="auto"/>
                </w:tcPr>
                <w:p w14:paraId="1AF25273" w14:textId="4125744F" w:rsidR="00CA1BB1" w:rsidRPr="00843717" w:rsidRDefault="002D134E" w:rsidP="006828D4">
                  <w:pPr>
                    <w:pStyle w:val="Default"/>
                    <w:rPr>
                      <w:b/>
                      <w:color w:val="auto"/>
                      <w:sz w:val="22"/>
                      <w:szCs w:val="22"/>
                      <w:u w:val="single"/>
                    </w:rPr>
                  </w:pPr>
                  <w:r>
                    <w:rPr>
                      <w:sz w:val="22"/>
                      <w:szCs w:val="22"/>
                    </w:rPr>
                    <w:t xml:space="preserve">Common. </w:t>
                  </w:r>
                  <w:r w:rsidR="00A62397">
                    <w:rPr>
                      <w:sz w:val="22"/>
                      <w:szCs w:val="22"/>
                    </w:rPr>
                    <w:t xml:space="preserve"> Normally occur at the beginning of treatment and abate with time.</w:t>
                  </w:r>
                  <w:r w:rsidR="00AC2B85">
                    <w:t xml:space="preserve"> </w:t>
                  </w:r>
                  <w:r w:rsidR="00AC2B85" w:rsidRPr="00AC2B85">
                    <w:rPr>
                      <w:sz w:val="22"/>
                      <w:szCs w:val="22"/>
                    </w:rPr>
                    <w:t>Monitor and inform specialist if symptoms become significant.</w:t>
                  </w:r>
                  <w:r w:rsidR="00BC29E4">
                    <w:rPr>
                      <w:sz w:val="22"/>
                      <w:szCs w:val="22"/>
                    </w:rPr>
                    <w:t xml:space="preserve"> Black stools are common</w:t>
                  </w:r>
                </w:p>
              </w:tc>
            </w:tr>
            <w:tr w:rsidR="00A62397" w14:paraId="1A6C678D" w14:textId="77777777" w:rsidTr="008C60E5">
              <w:trPr>
                <w:trHeight w:val="495"/>
              </w:trPr>
              <w:tc>
                <w:tcPr>
                  <w:tcW w:w="4644" w:type="dxa"/>
                </w:tcPr>
                <w:p w14:paraId="238D40AB" w14:textId="13FB4BFE" w:rsidR="00A62397" w:rsidRPr="00843717" w:rsidRDefault="00A62397" w:rsidP="00A62397">
                  <w:pPr>
                    <w:pStyle w:val="Default"/>
                    <w:rPr>
                      <w:sz w:val="22"/>
                      <w:szCs w:val="22"/>
                    </w:rPr>
                  </w:pPr>
                  <w:r>
                    <w:rPr>
                      <w:sz w:val="22"/>
                      <w:szCs w:val="22"/>
                    </w:rPr>
                    <w:t xml:space="preserve">Nervous system disorders e.g. headache  </w:t>
                  </w:r>
                </w:p>
              </w:tc>
              <w:tc>
                <w:tcPr>
                  <w:tcW w:w="5670" w:type="dxa"/>
                  <w:shd w:val="pct10" w:color="auto" w:fill="auto"/>
                </w:tcPr>
                <w:p w14:paraId="64229999" w14:textId="12D751EF" w:rsidR="00A62397" w:rsidRPr="00843717" w:rsidRDefault="0018413C" w:rsidP="00F2597E">
                  <w:pPr>
                    <w:pStyle w:val="Default"/>
                    <w:rPr>
                      <w:sz w:val="22"/>
                      <w:szCs w:val="22"/>
                    </w:rPr>
                  </w:pPr>
                  <w:r>
                    <w:rPr>
                      <w:sz w:val="22"/>
                      <w:szCs w:val="22"/>
                    </w:rPr>
                    <w:t xml:space="preserve">Uncommon. </w:t>
                  </w:r>
                  <w:r w:rsidR="00A62397" w:rsidRPr="00843717">
                    <w:rPr>
                      <w:sz w:val="22"/>
                      <w:szCs w:val="22"/>
                    </w:rPr>
                    <w:t>If mild, reassure and continue.</w:t>
                  </w:r>
                </w:p>
                <w:p w14:paraId="7CF692D8" w14:textId="1E6B7B98" w:rsidR="00A62397" w:rsidRPr="00843717" w:rsidRDefault="00A62397" w:rsidP="008C60E5">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A62397" w14:paraId="79065895" w14:textId="77777777" w:rsidTr="008C60E5">
              <w:trPr>
                <w:trHeight w:val="754"/>
              </w:trPr>
              <w:tc>
                <w:tcPr>
                  <w:tcW w:w="4644" w:type="dxa"/>
                </w:tcPr>
                <w:p w14:paraId="4BCD4219" w14:textId="6780BE0F" w:rsidR="00A62397" w:rsidRPr="00843717" w:rsidRDefault="00A62397" w:rsidP="008C60E5">
                  <w:pPr>
                    <w:pStyle w:val="Default"/>
                    <w:rPr>
                      <w:sz w:val="22"/>
                      <w:szCs w:val="22"/>
                    </w:rPr>
                  </w:pPr>
                  <w:r>
                    <w:rPr>
                      <w:sz w:val="22"/>
                      <w:szCs w:val="22"/>
                    </w:rPr>
                    <w:t xml:space="preserve">Skin disorders e.g. pruritis rash </w:t>
                  </w:r>
                </w:p>
              </w:tc>
              <w:tc>
                <w:tcPr>
                  <w:tcW w:w="5670" w:type="dxa"/>
                  <w:shd w:val="pct10" w:color="auto" w:fill="auto"/>
                </w:tcPr>
                <w:p w14:paraId="62031717" w14:textId="34E5F942" w:rsidR="00A62397" w:rsidRPr="00843717" w:rsidRDefault="0018413C" w:rsidP="00A62397">
                  <w:pPr>
                    <w:pStyle w:val="Default"/>
                    <w:rPr>
                      <w:sz w:val="22"/>
                      <w:szCs w:val="22"/>
                    </w:rPr>
                  </w:pPr>
                  <w:r>
                    <w:rPr>
                      <w:sz w:val="22"/>
                      <w:szCs w:val="22"/>
                    </w:rPr>
                    <w:t xml:space="preserve">Uncommon. </w:t>
                  </w:r>
                  <w:r w:rsidR="00A62397" w:rsidRPr="00843717">
                    <w:rPr>
                      <w:sz w:val="22"/>
                      <w:szCs w:val="22"/>
                    </w:rPr>
                    <w:t>If mild, reassure and continue.</w:t>
                  </w:r>
                </w:p>
                <w:p w14:paraId="305CF3EB" w14:textId="2B99A998" w:rsidR="00A62397" w:rsidRPr="00843717" w:rsidRDefault="00A62397" w:rsidP="00A62397">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A62397" w:rsidRPr="004A3F03" w14:paraId="484C8890" w14:textId="77777777" w:rsidTr="008C60E5">
              <w:trPr>
                <w:trHeight w:val="769"/>
              </w:trPr>
              <w:tc>
                <w:tcPr>
                  <w:tcW w:w="4644" w:type="dxa"/>
                </w:tcPr>
                <w:p w14:paraId="75C6BB0A" w14:textId="3102ABE2" w:rsidR="00A62397" w:rsidRDefault="00A62397" w:rsidP="008C60E5">
                  <w:pPr>
                    <w:pStyle w:val="Default"/>
                    <w:rPr>
                      <w:sz w:val="22"/>
                      <w:szCs w:val="22"/>
                    </w:rPr>
                  </w:pPr>
                  <w:r>
                    <w:rPr>
                      <w:sz w:val="22"/>
                      <w:szCs w:val="22"/>
                    </w:rPr>
                    <w:t xml:space="preserve">Taste alteration </w:t>
                  </w:r>
                </w:p>
              </w:tc>
              <w:tc>
                <w:tcPr>
                  <w:tcW w:w="5670" w:type="dxa"/>
                  <w:shd w:val="pct10" w:color="auto" w:fill="auto"/>
                </w:tcPr>
                <w:p w14:paraId="6402538F" w14:textId="6BDE9F8B" w:rsidR="00A62397" w:rsidRDefault="00950AD3" w:rsidP="008C60E5">
                  <w:pPr>
                    <w:pStyle w:val="Default"/>
                    <w:rPr>
                      <w:color w:val="auto"/>
                      <w:sz w:val="22"/>
                      <w:szCs w:val="22"/>
                    </w:rPr>
                  </w:pPr>
                  <w:r>
                    <w:rPr>
                      <w:color w:val="auto"/>
                      <w:sz w:val="22"/>
                      <w:szCs w:val="22"/>
                    </w:rPr>
                    <w:t xml:space="preserve">Common </w:t>
                  </w:r>
                  <w:r w:rsidR="00A62397">
                    <w:rPr>
                      <w:color w:val="auto"/>
                      <w:sz w:val="22"/>
                      <w:szCs w:val="22"/>
                    </w:rPr>
                    <w:t xml:space="preserve">- inform specialist </w:t>
                  </w:r>
                </w:p>
              </w:tc>
            </w:tr>
            <w:tr w:rsidR="00950AD3" w:rsidRPr="004A3F03" w14:paraId="7D86EA38" w14:textId="77777777" w:rsidTr="008C60E5">
              <w:trPr>
                <w:trHeight w:val="769"/>
              </w:trPr>
              <w:tc>
                <w:tcPr>
                  <w:tcW w:w="4644" w:type="dxa"/>
                </w:tcPr>
                <w:p w14:paraId="3C1F5B6B" w14:textId="28CAD252" w:rsidR="00950AD3" w:rsidRDefault="00950AD3" w:rsidP="008C60E5">
                  <w:pPr>
                    <w:pStyle w:val="Default"/>
                    <w:rPr>
                      <w:sz w:val="22"/>
                      <w:szCs w:val="22"/>
                    </w:rPr>
                  </w:pPr>
                  <w:r w:rsidRPr="00950AD3">
                    <w:rPr>
                      <w:sz w:val="22"/>
                      <w:szCs w:val="22"/>
                    </w:rPr>
                    <w:t>Metabolism and nutrition disorders</w:t>
                  </w:r>
                </w:p>
              </w:tc>
              <w:tc>
                <w:tcPr>
                  <w:tcW w:w="5670" w:type="dxa"/>
                  <w:shd w:val="pct10" w:color="auto" w:fill="auto"/>
                </w:tcPr>
                <w:p w14:paraId="1A02EE91" w14:textId="791C51FB" w:rsidR="00950AD3" w:rsidRDefault="00950AD3" w:rsidP="008C60E5">
                  <w:pPr>
                    <w:pStyle w:val="Default"/>
                    <w:rPr>
                      <w:color w:val="auto"/>
                      <w:sz w:val="22"/>
                      <w:szCs w:val="22"/>
                    </w:rPr>
                  </w:pPr>
                  <w:r>
                    <w:rPr>
                      <w:color w:val="auto"/>
                      <w:sz w:val="22"/>
                      <w:szCs w:val="22"/>
                    </w:rPr>
                    <w:t xml:space="preserve">Uncommon - </w:t>
                  </w:r>
                  <w:r w:rsidRPr="00950AD3">
                    <w:rPr>
                      <w:color w:val="auto"/>
                      <w:sz w:val="22"/>
                      <w:szCs w:val="22"/>
                    </w:rPr>
                    <w:t>Hypercalcaemia</w:t>
                  </w:r>
                  <w:r>
                    <w:rPr>
                      <w:color w:val="auto"/>
                      <w:sz w:val="22"/>
                      <w:szCs w:val="22"/>
                    </w:rPr>
                    <w:t xml:space="preserve">, </w:t>
                  </w:r>
                  <w:r w:rsidRPr="00950AD3">
                    <w:rPr>
                      <w:color w:val="auto"/>
                      <w:sz w:val="22"/>
                      <w:szCs w:val="22"/>
                    </w:rPr>
                    <w:t>Hypocalcaemia</w:t>
                  </w:r>
                  <w:r w:rsidR="00AC2B85">
                    <w:rPr>
                      <w:color w:val="auto"/>
                      <w:sz w:val="22"/>
                      <w:szCs w:val="22"/>
                    </w:rPr>
                    <w:t>. Specialist will monitor routinely and advice.</w:t>
                  </w:r>
                </w:p>
              </w:tc>
            </w:tr>
            <w:tr w:rsidR="00950AD3" w:rsidRPr="004A3F03" w14:paraId="14718192" w14:textId="77777777" w:rsidTr="008C60E5">
              <w:trPr>
                <w:trHeight w:val="769"/>
              </w:trPr>
              <w:tc>
                <w:tcPr>
                  <w:tcW w:w="4644" w:type="dxa"/>
                </w:tcPr>
                <w:p w14:paraId="2A118DE1" w14:textId="361F3AA5" w:rsidR="00950AD3" w:rsidRPr="00950AD3" w:rsidRDefault="00950AD3" w:rsidP="008C60E5">
                  <w:pPr>
                    <w:pStyle w:val="Default"/>
                    <w:rPr>
                      <w:sz w:val="22"/>
                      <w:szCs w:val="22"/>
                    </w:rPr>
                  </w:pPr>
                  <w:r w:rsidRPr="00950AD3">
                    <w:rPr>
                      <w:sz w:val="22"/>
                      <w:szCs w:val="22"/>
                    </w:rPr>
                    <w:t>Respiratory, thoracic and mediastinal disorders</w:t>
                  </w:r>
                </w:p>
              </w:tc>
              <w:tc>
                <w:tcPr>
                  <w:tcW w:w="5670" w:type="dxa"/>
                  <w:shd w:val="pct10" w:color="auto" w:fill="auto"/>
                </w:tcPr>
                <w:p w14:paraId="7E7CCA80" w14:textId="59FD0B96" w:rsidR="00950AD3" w:rsidRDefault="00950AD3" w:rsidP="008C60E5">
                  <w:pPr>
                    <w:pStyle w:val="Default"/>
                    <w:rPr>
                      <w:color w:val="auto"/>
                      <w:sz w:val="22"/>
                      <w:szCs w:val="22"/>
                    </w:rPr>
                  </w:pPr>
                  <w:r>
                    <w:rPr>
                      <w:color w:val="auto"/>
                      <w:sz w:val="22"/>
                      <w:szCs w:val="22"/>
                    </w:rPr>
                    <w:t xml:space="preserve">Uncommon </w:t>
                  </w:r>
                  <w:r w:rsidR="005E3BC7">
                    <w:rPr>
                      <w:color w:val="auto"/>
                      <w:sz w:val="22"/>
                      <w:szCs w:val="22"/>
                    </w:rPr>
                    <w:t>–</w:t>
                  </w:r>
                  <w:r>
                    <w:rPr>
                      <w:color w:val="auto"/>
                      <w:sz w:val="22"/>
                      <w:szCs w:val="22"/>
                    </w:rPr>
                    <w:t xml:space="preserve"> </w:t>
                  </w:r>
                  <w:r w:rsidRPr="00950AD3">
                    <w:rPr>
                      <w:color w:val="auto"/>
                      <w:sz w:val="22"/>
                      <w:szCs w:val="22"/>
                    </w:rPr>
                    <w:t>Dyspnoea</w:t>
                  </w:r>
                  <w:r w:rsidR="00AC2B85">
                    <w:rPr>
                      <w:color w:val="auto"/>
                      <w:sz w:val="22"/>
                      <w:szCs w:val="22"/>
                    </w:rPr>
                    <w:t xml:space="preserve">. </w:t>
                  </w:r>
                  <w:r w:rsidR="00AC2B85" w:rsidRPr="00AC2B85">
                    <w:rPr>
                      <w:color w:val="auto"/>
                      <w:sz w:val="22"/>
                      <w:szCs w:val="22"/>
                    </w:rPr>
                    <w:t>Monitor and inform specialist if symptoms become significant.</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0073CFEC" w14:textId="659439AB" w:rsidR="0071064B" w:rsidRDefault="0071064B" w:rsidP="00004CD4">
      <w:pPr>
        <w:keepNext/>
        <w:spacing w:after="0" w:line="240" w:lineRule="auto"/>
        <w:contextualSpacing/>
        <w:jc w:val="both"/>
        <w:outlineLvl w:val="0"/>
        <w:rPr>
          <w:rFonts w:ascii="Arial" w:eastAsia="Times New Roman" w:hAnsi="Arial" w:cs="Times New Roman"/>
          <w:b/>
          <w:bCs/>
          <w:sz w:val="18"/>
          <w:szCs w:val="24"/>
        </w:rPr>
      </w:pPr>
    </w:p>
    <w:p w14:paraId="0275327C" w14:textId="77777777" w:rsidR="0071064B" w:rsidRDefault="0071064B">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142B8B85" w14:textId="77777777" w:rsidR="0071064B" w:rsidRDefault="0071064B" w:rsidP="00004CD4">
      <w:pPr>
        <w:keepNext/>
        <w:spacing w:after="0" w:line="240" w:lineRule="auto"/>
        <w:contextualSpacing/>
        <w:jc w:val="both"/>
        <w:outlineLvl w:val="0"/>
        <w:rPr>
          <w:rFonts w:ascii="Arial" w:eastAsia="Times New Roman" w:hAnsi="Arial" w:cs="Times New Roman"/>
          <w:b/>
          <w:bCs/>
          <w:sz w:val="18"/>
          <w:szCs w:val="24"/>
        </w:rPr>
      </w:pPr>
    </w:p>
    <w:p w14:paraId="2D5CA417" w14:textId="5386865F"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 xml:space="preserve">CONTRAINDICATIONS AND </w:t>
      </w:r>
      <w:r w:rsidR="00261A89" w:rsidRPr="00004CD4">
        <w:rPr>
          <w:rFonts w:ascii="Arial" w:eastAsia="Times New Roman" w:hAnsi="Arial" w:cs="Times New Roman"/>
          <w:b/>
          <w:bCs/>
          <w:szCs w:val="24"/>
        </w:rPr>
        <w:t>PRECAUTIONS</w:t>
      </w:r>
      <w:r w:rsidR="00261A89" w:rsidRPr="00A23128">
        <w:t xml:space="preserve"> </w:t>
      </w:r>
      <w:r w:rsidR="00261A89">
        <w:rPr>
          <w:rFonts w:ascii="Arial" w:hAnsi="Arial" w:cs="Arial"/>
          <w:b/>
          <w:bCs/>
        </w:rPr>
        <w:t>(</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67AF6F4F" w14:textId="77777777" w:rsidR="00237CD7" w:rsidRDefault="002D134E" w:rsidP="002D134E">
      <w:pPr>
        <w:pBdr>
          <w:top w:val="single" w:sz="4" w:space="1" w:color="auto"/>
          <w:left w:val="single" w:sz="4" w:space="4" w:color="auto"/>
          <w:bottom w:val="single" w:sz="4" w:space="0" w:color="auto"/>
          <w:right w:val="single" w:sz="4" w:space="5" w:color="auto"/>
        </w:pBdr>
        <w:spacing w:after="0"/>
        <w:rPr>
          <w:rFonts w:ascii="Arial" w:hAnsi="Arial" w:cs="Arial"/>
        </w:rPr>
      </w:pPr>
      <w:r w:rsidRPr="002D134E">
        <w:rPr>
          <w:rFonts w:ascii="Arial" w:hAnsi="Arial" w:cs="Arial"/>
          <w:b/>
          <w:bCs/>
        </w:rPr>
        <w:t>-</w:t>
      </w:r>
      <w:r>
        <w:rPr>
          <w:rFonts w:ascii="Arial" w:hAnsi="Arial" w:cs="Arial"/>
          <w:b/>
          <w:bCs/>
        </w:rPr>
        <w:t xml:space="preserve"> </w:t>
      </w:r>
      <w:r w:rsidR="006828D4" w:rsidRPr="00237CD7">
        <w:rPr>
          <w:rFonts w:ascii="Arial" w:hAnsi="Arial" w:cs="Arial"/>
        </w:rPr>
        <w:t xml:space="preserve">Hypophosphataemia: </w:t>
      </w:r>
      <w:r w:rsidR="00A62397" w:rsidRPr="00237CD7">
        <w:rPr>
          <w:rFonts w:ascii="Arial" w:hAnsi="Arial" w:cs="Arial"/>
        </w:rPr>
        <w:t xml:space="preserve">Sucroferric oxyhydroxide </w:t>
      </w:r>
      <w:r w:rsidR="006828D4" w:rsidRPr="00237CD7">
        <w:rPr>
          <w:rFonts w:ascii="Arial" w:hAnsi="Arial" w:cs="Arial"/>
        </w:rPr>
        <w:t>should be avoided in patients with low phosphate levels</w:t>
      </w:r>
    </w:p>
    <w:p w14:paraId="54A71CAA" w14:textId="5D40A76A" w:rsidR="002D134E" w:rsidRPr="00237CD7" w:rsidRDefault="00237CD7" w:rsidP="002D134E">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2D134E" w:rsidRPr="00237CD7">
        <w:rPr>
          <w:rFonts w:ascii="Arial" w:hAnsi="Arial" w:cs="Arial"/>
        </w:rPr>
        <w:t>H</w:t>
      </w:r>
      <w:r w:rsidR="00A62397" w:rsidRPr="00237CD7">
        <w:rPr>
          <w:rFonts w:ascii="Arial" w:hAnsi="Arial" w:cs="Arial"/>
        </w:rPr>
        <w:t>ypersensitivity</w:t>
      </w:r>
      <w:r w:rsidR="002D134E" w:rsidRPr="00237CD7">
        <w:rPr>
          <w:rFonts w:ascii="Arial" w:hAnsi="Arial" w:cs="Arial"/>
        </w:rPr>
        <w:t>:</w:t>
      </w:r>
      <w:r w:rsidR="00A62397" w:rsidRPr="00237CD7">
        <w:rPr>
          <w:rFonts w:ascii="Arial" w:hAnsi="Arial" w:cs="Arial"/>
        </w:rPr>
        <w:t xml:space="preserve"> to the active substance or any of the excipients </w:t>
      </w:r>
    </w:p>
    <w:p w14:paraId="2C4A8C5D" w14:textId="203CBC18" w:rsidR="006828D4" w:rsidRPr="00237CD7" w:rsidRDefault="002D134E" w:rsidP="00B10C94">
      <w:pPr>
        <w:pBdr>
          <w:top w:val="single" w:sz="4" w:space="1" w:color="auto"/>
          <w:left w:val="single" w:sz="4" w:space="4" w:color="auto"/>
          <w:bottom w:val="single" w:sz="4" w:space="0" w:color="auto"/>
          <w:right w:val="single" w:sz="4" w:space="5" w:color="auto"/>
        </w:pBdr>
        <w:spacing w:after="0"/>
        <w:rPr>
          <w:rFonts w:ascii="Arial" w:hAnsi="Arial" w:cs="Arial"/>
        </w:rPr>
      </w:pPr>
      <w:r w:rsidRPr="00237CD7">
        <w:rPr>
          <w:rFonts w:ascii="Arial" w:hAnsi="Arial" w:cs="Arial"/>
        </w:rPr>
        <w:t>- H</w:t>
      </w:r>
      <w:r w:rsidR="00A62397" w:rsidRPr="00237CD7">
        <w:rPr>
          <w:rFonts w:ascii="Arial" w:hAnsi="Arial" w:cs="Arial"/>
        </w:rPr>
        <w:t>aemochromatosis</w:t>
      </w:r>
      <w:r w:rsidR="00950AD3" w:rsidRPr="00237CD7">
        <w:rPr>
          <w:rFonts w:ascii="Arial" w:hAnsi="Arial" w:cs="Arial"/>
        </w:rPr>
        <w:t xml:space="preserve"> </w:t>
      </w:r>
      <w:r w:rsidR="00950AD3" w:rsidRPr="00B46031">
        <w:rPr>
          <w:rFonts w:ascii="Arial" w:hAnsi="Arial" w:cs="Arial"/>
          <w:color w:val="000000"/>
          <w:shd w:val="clear" w:color="auto" w:fill="FFFFFF"/>
        </w:rPr>
        <w:t>and any other iron accumulation disorders.</w:t>
      </w:r>
      <w:r w:rsidR="00A62397" w:rsidRPr="00237CD7">
        <w:rPr>
          <w:rFonts w:ascii="Arial" w:hAnsi="Arial" w:cs="Arial"/>
        </w:rPr>
        <w:t xml:space="preserve"> </w:t>
      </w:r>
    </w:p>
    <w:p w14:paraId="4F2D712E" w14:textId="7F067303" w:rsidR="00237CD7"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A62397" w:rsidRPr="00237CD7">
        <w:rPr>
          <w:rFonts w:ascii="Arial" w:hAnsi="Arial" w:cs="Arial"/>
        </w:rPr>
        <w:t>Sucroferric oxyhydroxide</w:t>
      </w:r>
      <w:r w:rsidR="00EC7BA2" w:rsidRPr="00237CD7">
        <w:rPr>
          <w:rFonts w:ascii="Arial" w:hAnsi="Arial" w:cs="Arial"/>
        </w:rPr>
        <w:t xml:space="preserve"> </w:t>
      </w:r>
      <w:r w:rsidR="00950AD3" w:rsidRPr="00237CD7">
        <w:rPr>
          <w:rFonts w:ascii="Arial" w:hAnsi="Arial" w:cs="Arial"/>
        </w:rPr>
        <w:t>should only be used in pregnancy or breast feeding</w:t>
      </w:r>
      <w:r w:rsidRPr="00237CD7">
        <w:rPr>
          <w:rFonts w:ascii="Arial" w:hAnsi="Arial" w:cs="Arial"/>
        </w:rPr>
        <w:t xml:space="preserve"> women after a careful risk/benefit analysis has been conducted for both the mother and the foetus/child.</w:t>
      </w:r>
    </w:p>
    <w:p w14:paraId="66BA055B" w14:textId="7B14716F" w:rsidR="00EC7BA2"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 </w:t>
      </w:r>
      <w:r w:rsidR="00A62397" w:rsidRPr="00237CD7">
        <w:rPr>
          <w:rFonts w:ascii="Arial" w:hAnsi="Arial" w:cs="Arial"/>
        </w:rPr>
        <w:t>Sucroferric oxyhydroxide</w:t>
      </w:r>
      <w:r w:rsidR="00EC7BA2" w:rsidRPr="00237CD7">
        <w:rPr>
          <w:rFonts w:ascii="Arial" w:hAnsi="Arial" w:cs="Arial"/>
        </w:rPr>
        <w:t xml:space="preserve"> </w:t>
      </w:r>
      <w:r w:rsidR="002D134E" w:rsidRPr="00237CD7">
        <w:rPr>
          <w:rFonts w:ascii="Arial" w:hAnsi="Arial" w:cs="Arial"/>
        </w:rPr>
        <w:t>is cautioned for use in patients with a history of peritonitis (within 3 months), significant gastric or hepatic disorders</w:t>
      </w:r>
      <w:r w:rsidR="00950AD3" w:rsidRPr="00237CD7">
        <w:rPr>
          <w:rFonts w:ascii="Arial" w:hAnsi="Arial" w:cs="Arial"/>
        </w:rPr>
        <w:t>, and</w:t>
      </w:r>
      <w:r w:rsidR="005E3BC7" w:rsidRPr="00237CD7">
        <w:rPr>
          <w:rFonts w:ascii="Arial" w:hAnsi="Arial" w:cs="Arial"/>
        </w:rPr>
        <w:t xml:space="preserve"> patients with major gastrointestinal surgery</w:t>
      </w:r>
      <w:r>
        <w:rPr>
          <w:rFonts w:ascii="Arial" w:hAnsi="Arial" w:cs="Arial"/>
        </w:rPr>
        <w:t xml:space="preserve">. Use after </w:t>
      </w:r>
      <w:r w:rsidRPr="00237CD7">
        <w:rPr>
          <w:rFonts w:ascii="Arial" w:hAnsi="Arial" w:cs="Arial"/>
        </w:rPr>
        <w:t>careful assessment of benefit/risk</w:t>
      </w:r>
      <w:r>
        <w:rPr>
          <w:rFonts w:ascii="Arial" w:hAnsi="Arial" w:cs="Arial"/>
        </w:rPr>
        <w:t>.</w:t>
      </w:r>
      <w:r w:rsidR="00950AD3" w:rsidRPr="00237CD7">
        <w:rPr>
          <w:rFonts w:ascii="Arial" w:hAnsi="Arial" w:cs="Arial"/>
        </w:rPr>
        <w:t xml:space="preserve"> </w:t>
      </w:r>
    </w:p>
    <w:p w14:paraId="2E58E57C" w14:textId="1D2044C2" w:rsidR="002D134E" w:rsidRPr="00237CD7" w:rsidRDefault="00237CD7"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w:t>
      </w:r>
      <w:r w:rsidR="002D134E" w:rsidRPr="00237CD7">
        <w:rPr>
          <w:rFonts w:ascii="Arial" w:hAnsi="Arial" w:cs="Arial"/>
        </w:rPr>
        <w:t xml:space="preserve">Sucroferric oxyhydroxide contains sucrose and starches so may be harmful to teeth and patients with gluten intolerance. </w:t>
      </w:r>
      <w:r w:rsidR="00314DE0" w:rsidRPr="00A7151B">
        <w:rPr>
          <w:rFonts w:ascii="Arial" w:hAnsi="Arial" w:cs="Arial"/>
          <w:color w:val="161616"/>
          <w:shd w:val="clear" w:color="auto" w:fill="FFFFFF"/>
        </w:rPr>
        <w:t>Patients with rare hereditary problems of fructose intolerance, glucose-galactose malabsorption or sucrase-isomaltase insufficiency should not take this medicinal product.</w:t>
      </w:r>
    </w:p>
    <w:p w14:paraId="20139359" w14:textId="5EB747AE" w:rsidR="002D134E" w:rsidRPr="00EC7BA2" w:rsidRDefault="002D134E" w:rsidP="00B10C94">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 xml:space="preserve">NB: For diabetic patients it should be noted that one tablet is equivalent to 1.4g of carbohydrates. </w:t>
      </w:r>
    </w:p>
    <w:p w14:paraId="44E0B320" w14:textId="77777777" w:rsidR="00004CD4" w:rsidRPr="005430C6" w:rsidRDefault="00004CD4" w:rsidP="00004CD4">
      <w:pPr>
        <w:spacing w:after="0"/>
        <w:rPr>
          <w:b/>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561D4AA" w14:textId="5E8C9F04" w:rsidR="00237CD7" w:rsidRDefault="005E3BC7"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color w:val="000000"/>
          <w:sz w:val="19"/>
          <w:szCs w:val="19"/>
          <w:shd w:val="clear" w:color="auto" w:fill="FFFFFF"/>
        </w:rPr>
      </w:pPr>
      <w:r>
        <w:rPr>
          <w:rFonts w:ascii="Arial" w:hAnsi="Arial" w:cs="Arial"/>
          <w:color w:val="000000"/>
          <w:sz w:val="19"/>
          <w:szCs w:val="19"/>
          <w:shd w:val="clear" w:color="auto" w:fill="FFFFFF"/>
        </w:rPr>
        <w:t> </w:t>
      </w:r>
    </w:p>
    <w:p w14:paraId="25E78608" w14:textId="0A8F23E5" w:rsidR="002D134E" w:rsidRPr="00E17AC1" w:rsidRDefault="00237CD7"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E17AC1">
        <w:rPr>
          <w:rFonts w:ascii="Arial" w:hAnsi="Arial" w:cs="Arial"/>
          <w:color w:val="000000"/>
          <w:shd w:val="clear" w:color="auto" w:fill="FFFFFF"/>
        </w:rPr>
        <w:t xml:space="preserve">Velphoro is almost not absorbed from the gastrointestinal tract. </w:t>
      </w:r>
      <w:r w:rsidR="005E3BC7" w:rsidRPr="00E17AC1">
        <w:rPr>
          <w:rFonts w:ascii="Arial" w:hAnsi="Arial" w:cs="Arial"/>
          <w:color w:val="000000"/>
          <w:shd w:val="clear" w:color="auto" w:fill="FFFFFF"/>
        </w:rPr>
        <w:t>The potential for Velphoro to interact with other medicinal products is low.</w:t>
      </w:r>
    </w:p>
    <w:p w14:paraId="16A535DF" w14:textId="04286732" w:rsidR="002D134E" w:rsidRDefault="00A7151B" w:rsidP="00A7151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rPr>
      </w:pPr>
      <w:r w:rsidRPr="002D134E">
        <w:rPr>
          <w:rFonts w:ascii="Arial" w:eastAsia="Times New Roman" w:hAnsi="Arial" w:cs="Arial"/>
          <w:bCs/>
        </w:rPr>
        <w:t>When administering any medicinal prod</w:t>
      </w:r>
      <w:r>
        <w:rPr>
          <w:rFonts w:ascii="Arial" w:eastAsia="Times New Roman" w:hAnsi="Arial" w:cs="Arial"/>
          <w:bCs/>
        </w:rPr>
        <w:t>uct that is</w:t>
      </w:r>
      <w:r w:rsidRPr="002D134E">
        <w:rPr>
          <w:rFonts w:ascii="Arial" w:eastAsia="Times New Roman" w:hAnsi="Arial" w:cs="Arial"/>
          <w:bCs/>
        </w:rPr>
        <w:t xml:space="preserve"> already known to interact with iron (like alendronate and doxycycline) or has the potential to interact with sucroferric oxyhydroxide ba</w:t>
      </w:r>
      <w:r>
        <w:rPr>
          <w:rFonts w:ascii="Arial" w:eastAsia="Times New Roman" w:hAnsi="Arial" w:cs="Arial"/>
          <w:bCs/>
        </w:rPr>
        <w:t xml:space="preserve">sed only on in vitro studies such as </w:t>
      </w:r>
      <w:r w:rsidRPr="002D134E">
        <w:rPr>
          <w:rFonts w:ascii="Arial" w:eastAsia="Times New Roman" w:hAnsi="Arial" w:cs="Arial"/>
          <w:bCs/>
        </w:rPr>
        <w:t xml:space="preserve">levothyroxine </w:t>
      </w:r>
      <w:r w:rsidRPr="008D03E5">
        <w:rPr>
          <w:rFonts w:ascii="Arial" w:eastAsia="Times New Roman" w:hAnsi="Arial" w:cs="Arial"/>
          <w:b/>
          <w:bCs/>
        </w:rPr>
        <w:t>the medicinal product should be administered at least one hour before or two hours after sucroferric oxyhydroxide</w:t>
      </w:r>
    </w:p>
    <w:p w14:paraId="455CDE27" w14:textId="77777777" w:rsidR="00B06801" w:rsidRDefault="00B06801"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C74787" w:rsidRPr="00D43187" w14:paraId="5A5430DD" w14:textId="77777777" w:rsidTr="00D763E4">
              <w:tc>
                <w:tcPr>
                  <w:tcW w:w="1883" w:type="dxa"/>
                </w:tcPr>
                <w:p w14:paraId="300CF390"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88"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AA5EDC" w:rsidRPr="00D43187" w14:paraId="0CCFCCCE" w14:textId="77777777" w:rsidTr="00D763E4">
              <w:tc>
                <w:tcPr>
                  <w:tcW w:w="1883" w:type="dxa"/>
                </w:tcPr>
                <w:p w14:paraId="413587B9" w14:textId="3C51AFAB" w:rsidR="00AA5EDC" w:rsidRPr="00D43187" w:rsidRDefault="00EE4517" w:rsidP="00EE451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Consultant Nephrologists</w:t>
                  </w:r>
                  <w:r w:rsidR="00AA5EDC">
                    <w:rPr>
                      <w:rFonts w:ascii="Arial" w:eastAsia="Times New Roman" w:hAnsi="Arial" w:cs="Arial"/>
                      <w:b/>
                      <w:bCs/>
                      <w:sz w:val="20"/>
                      <w:szCs w:val="20"/>
                      <w:lang w:val="en-US" w:eastAsia="en-GB"/>
                    </w:rPr>
                    <w:t xml:space="preserve"> </w:t>
                  </w:r>
                </w:p>
              </w:tc>
              <w:tc>
                <w:tcPr>
                  <w:tcW w:w="1690" w:type="dxa"/>
                </w:tcPr>
                <w:p w14:paraId="3DA4925C" w14:textId="422AF36E" w:rsidR="00AA5EDC" w:rsidRPr="00D43187" w:rsidRDefault="00C94857"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402" w:type="dxa"/>
                </w:tcPr>
                <w:p w14:paraId="6D8F9834" w14:textId="5900D301" w:rsidR="00AA5EDC" w:rsidRDefault="00AA5EDC" w:rsidP="003F2A47">
                  <w:pPr>
                    <w:spacing w:after="40"/>
                    <w:rPr>
                      <w:rFonts w:ascii="Arial" w:hAnsi="Arial" w:cs="Arial"/>
                      <w:sz w:val="20"/>
                      <w:szCs w:val="20"/>
                    </w:rPr>
                  </w:pPr>
                  <w:r w:rsidRPr="00EF5B83">
                    <w:rPr>
                      <w:rFonts w:ascii="Arial" w:hAnsi="Arial" w:cs="Arial"/>
                      <w:sz w:val="20"/>
                      <w:szCs w:val="20"/>
                    </w:rPr>
                    <w:t>nephadmin.enh-tr@nhs.net</w:t>
                  </w:r>
                </w:p>
              </w:tc>
              <w:tc>
                <w:tcPr>
                  <w:tcW w:w="1985" w:type="dxa"/>
                  <w:vMerge w:val="restart"/>
                </w:tcPr>
                <w:p w14:paraId="72EAD855" w14:textId="77777777" w:rsidR="009C023B" w:rsidRDefault="009C023B" w:rsidP="009C023B">
                  <w:pPr>
                    <w:spacing w:after="40"/>
                    <w:jc w:val="center"/>
                  </w:pPr>
                </w:p>
                <w:p w14:paraId="0511D4DC" w14:textId="77777777" w:rsidR="009C023B" w:rsidRDefault="009C023B" w:rsidP="009C023B">
                  <w:pPr>
                    <w:spacing w:after="40"/>
                  </w:pPr>
                </w:p>
                <w:p w14:paraId="797DE29C" w14:textId="421D06BB" w:rsidR="00AA5EDC" w:rsidRPr="00D43187" w:rsidRDefault="006732C5" w:rsidP="009C023B">
                  <w:pPr>
                    <w:spacing w:after="40"/>
                    <w:jc w:val="center"/>
                    <w:rPr>
                      <w:rFonts w:ascii="Arial" w:eastAsia="Times New Roman" w:hAnsi="Arial" w:cs="Arial"/>
                      <w:bCs/>
                      <w:sz w:val="20"/>
                      <w:szCs w:val="20"/>
                      <w:lang w:eastAsia="en-GB"/>
                    </w:rPr>
                  </w:pPr>
                  <w:hyperlink r:id="rId19" w:history="1">
                    <w:r w:rsidR="00AA5EDC" w:rsidRPr="005228AA">
                      <w:rPr>
                        <w:rStyle w:val="Hyperlink"/>
                        <w:rFonts w:ascii="Arial" w:eastAsia="Times New Roman" w:hAnsi="Arial" w:cs="Arial"/>
                        <w:bCs/>
                        <w:sz w:val="20"/>
                        <w:szCs w:val="20"/>
                        <w:lang w:eastAsia="en-GB"/>
                      </w:rPr>
                      <w:t>sharedcare.enh-tr@nhs.net</w:t>
                    </w:r>
                  </w:hyperlink>
                </w:p>
                <w:p w14:paraId="38CEF95A" w14:textId="6D6B7327" w:rsidR="00AA5EDC"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2B7B9AB6" w14:textId="77777777" w:rsidR="00AA5EDC" w:rsidRPr="00D43187" w:rsidRDefault="00AA5EDC" w:rsidP="009C023B">
                  <w:pPr>
                    <w:jc w:val="center"/>
                    <w:rPr>
                      <w:rFonts w:ascii="Arial" w:eastAsia="Times New Roman" w:hAnsi="Arial" w:cs="Arial"/>
                      <w:bCs/>
                      <w:sz w:val="20"/>
                      <w:szCs w:val="20"/>
                      <w:lang w:eastAsia="en-GB"/>
                    </w:rPr>
                  </w:pPr>
                </w:p>
                <w:p w14:paraId="3FEAFE66" w14:textId="77777777" w:rsidR="00AA5EDC" w:rsidRPr="00D43187" w:rsidRDefault="00AA5EDC" w:rsidP="009C023B">
                  <w:pPr>
                    <w:jc w:val="center"/>
                    <w:rPr>
                      <w:rFonts w:ascii="Arial" w:eastAsia="Times New Roman" w:hAnsi="Arial" w:cs="Arial"/>
                      <w:bCs/>
                      <w:sz w:val="20"/>
                      <w:szCs w:val="20"/>
                      <w:lang w:eastAsia="en-GB"/>
                    </w:rPr>
                  </w:pPr>
                </w:p>
                <w:p w14:paraId="10B8A354" w14:textId="77777777" w:rsidR="009C023B" w:rsidRDefault="009C023B" w:rsidP="009C023B">
                  <w:pPr>
                    <w:rPr>
                      <w:rFonts w:ascii="Arial" w:eastAsia="Times New Roman" w:hAnsi="Arial" w:cs="Arial"/>
                      <w:bCs/>
                      <w:sz w:val="20"/>
                      <w:szCs w:val="20"/>
                      <w:lang w:eastAsia="en-GB"/>
                    </w:rPr>
                  </w:pPr>
                </w:p>
                <w:p w14:paraId="165E7E39" w14:textId="77777777" w:rsidR="009C023B" w:rsidRDefault="009C023B" w:rsidP="009C023B">
                  <w:pPr>
                    <w:jc w:val="center"/>
                    <w:rPr>
                      <w:rFonts w:ascii="Arial" w:eastAsia="Times New Roman" w:hAnsi="Arial" w:cs="Arial"/>
                      <w:bCs/>
                      <w:sz w:val="20"/>
                      <w:szCs w:val="20"/>
                      <w:lang w:eastAsia="en-GB"/>
                    </w:rPr>
                  </w:pPr>
                </w:p>
                <w:p w14:paraId="7740D246" w14:textId="6E980C59" w:rsidR="00AA5EDC" w:rsidRPr="00D43187"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AA5EDC" w:rsidRPr="00D43187" w14:paraId="6FC472A8" w14:textId="77777777" w:rsidTr="00D763E4">
              <w:tc>
                <w:tcPr>
                  <w:tcW w:w="1883" w:type="dxa"/>
                </w:tcPr>
                <w:p w14:paraId="7400A4FA" w14:textId="24CCF67C"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45058720" w14:textId="57C61211" w:rsidR="00AA5EDC" w:rsidRPr="00D43187" w:rsidRDefault="00AA5EDC" w:rsidP="003F2A47">
                  <w:pPr>
                    <w:spacing w:after="40"/>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90" w:type="dxa"/>
                </w:tcPr>
                <w:p w14:paraId="001DA9F3" w14:textId="64AFEAC5" w:rsidR="00AA5EDC" w:rsidRPr="00D43187" w:rsidRDefault="00AA5EDC"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402" w:type="dxa"/>
                </w:tcPr>
                <w:p w14:paraId="0D0D8228" w14:textId="4BCE642D" w:rsidR="00AA5EDC" w:rsidRPr="00D43187" w:rsidRDefault="00AA5EDC" w:rsidP="003F2A47">
                  <w:pPr>
                    <w:spacing w:after="40"/>
                    <w:rPr>
                      <w:rFonts w:ascii="Arial" w:eastAsia="Times New Roman" w:hAnsi="Arial" w:cs="Arial"/>
                      <w:bCs/>
                      <w:sz w:val="20"/>
                      <w:szCs w:val="20"/>
                      <w:lang w:eastAsia="en-GB"/>
                    </w:rPr>
                  </w:pPr>
                  <w:r>
                    <w:t>renalpharmacists.enh-tr@nhs.net</w:t>
                  </w:r>
                </w:p>
              </w:tc>
              <w:tc>
                <w:tcPr>
                  <w:tcW w:w="1985" w:type="dxa"/>
                  <w:vMerge/>
                </w:tcPr>
                <w:p w14:paraId="45176FA6" w14:textId="31C1F918" w:rsidR="00AA5EDC" w:rsidRPr="00D43187" w:rsidRDefault="00AA5EDC" w:rsidP="004579C4">
                  <w:pPr>
                    <w:rPr>
                      <w:rFonts w:ascii="Arial" w:eastAsia="Times New Roman" w:hAnsi="Arial" w:cs="Arial"/>
                      <w:bCs/>
                      <w:sz w:val="20"/>
                      <w:szCs w:val="20"/>
                      <w:lang w:eastAsia="en-GB"/>
                    </w:rPr>
                  </w:pPr>
                </w:p>
              </w:tc>
              <w:tc>
                <w:tcPr>
                  <w:tcW w:w="1588" w:type="dxa"/>
                  <w:vMerge/>
                </w:tcPr>
                <w:p w14:paraId="5A46F8D2" w14:textId="46970A86" w:rsidR="00AA5EDC" w:rsidRPr="00D43187" w:rsidRDefault="00AA5EDC" w:rsidP="004579C4">
                  <w:pPr>
                    <w:rPr>
                      <w:rFonts w:ascii="Arial" w:eastAsia="Times New Roman" w:hAnsi="Arial" w:cs="Arial"/>
                      <w:bCs/>
                      <w:sz w:val="20"/>
                      <w:szCs w:val="20"/>
                      <w:lang w:eastAsia="en-GB"/>
                    </w:rPr>
                  </w:pPr>
                </w:p>
              </w:tc>
            </w:tr>
            <w:tr w:rsidR="00AA5EDC" w:rsidRPr="00D43187" w14:paraId="37F470A8" w14:textId="77777777" w:rsidTr="00D763E4">
              <w:tc>
                <w:tcPr>
                  <w:tcW w:w="1883" w:type="dxa"/>
                </w:tcPr>
                <w:p w14:paraId="6076DE20" w14:textId="77777777"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Gail Franklin</w:t>
                  </w:r>
                </w:p>
                <w:p w14:paraId="434AD3C0" w14:textId="4B3457AD" w:rsidR="00AA5EDC" w:rsidRPr="00D43187" w:rsidRDefault="00AA5EDC" w:rsidP="003F2A4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eastAsia="en-GB"/>
                    </w:rPr>
                    <w:t xml:space="preserve">Renal dieticians </w:t>
                  </w:r>
                </w:p>
              </w:tc>
              <w:tc>
                <w:tcPr>
                  <w:tcW w:w="1690" w:type="dxa"/>
                </w:tcPr>
                <w:p w14:paraId="321470D3" w14:textId="77777777" w:rsidR="00AA5EDC" w:rsidRDefault="00AA5EDC" w:rsidP="00E81E64">
                  <w:pPr>
                    <w:spacing w:after="40"/>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28AA53EE" w14:textId="7AA1145B" w:rsidR="00AA5EDC" w:rsidRPr="00D43187" w:rsidRDefault="00AA5EDC" w:rsidP="003F2A47">
                  <w:pPr>
                    <w:spacing w:after="40"/>
                    <w:rPr>
                      <w:rFonts w:ascii="Arial" w:hAnsi="Arial" w:cs="Arial"/>
                      <w:sz w:val="20"/>
                      <w:szCs w:val="20"/>
                      <w:lang w:eastAsia="en-GB"/>
                    </w:rPr>
                  </w:pPr>
                </w:p>
              </w:tc>
              <w:tc>
                <w:tcPr>
                  <w:tcW w:w="3402" w:type="dxa"/>
                </w:tcPr>
                <w:p w14:paraId="5539147C" w14:textId="77777777" w:rsidR="00AA5EDC" w:rsidRPr="00194BE4" w:rsidRDefault="00AA5EDC" w:rsidP="00E81E64">
                  <w:r w:rsidRPr="00194BE4">
                    <w:t>renaldieticians.enh-tr@nhs.net</w:t>
                  </w:r>
                </w:p>
                <w:p w14:paraId="29628982" w14:textId="1096ED69" w:rsidR="00AA5EDC" w:rsidRDefault="00AA5EDC" w:rsidP="003F2A47">
                  <w:pPr>
                    <w:spacing w:after="40"/>
                    <w:rPr>
                      <w:rFonts w:ascii="Arial" w:hAnsi="Arial" w:cs="Arial"/>
                      <w:sz w:val="20"/>
                      <w:szCs w:val="20"/>
                    </w:rPr>
                  </w:pPr>
                </w:p>
              </w:tc>
              <w:tc>
                <w:tcPr>
                  <w:tcW w:w="1985" w:type="dxa"/>
                  <w:vMerge/>
                </w:tcPr>
                <w:p w14:paraId="444214F8" w14:textId="77777777" w:rsidR="00AA5EDC" w:rsidRDefault="00AA5EDC" w:rsidP="003F2A47">
                  <w:pPr>
                    <w:spacing w:after="40"/>
                    <w:rPr>
                      <w:rFonts w:ascii="Arial" w:eastAsia="Times New Roman" w:hAnsi="Arial" w:cs="Arial"/>
                      <w:bCs/>
                      <w:sz w:val="20"/>
                      <w:szCs w:val="20"/>
                      <w:lang w:eastAsia="en-GB"/>
                    </w:rPr>
                  </w:pPr>
                </w:p>
              </w:tc>
              <w:tc>
                <w:tcPr>
                  <w:tcW w:w="1588" w:type="dxa"/>
                  <w:vMerge/>
                </w:tcPr>
                <w:p w14:paraId="362B58A5" w14:textId="77777777" w:rsidR="00AA5EDC" w:rsidRPr="00D43187" w:rsidRDefault="00AA5EDC" w:rsidP="004579C4">
                  <w:pPr>
                    <w:rPr>
                      <w:rFonts w:ascii="Arial" w:eastAsia="Times New Roman" w:hAnsi="Arial" w:cs="Arial"/>
                      <w:bCs/>
                      <w:sz w:val="20"/>
                      <w:szCs w:val="20"/>
                      <w:lang w:eastAsia="en-GB"/>
                    </w:rPr>
                  </w:pPr>
                </w:p>
              </w:tc>
            </w:tr>
          </w:tbl>
          <w:p w14:paraId="6C6E6FEF" w14:textId="5039242C" w:rsidR="000A3722" w:rsidRPr="008C60E5" w:rsidRDefault="00AA5EDC" w:rsidP="00AA5EDC">
            <w:pPr>
              <w:spacing w:after="0" w:line="240" w:lineRule="auto"/>
              <w:jc w:val="center"/>
              <w:rPr>
                <w:rFonts w:ascii="Arial" w:eastAsia="Times New Roman" w:hAnsi="Arial" w:cs="Arial"/>
                <w:b/>
                <w:bCs/>
                <w:lang w:eastAsia="en-GB"/>
              </w:rPr>
            </w:pPr>
            <w:r w:rsidRPr="00AA5EDC">
              <w:rPr>
                <w:rFonts w:ascii="Arial" w:eastAsia="Times New Roman" w:hAnsi="Arial" w:cs="Arial"/>
                <w:b/>
                <w:bCs/>
                <w:lang w:eastAsia="en-GB"/>
              </w:rPr>
              <w:t>Outside normal working hours there is access to a Consultant Nephrologist via the hospital switchboard</w:t>
            </w:r>
          </w:p>
          <w:p w14:paraId="12C947EB"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4ED8CA3A" w14:textId="2C0BCA0F"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with </w:t>
            </w:r>
            <w:r w:rsidR="002D134E">
              <w:rPr>
                <w:rFonts w:ascii="Arial" w:eastAsia="Times New Roman" w:hAnsi="Arial" w:cs="Arial"/>
                <w:bCs/>
                <w:lang w:eastAsia="en-GB"/>
              </w:rPr>
              <w:t>sucroferric oxyhydroxide</w:t>
            </w:r>
            <w:r w:rsidR="008C60E5" w:rsidRPr="008C60E5">
              <w:rPr>
                <w:rFonts w:ascii="Arial" w:eastAsia="Times New Roman" w:hAnsi="Arial" w:cs="Arial"/>
                <w:bCs/>
                <w:lang w:eastAsia="en-GB"/>
              </w:rPr>
              <w:t xml:space="preserve"> please contact the </w:t>
            </w:r>
            <w:r w:rsidR="009C023B">
              <w:rPr>
                <w:rFonts w:ascii="Arial" w:eastAsia="Times New Roman" w:hAnsi="Arial" w:cs="Arial"/>
                <w:bCs/>
                <w:lang w:eastAsia="en-GB"/>
              </w:rPr>
              <w:t>S</w:t>
            </w:r>
            <w:r w:rsidR="008C60E5" w:rsidRPr="008C60E5">
              <w:rPr>
                <w:rFonts w:ascii="Arial" w:eastAsia="Times New Roman" w:hAnsi="Arial" w:cs="Arial"/>
                <w:bCs/>
                <w:lang w:eastAsia="en-GB"/>
              </w:rPr>
              <w:t xml:space="preserve">pecialist as documented at the top of this document. Read in conjunction with </w:t>
            </w:r>
            <w:r w:rsidR="00237CD7">
              <w:rPr>
                <w:rFonts w:ascii="Arial" w:eastAsia="Times New Roman" w:hAnsi="Arial" w:cs="Arial"/>
                <w:bCs/>
                <w:lang w:eastAsia="en-GB"/>
              </w:rPr>
              <w:t xml:space="preserve">HWE APC </w:t>
            </w:r>
            <w:r w:rsidR="008C60E5" w:rsidRPr="008C60E5">
              <w:rPr>
                <w:rFonts w:ascii="Arial" w:eastAsia="Times New Roman" w:hAnsi="Arial" w:cs="Arial"/>
                <w:bCs/>
                <w:lang w:eastAsia="en-GB"/>
              </w:rPr>
              <w:t>shared care principles document.</w:t>
            </w:r>
          </w:p>
          <w:p w14:paraId="50F40B83" w14:textId="75312DBA" w:rsidR="008C60E5" w:rsidRPr="008C60E5" w:rsidRDefault="008C60E5" w:rsidP="009C023B">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advice if you have any concerns contact the </w:t>
            </w:r>
            <w:r w:rsidR="009C023B">
              <w:rPr>
                <w:rFonts w:ascii="Arial" w:eastAsia="Times New Roman" w:hAnsi="Arial" w:cs="Arial"/>
                <w:bCs/>
                <w:lang w:eastAsia="en-GB"/>
              </w:rPr>
              <w:t>s</w:t>
            </w:r>
            <w:r w:rsidRPr="008C60E5">
              <w:rPr>
                <w:rFonts w:ascii="Arial" w:eastAsia="Times New Roman" w:hAnsi="Arial" w:cs="Arial"/>
                <w:bCs/>
                <w:lang w:eastAsia="en-GB"/>
              </w:rPr>
              <w:t>pecialist team.  If unable to contact specialist team or out of hours, contact medical registrar on call.</w:t>
            </w:r>
          </w:p>
        </w:tc>
      </w:tr>
    </w:tbl>
    <w:p w14:paraId="0E2E2971" w14:textId="77777777" w:rsidR="00004CD4" w:rsidRDefault="00004CD4" w:rsidP="00CB147C">
      <w:pPr>
        <w:spacing w:after="0"/>
        <w:rPr>
          <w:b/>
        </w:rPr>
      </w:pPr>
    </w:p>
    <w:p w14:paraId="69F4CD51" w14:textId="665DE40D" w:rsidR="00AA5EDC" w:rsidRPr="00AA5EDC" w:rsidRDefault="00CB147C" w:rsidP="00AA5ED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6F758699" w14:textId="08FECEF0" w:rsidR="00AA5EDC" w:rsidRPr="002D134E" w:rsidRDefault="002D134E" w:rsidP="002D134E">
      <w:pPr>
        <w:pStyle w:val="ListParagraph"/>
        <w:keepNext/>
        <w:numPr>
          <w:ilvl w:val="0"/>
          <w:numId w:val="28"/>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Vifor </w:t>
      </w:r>
      <w:r w:rsidRPr="002D134E">
        <w:rPr>
          <w:rFonts w:ascii="Arial" w:eastAsia="Times New Roman" w:hAnsi="Arial" w:cs="Arial"/>
          <w:bCs/>
          <w:sz w:val="16"/>
          <w:szCs w:val="16"/>
        </w:rPr>
        <w:t xml:space="preserve">Fresenius Medical Care </w:t>
      </w:r>
      <w:r>
        <w:rPr>
          <w:rFonts w:ascii="Arial" w:eastAsia="Times New Roman" w:hAnsi="Arial" w:cs="Arial"/>
          <w:bCs/>
          <w:sz w:val="16"/>
          <w:szCs w:val="16"/>
        </w:rPr>
        <w:t>Renal Pharma</w:t>
      </w:r>
      <w:r w:rsidR="00B06801">
        <w:rPr>
          <w:rFonts w:ascii="Arial" w:eastAsia="Times New Roman" w:hAnsi="Arial" w:cs="Arial"/>
          <w:bCs/>
          <w:sz w:val="16"/>
          <w:szCs w:val="16"/>
        </w:rPr>
        <w:t xml:space="preserve"> </w:t>
      </w:r>
      <w:r w:rsidRPr="002D134E">
        <w:rPr>
          <w:rFonts w:ascii="Arial" w:eastAsia="Times New Roman" w:hAnsi="Arial" w:cs="Arial"/>
          <w:bCs/>
          <w:sz w:val="16"/>
          <w:szCs w:val="16"/>
        </w:rPr>
        <w:t xml:space="preserve">(UK) Ltd.  Velphoro 500 mg </w:t>
      </w:r>
      <w:r>
        <w:rPr>
          <w:rFonts w:ascii="Arial" w:eastAsia="Times New Roman" w:hAnsi="Arial" w:cs="Arial"/>
          <w:bCs/>
          <w:sz w:val="16"/>
          <w:szCs w:val="16"/>
        </w:rPr>
        <w:t>chewable t</w:t>
      </w:r>
      <w:r w:rsidRPr="002D134E">
        <w:rPr>
          <w:rFonts w:ascii="Arial" w:eastAsia="Times New Roman" w:hAnsi="Arial" w:cs="Arial"/>
          <w:bCs/>
          <w:sz w:val="16"/>
          <w:szCs w:val="16"/>
        </w:rPr>
        <w:t>ablets Summary</w:t>
      </w:r>
      <w:r>
        <w:rPr>
          <w:rFonts w:ascii="Arial" w:eastAsia="Times New Roman" w:hAnsi="Arial" w:cs="Arial"/>
          <w:bCs/>
          <w:sz w:val="16"/>
          <w:szCs w:val="16"/>
        </w:rPr>
        <w:t xml:space="preserve"> of Product Characteristics 2021</w:t>
      </w:r>
      <w:r w:rsidRPr="002D134E">
        <w:rPr>
          <w:rFonts w:ascii="Arial" w:eastAsia="Times New Roman" w:hAnsi="Arial" w:cs="Arial"/>
          <w:bCs/>
          <w:sz w:val="16"/>
          <w:szCs w:val="16"/>
        </w:rPr>
        <w:t xml:space="preserve"> </w:t>
      </w:r>
      <w:hyperlink r:id="rId20" w:history="1">
        <w:r w:rsidR="00237CD7" w:rsidRPr="00376621">
          <w:rPr>
            <w:rStyle w:val="Hyperlink"/>
            <w:rFonts w:ascii="Arial" w:eastAsia="Times New Roman" w:hAnsi="Arial" w:cs="Arial"/>
            <w:bCs/>
            <w:sz w:val="16"/>
            <w:szCs w:val="16"/>
          </w:rPr>
          <w:t>www.medicines.org.uk</w:t>
        </w:r>
      </w:hyperlink>
      <w:r w:rsidR="00237CD7">
        <w:rPr>
          <w:rFonts w:ascii="Arial" w:eastAsia="Times New Roman" w:hAnsi="Arial" w:cs="Arial"/>
          <w:bCs/>
          <w:sz w:val="16"/>
          <w:szCs w:val="16"/>
        </w:rPr>
        <w:t xml:space="preserve"> (accesses September 2023)</w:t>
      </w:r>
    </w:p>
    <w:p w14:paraId="0AB9842F" w14:textId="15053935" w:rsidR="00AA5EDC" w:rsidRPr="00AA5EDC" w:rsidRDefault="00B06801" w:rsidP="00AA5EDC">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i/>
          <w:iCs/>
          <w:sz w:val="16"/>
          <w:szCs w:val="16"/>
        </w:rPr>
        <w:t>Chronic Kidney</w:t>
      </w:r>
      <w:r w:rsidR="00237CD7">
        <w:rPr>
          <w:rFonts w:ascii="Arial" w:eastAsia="Times New Roman" w:hAnsi="Arial" w:cs="Arial"/>
          <w:bCs/>
          <w:i/>
          <w:iCs/>
          <w:sz w:val="16"/>
          <w:szCs w:val="16"/>
        </w:rPr>
        <w:t xml:space="preserve"> </w:t>
      </w:r>
      <w:r>
        <w:rPr>
          <w:rFonts w:ascii="Arial" w:eastAsia="Times New Roman" w:hAnsi="Arial" w:cs="Arial"/>
          <w:bCs/>
          <w:i/>
          <w:iCs/>
          <w:sz w:val="16"/>
          <w:szCs w:val="16"/>
        </w:rPr>
        <w:t>Disease: assessment and management</w:t>
      </w:r>
      <w:r w:rsidR="00237CD7">
        <w:rPr>
          <w:rFonts w:ascii="Arial" w:eastAsia="Times New Roman" w:hAnsi="Arial" w:cs="Arial"/>
          <w:bCs/>
          <w:i/>
          <w:iCs/>
          <w:sz w:val="16"/>
          <w:szCs w:val="16"/>
        </w:rPr>
        <w:t xml:space="preserve">; </w:t>
      </w:r>
      <w:r>
        <w:rPr>
          <w:rFonts w:ascii="Arial" w:eastAsia="Times New Roman" w:hAnsi="Arial" w:cs="Arial"/>
          <w:bCs/>
          <w:i/>
          <w:iCs/>
          <w:sz w:val="16"/>
          <w:szCs w:val="16"/>
        </w:rPr>
        <w:t>.</w:t>
      </w:r>
      <w:r w:rsidR="00AA5EDC" w:rsidRPr="00AA5EDC">
        <w:rPr>
          <w:rFonts w:ascii="Arial" w:eastAsia="Times New Roman" w:hAnsi="Arial" w:cs="Arial"/>
          <w:bCs/>
          <w:i/>
          <w:iCs/>
          <w:sz w:val="16"/>
          <w:szCs w:val="16"/>
        </w:rPr>
        <w:t xml:space="preserve"> </w:t>
      </w:r>
      <w:r w:rsidR="00237CD7" w:rsidRPr="00237CD7">
        <w:rPr>
          <w:rFonts w:ascii="Arial" w:eastAsia="Times New Roman" w:hAnsi="Arial" w:cs="Arial"/>
          <w:bCs/>
          <w:i/>
          <w:iCs/>
          <w:sz w:val="16"/>
          <w:szCs w:val="16"/>
        </w:rPr>
        <w:t>assessment and management; NICE guideline 203</w:t>
      </w:r>
      <w:r w:rsidR="00237CD7">
        <w:rPr>
          <w:rFonts w:ascii="Arial" w:eastAsia="Times New Roman" w:hAnsi="Arial" w:cs="Arial"/>
          <w:bCs/>
          <w:i/>
          <w:iCs/>
          <w:sz w:val="16"/>
          <w:szCs w:val="16"/>
        </w:rPr>
        <w:t xml:space="preserve"> </w:t>
      </w:r>
      <w:hyperlink r:id="rId21" w:history="1">
        <w:r w:rsidR="00237CD7" w:rsidRPr="00376621">
          <w:rPr>
            <w:rStyle w:val="Hyperlink"/>
            <w:rFonts w:ascii="Arial" w:eastAsia="Times New Roman" w:hAnsi="Arial" w:cs="Arial"/>
            <w:bCs/>
            <w:i/>
            <w:iCs/>
            <w:sz w:val="16"/>
            <w:szCs w:val="16"/>
          </w:rPr>
          <w:t>https://www.nice.org.uk/guidance/ng203</w:t>
        </w:r>
      </w:hyperlink>
      <w:r w:rsidR="00237CD7" w:rsidRPr="00237CD7">
        <w:rPr>
          <w:rFonts w:ascii="Arial" w:eastAsia="Times New Roman" w:hAnsi="Arial" w:cs="Arial"/>
          <w:bCs/>
          <w:i/>
          <w:iCs/>
          <w:sz w:val="16"/>
          <w:szCs w:val="16"/>
        </w:rPr>
        <w:t xml:space="preserve"> (accessed October 2023</w:t>
      </w:r>
    </w:p>
    <w:p w14:paraId="08CCFE86" w14:textId="0EA72796" w:rsidR="00A14C22"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bCs/>
          <w:sz w:val="16"/>
          <w:szCs w:val="16"/>
        </w:rPr>
      </w:pPr>
      <w:r>
        <w:rPr>
          <w:rFonts w:ascii="Arial" w:eastAsia="Times New Roman" w:hAnsi="Arial" w:cs="Arial"/>
          <w:bCs/>
          <w:sz w:val="16"/>
          <w:szCs w:val="16"/>
        </w:rPr>
        <w:t>KDIGO 201</w:t>
      </w:r>
      <w:r w:rsidR="00E14CE0">
        <w:rPr>
          <w:rFonts w:ascii="Arial" w:eastAsia="Times New Roman" w:hAnsi="Arial" w:cs="Arial"/>
          <w:bCs/>
          <w:sz w:val="16"/>
          <w:szCs w:val="16"/>
        </w:rPr>
        <w:t>7</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Clinical Practice Guideline for the Diagnosis, Evaluation, Prevention, and Treatment of Chronic Kidney Disease-Mineral and Bone Disorder (CKD-MBD). </w:t>
      </w:r>
      <w:r w:rsidRPr="00AA5EDC">
        <w:rPr>
          <w:rFonts w:ascii="Arial" w:eastAsia="Times New Roman" w:hAnsi="Arial" w:cs="Arial"/>
          <w:bCs/>
          <w:sz w:val="16"/>
          <w:szCs w:val="16"/>
        </w:rPr>
        <w:t xml:space="preserve">Official journal of the international society </w:t>
      </w:r>
      <w:r>
        <w:rPr>
          <w:rFonts w:ascii="Arial" w:eastAsia="Times New Roman" w:hAnsi="Arial" w:cs="Arial"/>
          <w:bCs/>
          <w:sz w:val="16"/>
          <w:szCs w:val="16"/>
        </w:rPr>
        <w:t>of nephrology Volume 7 Issue 1: July  2017</w:t>
      </w:r>
      <w:r w:rsidRPr="00AA5EDC">
        <w:rPr>
          <w:rFonts w:ascii="Arial" w:eastAsia="Times New Roman" w:hAnsi="Arial" w:cs="Arial"/>
          <w:bCs/>
          <w:sz w:val="16"/>
          <w:szCs w:val="16"/>
        </w:rPr>
        <w:t xml:space="preserve"> </w:t>
      </w:r>
    </w:p>
    <w:p w14:paraId="20C80DE2" w14:textId="3DA66C99" w:rsidR="00237CD7" w:rsidRDefault="00237CD7">
      <w:pPr>
        <w:rPr>
          <w:rFonts w:ascii="Arial" w:hAnsi="Arial" w:cs="Arial"/>
          <w:b/>
          <w:sz w:val="28"/>
          <w:u w:val="single"/>
        </w:rPr>
      </w:pPr>
      <w:r>
        <w:rPr>
          <w:rFonts w:ascii="Arial" w:hAnsi="Arial" w:cs="Arial"/>
          <w:b/>
          <w:sz w:val="28"/>
          <w:u w:val="single"/>
        </w:rPr>
        <w:br w:type="page"/>
      </w: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626"/>
      </w:tblGrid>
      <w:tr w:rsidR="00725343" w:rsidRPr="006F4129" w14:paraId="0D4AB150" w14:textId="77777777" w:rsidTr="006732C5">
        <w:tc>
          <w:tcPr>
            <w:tcW w:w="3148"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7626" w:type="dxa"/>
            <w:shd w:val="clear" w:color="auto" w:fill="auto"/>
          </w:tcPr>
          <w:p w14:paraId="5EF23791" w14:textId="727B12F7" w:rsidR="00725343" w:rsidRPr="006F4129" w:rsidRDefault="00AA5EDC" w:rsidP="002D134E">
            <w:pPr>
              <w:autoSpaceDE w:val="0"/>
              <w:autoSpaceDN w:val="0"/>
              <w:spacing w:after="0" w:line="240" w:lineRule="auto"/>
              <w:rPr>
                <w:rFonts w:ascii="Arial" w:eastAsia="Times New Roman" w:hAnsi="Arial" w:cs="Arial"/>
                <w:sz w:val="20"/>
                <w:szCs w:val="20"/>
                <w:lang w:val="en-US"/>
              </w:rPr>
            </w:pPr>
            <w:r w:rsidRPr="00AA5EDC">
              <w:rPr>
                <w:rFonts w:ascii="Arial" w:eastAsia="Times New Roman" w:hAnsi="Arial" w:cs="Arial"/>
                <w:sz w:val="20"/>
                <w:szCs w:val="20"/>
                <w:lang w:val="en-US"/>
              </w:rPr>
              <w:t xml:space="preserve">Use of Oral </w:t>
            </w:r>
            <w:r w:rsidR="002D134E">
              <w:rPr>
                <w:rFonts w:ascii="Arial" w:eastAsia="Times New Roman" w:hAnsi="Arial" w:cs="Arial"/>
                <w:sz w:val="20"/>
                <w:szCs w:val="20"/>
                <w:lang w:val="en-US"/>
              </w:rPr>
              <w:t>Sucroferric Oxyhydroxide</w:t>
            </w:r>
            <w:r>
              <w:rPr>
                <w:rFonts w:ascii="Arial" w:eastAsia="Times New Roman" w:hAnsi="Arial" w:cs="Arial"/>
                <w:sz w:val="20"/>
                <w:szCs w:val="20"/>
                <w:lang w:val="en-US"/>
              </w:rPr>
              <w:t xml:space="preserve"> for Hyperphosphataemia in Adult</w:t>
            </w:r>
            <w:r w:rsidRPr="00AA5EDC">
              <w:rPr>
                <w:rFonts w:ascii="Arial" w:eastAsia="Times New Roman" w:hAnsi="Arial" w:cs="Arial"/>
                <w:sz w:val="20"/>
                <w:szCs w:val="20"/>
                <w:lang w:val="en-US"/>
              </w:rPr>
              <w:t xml:space="preserve"> Patients with </w:t>
            </w:r>
            <w:r w:rsidR="002C1EC8" w:rsidRPr="002C1EC8">
              <w:rPr>
                <w:rFonts w:ascii="Arial" w:eastAsia="Times New Roman" w:hAnsi="Arial" w:cs="Arial"/>
                <w:sz w:val="20"/>
                <w:szCs w:val="20"/>
                <w:lang w:val="en-US"/>
              </w:rPr>
              <w:t>End Stage Renal Failure requiring Renal Replacement Therapy</w:t>
            </w:r>
          </w:p>
        </w:tc>
      </w:tr>
      <w:tr w:rsidR="00725343" w:rsidRPr="006F4129" w14:paraId="21FE74A1" w14:textId="77777777" w:rsidTr="006732C5">
        <w:tc>
          <w:tcPr>
            <w:tcW w:w="3148"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7626"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6732C5">
        <w:tc>
          <w:tcPr>
            <w:tcW w:w="3148"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7626" w:type="dxa"/>
            <w:shd w:val="clear" w:color="auto" w:fill="auto"/>
          </w:tcPr>
          <w:p w14:paraId="30375212" w14:textId="47E71339" w:rsidR="006732C5" w:rsidRDefault="006732C5"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2.2 Updated in line with new shared care protocol template May 2025</w:t>
            </w:r>
          </w:p>
          <w:p w14:paraId="08A7A104" w14:textId="7380D34E" w:rsidR="00725343" w:rsidRPr="006F4129" w:rsidRDefault="00D61DA9"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2.1 Updated with wording on swallowing difficulties and patient consent to shared care. September 2024</w:t>
            </w:r>
          </w:p>
        </w:tc>
      </w:tr>
      <w:tr w:rsidR="00725343" w:rsidRPr="006F4129" w14:paraId="187F5A99" w14:textId="77777777" w:rsidTr="006732C5">
        <w:tc>
          <w:tcPr>
            <w:tcW w:w="3148"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7626" w:type="dxa"/>
            <w:shd w:val="clear" w:color="auto" w:fill="auto"/>
          </w:tcPr>
          <w:p w14:paraId="4711FF63" w14:textId="20457CCE" w:rsidR="00725343" w:rsidRPr="00A7151B" w:rsidRDefault="00A7151B" w:rsidP="0015736E">
            <w:pPr>
              <w:autoSpaceDE w:val="0"/>
              <w:autoSpaceDN w:val="0"/>
              <w:spacing w:after="0" w:line="240" w:lineRule="auto"/>
              <w:rPr>
                <w:rFonts w:ascii="Arial" w:eastAsia="Times New Roman" w:hAnsi="Arial" w:cs="Arial"/>
                <w:bCs/>
                <w:sz w:val="20"/>
                <w:szCs w:val="20"/>
                <w:lang w:val="en-US"/>
              </w:rPr>
            </w:pPr>
            <w:r w:rsidRPr="00A7151B">
              <w:rPr>
                <w:rFonts w:ascii="Arial" w:eastAsia="Times New Roman" w:hAnsi="Arial" w:cs="Arial"/>
                <w:bCs/>
                <w:sz w:val="20"/>
                <w:szCs w:val="20"/>
                <w:lang w:val="en-US"/>
              </w:rPr>
              <w:t>This shared care guidance will be reviewed upon request in the light of new evidence becoming available</w:t>
            </w:r>
          </w:p>
        </w:tc>
      </w:tr>
      <w:tr w:rsidR="00F7718A" w:rsidRPr="006F4129" w14:paraId="76E95ABF" w14:textId="77777777" w:rsidTr="006732C5">
        <w:tc>
          <w:tcPr>
            <w:tcW w:w="3148" w:type="dxa"/>
            <w:shd w:val="clear" w:color="auto" w:fill="auto"/>
          </w:tcPr>
          <w:p w14:paraId="016F01ED" w14:textId="36817ABC" w:rsidR="00F7718A" w:rsidRPr="006F4129" w:rsidRDefault="00F7718A" w:rsidP="00F7718A">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7626" w:type="dxa"/>
            <w:shd w:val="clear" w:color="auto" w:fill="auto"/>
          </w:tcPr>
          <w:p w14:paraId="1AA995ED" w14:textId="204E5DD5" w:rsidR="00F7718A" w:rsidRPr="00A7151B" w:rsidRDefault="00F7718A" w:rsidP="00F7718A">
            <w:pPr>
              <w:autoSpaceDE w:val="0"/>
              <w:autoSpaceDN w:val="0"/>
              <w:spacing w:after="0" w:line="240" w:lineRule="auto"/>
              <w:rPr>
                <w:rFonts w:ascii="Arial" w:eastAsia="Times New Roman" w:hAnsi="Arial" w:cs="Arial"/>
                <w:bCs/>
                <w:sz w:val="20"/>
                <w:szCs w:val="20"/>
                <w:lang w:val="en-US"/>
              </w:rPr>
            </w:pPr>
            <w:r w:rsidRPr="00EB6D9B">
              <w:rPr>
                <w:rFonts w:ascii="Arial" w:eastAsia="Times New Roman" w:hAnsi="Arial" w:cs="Arial"/>
                <w:sz w:val="20"/>
                <w:szCs w:val="20"/>
                <w:lang w:val="en-US"/>
              </w:rPr>
              <w:t>N/A</w:t>
            </w:r>
          </w:p>
        </w:tc>
      </w:tr>
      <w:tr w:rsidR="00725343" w:rsidRPr="006F4129" w14:paraId="30FD8E6D" w14:textId="77777777" w:rsidTr="006732C5">
        <w:tc>
          <w:tcPr>
            <w:tcW w:w="3148"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7626"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A7151B" w:rsidRPr="006F4129" w14:paraId="561924B4" w14:textId="77777777" w:rsidTr="006732C5">
        <w:tc>
          <w:tcPr>
            <w:tcW w:w="3148" w:type="dxa"/>
            <w:shd w:val="clear" w:color="auto" w:fill="auto"/>
          </w:tcPr>
          <w:p w14:paraId="0A4DCA50" w14:textId="76D82175" w:rsidR="00A7151B" w:rsidRPr="006F4129" w:rsidRDefault="00A7151B" w:rsidP="00A7151B">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w:t>
            </w:r>
          </w:p>
        </w:tc>
        <w:tc>
          <w:tcPr>
            <w:tcW w:w="7626" w:type="dxa"/>
            <w:shd w:val="clear" w:color="auto" w:fill="auto"/>
          </w:tcPr>
          <w:p w14:paraId="655702F4" w14:textId="27443E18"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 xml:space="preserve">To be noted at East and North Hertfordshire NHS Trust Therapeutics Policy Committee </w:t>
            </w:r>
          </w:p>
        </w:tc>
      </w:tr>
      <w:tr w:rsidR="00A7151B" w:rsidRPr="006F4129" w14:paraId="0870FA9D" w14:textId="77777777" w:rsidTr="006732C5">
        <w:tc>
          <w:tcPr>
            <w:tcW w:w="3148" w:type="dxa"/>
            <w:shd w:val="clear" w:color="auto" w:fill="auto"/>
          </w:tcPr>
          <w:p w14:paraId="1DA1F3F8" w14:textId="32C60A04" w:rsidR="00A7151B" w:rsidRPr="006F4129" w:rsidRDefault="0071064B" w:rsidP="00A7151B">
            <w:pPr>
              <w:autoSpaceDE w:val="0"/>
              <w:autoSpaceDN w:val="0"/>
              <w:spacing w:after="0" w:line="240" w:lineRule="auto"/>
              <w:rPr>
                <w:rFonts w:ascii="Arial" w:eastAsia="Times New Roman" w:hAnsi="Arial" w:cs="Arial"/>
                <w:sz w:val="20"/>
                <w:szCs w:val="20"/>
                <w:lang w:val="en-US"/>
              </w:rPr>
            </w:pPr>
            <w:r w:rsidRPr="0071064B">
              <w:rPr>
                <w:rFonts w:ascii="Arial" w:eastAsia="Times New Roman" w:hAnsi="Arial" w:cs="Arial"/>
                <w:sz w:val="20"/>
                <w:szCs w:val="20"/>
                <w:lang w:val="en-US"/>
              </w:rPr>
              <w:t>Hertfordshire and West Essex area prescribing committee</w:t>
            </w:r>
          </w:p>
        </w:tc>
        <w:tc>
          <w:tcPr>
            <w:tcW w:w="7626" w:type="dxa"/>
            <w:shd w:val="clear" w:color="auto" w:fill="auto"/>
          </w:tcPr>
          <w:p w14:paraId="69193E1E" w14:textId="586A6ACB"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71064B">
              <w:rPr>
                <w:rFonts w:ascii="Arial" w:hAnsi="Arial" w:cs="Arial"/>
                <w:sz w:val="20"/>
                <w:szCs w:val="20"/>
              </w:rPr>
              <w:t>November 2023</w:t>
            </w:r>
          </w:p>
        </w:tc>
      </w:tr>
      <w:tr w:rsidR="00A7151B" w:rsidRPr="006F4129" w14:paraId="6B10C8CB" w14:textId="77777777" w:rsidTr="006732C5">
        <w:tc>
          <w:tcPr>
            <w:tcW w:w="3148" w:type="dxa"/>
            <w:shd w:val="clear" w:color="auto" w:fill="auto"/>
          </w:tcPr>
          <w:p w14:paraId="714B1A38" w14:textId="77777777" w:rsidR="00A7151B" w:rsidRPr="006F4129" w:rsidRDefault="00A7151B" w:rsidP="00A7151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7626" w:type="dxa"/>
            <w:shd w:val="clear" w:color="auto" w:fill="auto"/>
          </w:tcPr>
          <w:p w14:paraId="6939D798" w14:textId="79A07103"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 xml:space="preserve">East and North Hertfordshire NHS Trust Pharmacy department and relevant specialisms supported by HWE ICB Pharmacy and Medicines Optimisation Team </w:t>
            </w:r>
          </w:p>
        </w:tc>
      </w:tr>
      <w:tr w:rsidR="00A7151B" w:rsidRPr="006F4129" w14:paraId="6576E270" w14:textId="77777777" w:rsidTr="006732C5">
        <w:tc>
          <w:tcPr>
            <w:tcW w:w="3148" w:type="dxa"/>
            <w:shd w:val="clear" w:color="auto" w:fill="auto"/>
          </w:tcPr>
          <w:p w14:paraId="7DF40722" w14:textId="77777777" w:rsidR="00A7151B" w:rsidRPr="006F4129" w:rsidRDefault="00A7151B" w:rsidP="00A7151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7626" w:type="dxa"/>
            <w:shd w:val="clear" w:color="auto" w:fill="auto"/>
          </w:tcPr>
          <w:p w14:paraId="15C29911" w14:textId="2D3688A8" w:rsidR="00A7151B" w:rsidRPr="00A7151B" w:rsidRDefault="00A7151B" w:rsidP="00A7151B">
            <w:pPr>
              <w:autoSpaceDE w:val="0"/>
              <w:autoSpaceDN w:val="0"/>
              <w:spacing w:after="0" w:line="240" w:lineRule="auto"/>
              <w:rPr>
                <w:rFonts w:ascii="Arial" w:eastAsia="Times New Roman" w:hAnsi="Arial" w:cs="Arial"/>
                <w:sz w:val="20"/>
                <w:szCs w:val="20"/>
                <w:lang w:val="en-US"/>
              </w:rPr>
            </w:pPr>
            <w:r w:rsidRPr="00A7151B">
              <w:rPr>
                <w:rFonts w:ascii="Arial" w:hAnsi="Arial" w:cs="Arial"/>
                <w:sz w:val="20"/>
                <w:szCs w:val="20"/>
              </w:rPr>
              <w:t>East and North Hertfordshire NHS Trust Pharmacy department and relevant specialisms supported by 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2"/>
      <w:footerReference w:type="default" r:id="rId23"/>
      <w:headerReference w:type="first" r:id="rId24"/>
      <w:footerReference w:type="first" r:id="rId25"/>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4B0C" w14:textId="77777777" w:rsidR="00751020" w:rsidRDefault="00751020" w:rsidP="006F4129">
      <w:pPr>
        <w:spacing w:after="0" w:line="240" w:lineRule="auto"/>
      </w:pPr>
      <w:r>
        <w:separator/>
      </w:r>
    </w:p>
  </w:endnote>
  <w:endnote w:type="continuationSeparator" w:id="0">
    <w:p w14:paraId="108107B4" w14:textId="77777777" w:rsidR="00751020" w:rsidRDefault="00751020"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83EA052" w:rsidR="003A543A" w:rsidRPr="00F322A8" w:rsidRDefault="006732C5">
    <w:pPr>
      <w:pStyle w:val="Footer"/>
      <w:rPr>
        <w:rFonts w:ascii="Arial" w:eastAsia="Times New Roman" w:hAnsi="Arial" w:cs="Times New Roman"/>
        <w:b/>
        <w:bCs/>
        <w:sz w:val="16"/>
        <w:szCs w:val="28"/>
      </w:rPr>
    </w:pPr>
    <w:r>
      <w:rPr>
        <w:rFonts w:ascii="Arial" w:eastAsia="Times New Roman" w:hAnsi="Arial" w:cs="Times New Roman"/>
        <w:b/>
        <w:bCs/>
        <w:sz w:val="16"/>
        <w:szCs w:val="28"/>
      </w:rPr>
      <w:t>Sucroferric Oxyhydroxide</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d Care Protocol May 2025 version 2.2</w:t>
    </w:r>
    <w:r w:rsidR="003A543A" w:rsidRPr="001A6B58">
      <w:rPr>
        <w:rFonts w:ascii="Arial" w:hAnsi="Arial" w:cs="Arial"/>
        <w:sz w:val="16"/>
      </w:rPr>
      <w:tab/>
    </w:r>
    <w:r w:rsidR="003A543A" w:rsidRPr="001A6B58">
      <w:rPr>
        <w:rStyle w:val="PageNumber"/>
        <w:rFonts w:ascii="Arial" w:hAnsi="Arial" w:cs="Arial"/>
        <w:sz w:val="16"/>
      </w:rPr>
      <w:fldChar w:fldCharType="begin"/>
    </w:r>
    <w:r w:rsidR="003A543A" w:rsidRPr="001A6B58">
      <w:rPr>
        <w:rStyle w:val="PageNumber"/>
        <w:rFonts w:ascii="Arial" w:hAnsi="Arial" w:cs="Arial"/>
        <w:sz w:val="16"/>
      </w:rPr>
      <w:instrText xml:space="preserve"> PAGE </w:instrText>
    </w:r>
    <w:r w:rsidR="003A543A" w:rsidRPr="001A6B58">
      <w:rPr>
        <w:rStyle w:val="PageNumber"/>
        <w:rFonts w:ascii="Arial" w:hAnsi="Arial" w:cs="Arial"/>
        <w:sz w:val="16"/>
      </w:rPr>
      <w:fldChar w:fldCharType="separate"/>
    </w:r>
    <w:r w:rsidR="00B06801">
      <w:rPr>
        <w:rStyle w:val="PageNumber"/>
        <w:rFonts w:ascii="Arial" w:hAnsi="Arial" w:cs="Arial"/>
        <w:noProof/>
        <w:sz w:val="16"/>
      </w:rPr>
      <w:t>8</w:t>
    </w:r>
    <w:r w:rsidR="003A543A" w:rsidRPr="001A6B58">
      <w:rPr>
        <w:rStyle w:val="PageNumber"/>
        <w:rFonts w:ascii="Arial" w:hAnsi="Arial" w:cs="Arial"/>
        <w:sz w:val="16"/>
      </w:rPr>
      <w:fldChar w:fldCharType="end"/>
    </w:r>
    <w:r w:rsidR="003A543A" w:rsidRPr="001A6B58">
      <w:rPr>
        <w:rStyle w:val="PageNumber"/>
        <w:rFonts w:ascii="Arial" w:hAnsi="Arial" w:cs="Arial"/>
        <w:sz w:val="16"/>
      </w:rPr>
      <w:t xml:space="preserve"> of </w:t>
    </w:r>
    <w:r w:rsidR="003A543A" w:rsidRPr="001A6B58">
      <w:rPr>
        <w:rStyle w:val="PageNumber"/>
        <w:rFonts w:ascii="Arial" w:hAnsi="Arial" w:cs="Arial"/>
        <w:sz w:val="16"/>
        <w:szCs w:val="20"/>
      </w:rPr>
      <w:fldChar w:fldCharType="begin"/>
    </w:r>
    <w:r w:rsidR="003A543A" w:rsidRPr="001A6B58">
      <w:rPr>
        <w:rStyle w:val="PageNumber"/>
        <w:rFonts w:ascii="Arial" w:hAnsi="Arial" w:cs="Arial"/>
        <w:sz w:val="16"/>
        <w:szCs w:val="20"/>
      </w:rPr>
      <w:instrText xml:space="preserve"> NUMPAGES </w:instrText>
    </w:r>
    <w:r w:rsidR="003A543A" w:rsidRPr="001A6B58">
      <w:rPr>
        <w:rStyle w:val="PageNumber"/>
        <w:rFonts w:ascii="Arial" w:hAnsi="Arial" w:cs="Arial"/>
        <w:sz w:val="16"/>
        <w:szCs w:val="20"/>
      </w:rPr>
      <w:fldChar w:fldCharType="separate"/>
    </w:r>
    <w:r w:rsidR="00B06801">
      <w:rPr>
        <w:rStyle w:val="PageNumber"/>
        <w:rFonts w:ascii="Arial" w:hAnsi="Arial" w:cs="Arial"/>
        <w:noProof/>
        <w:sz w:val="16"/>
        <w:szCs w:val="20"/>
      </w:rPr>
      <w:t>8</w:t>
    </w:r>
    <w:r w:rsidR="003A543A"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46D56F1F" w:rsidR="003A543A" w:rsidRDefault="002A0840"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Sucroferric Oxyhydroxide</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 xml:space="preserve">d Care Protocol </w:t>
    </w:r>
    <w:r w:rsidR="006732C5">
      <w:rPr>
        <w:rFonts w:ascii="Arial" w:eastAsia="Times New Roman" w:hAnsi="Arial" w:cs="Times New Roman"/>
        <w:b/>
        <w:bCs/>
        <w:sz w:val="16"/>
        <w:szCs w:val="28"/>
      </w:rPr>
      <w:t>May 2025</w:t>
    </w:r>
    <w:r>
      <w:rPr>
        <w:rFonts w:ascii="Arial" w:eastAsia="Times New Roman" w:hAnsi="Arial" w:cs="Times New Roman"/>
        <w:b/>
        <w:bCs/>
        <w:sz w:val="16"/>
        <w:szCs w:val="28"/>
      </w:rPr>
      <w:t xml:space="preserve"> version 2</w:t>
    </w:r>
    <w:r w:rsidR="00D61DA9">
      <w:rPr>
        <w:rFonts w:ascii="Arial" w:eastAsia="Times New Roman" w:hAnsi="Arial" w:cs="Times New Roman"/>
        <w:b/>
        <w:bCs/>
        <w:sz w:val="16"/>
        <w:szCs w:val="28"/>
      </w:rPr>
      <w:t>.</w:t>
    </w:r>
    <w:r w:rsidR="006732C5">
      <w:rPr>
        <w:rFonts w:ascii="Arial" w:eastAsia="Times New Roman" w:hAnsi="Arial" w:cs="Times New Roman"/>
        <w:b/>
        <w:bCs/>
        <w:sz w:val="16"/>
        <w:szCs w:val="28"/>
      </w:rPr>
      <w:t>2</w:t>
    </w:r>
    <w:r w:rsidR="003A543A">
      <w:rPr>
        <w:rFonts w:cs="Arial"/>
        <w:sz w:val="20"/>
      </w:rPr>
      <w:tab/>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PAGE </w:instrText>
    </w:r>
    <w:r w:rsidR="003A543A" w:rsidRPr="001A6B58">
      <w:rPr>
        <w:rStyle w:val="PageNumber"/>
        <w:rFonts w:ascii="Arial" w:hAnsi="Arial" w:cs="Arial"/>
        <w:sz w:val="16"/>
        <w:szCs w:val="16"/>
      </w:rPr>
      <w:fldChar w:fldCharType="separate"/>
    </w:r>
    <w:r w:rsidR="00B06801">
      <w:rPr>
        <w:rStyle w:val="PageNumber"/>
        <w:rFonts w:ascii="Arial" w:hAnsi="Arial" w:cs="Arial"/>
        <w:noProof/>
        <w:sz w:val="16"/>
        <w:szCs w:val="16"/>
      </w:rPr>
      <w:t>1</w:t>
    </w:r>
    <w:r w:rsidR="003A543A" w:rsidRPr="001A6B58">
      <w:rPr>
        <w:rStyle w:val="PageNumber"/>
        <w:rFonts w:ascii="Arial" w:hAnsi="Arial" w:cs="Arial"/>
        <w:sz w:val="16"/>
        <w:szCs w:val="16"/>
      </w:rPr>
      <w:fldChar w:fldCharType="end"/>
    </w:r>
    <w:r w:rsidR="003A543A" w:rsidRPr="001A6B58">
      <w:rPr>
        <w:rStyle w:val="PageNumber"/>
        <w:rFonts w:ascii="Arial" w:hAnsi="Arial" w:cs="Arial"/>
        <w:sz w:val="16"/>
        <w:szCs w:val="16"/>
      </w:rPr>
      <w:t xml:space="preserve"> of </w:t>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NUMPAGES </w:instrText>
    </w:r>
    <w:r w:rsidR="003A543A" w:rsidRPr="001A6B58">
      <w:rPr>
        <w:rStyle w:val="PageNumber"/>
        <w:rFonts w:ascii="Arial" w:hAnsi="Arial" w:cs="Arial"/>
        <w:sz w:val="16"/>
        <w:szCs w:val="16"/>
      </w:rPr>
      <w:fldChar w:fldCharType="separate"/>
    </w:r>
    <w:r w:rsidR="00B06801">
      <w:rPr>
        <w:rStyle w:val="PageNumber"/>
        <w:rFonts w:ascii="Arial" w:hAnsi="Arial" w:cs="Arial"/>
        <w:noProof/>
        <w:sz w:val="16"/>
        <w:szCs w:val="16"/>
      </w:rPr>
      <w:t>8</w:t>
    </w:r>
    <w:r w:rsidR="003A543A" w:rsidRPr="001A6B58">
      <w:rPr>
        <w:rStyle w:val="PageNumber"/>
        <w:rFonts w:ascii="Arial" w:hAnsi="Arial" w:cs="Arial"/>
        <w:sz w:val="16"/>
        <w:szCs w:val="16"/>
      </w:rPr>
      <w:fldChar w:fldCharType="end"/>
    </w:r>
    <w:r w:rsidR="003A543A">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D73B" w14:textId="77777777" w:rsidR="00751020" w:rsidRDefault="00751020" w:rsidP="006F4129">
      <w:pPr>
        <w:spacing w:after="0" w:line="240" w:lineRule="auto"/>
      </w:pPr>
      <w:r>
        <w:separator/>
      </w:r>
    </w:p>
  </w:footnote>
  <w:footnote w:type="continuationSeparator" w:id="0">
    <w:p w14:paraId="2DB56B29" w14:textId="77777777" w:rsidR="00751020" w:rsidRDefault="00751020"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3A543A" w:rsidRPr="00004CD4" w:rsidRDefault="003A543A" w:rsidP="00F322A8">
    <w:pPr>
      <w:tabs>
        <w:tab w:val="left" w:pos="1170"/>
        <w:tab w:val="right" w:pos="83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66D5" w14:textId="1C78E7B2" w:rsidR="00BA4929" w:rsidRDefault="00BA4929" w:rsidP="00BA4929">
    <w:pPr>
      <w:pStyle w:val="Header"/>
    </w:pPr>
    <w:r w:rsidRPr="00BA4929">
      <w:rPr>
        <w:noProof/>
      </w:rPr>
      <w:drawing>
        <wp:inline distT="0" distB="0" distL="0" distR="0" wp14:anchorId="7E49C2B7" wp14:editId="60567878">
          <wp:extent cx="6646545" cy="40703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6545" cy="407035"/>
                  </a:xfrm>
                  <a:prstGeom prst="rect">
                    <a:avLst/>
                  </a:prstGeom>
                  <a:noFill/>
                  <a:ln>
                    <a:noFill/>
                  </a:ln>
                </pic:spPr>
              </pic:pic>
            </a:graphicData>
          </a:graphic>
        </wp:inline>
      </w:drawing>
    </w:r>
  </w:p>
  <w:p w14:paraId="2E0073D0" w14:textId="0FC05FBA" w:rsidR="00BA4929" w:rsidRPr="00BA4929" w:rsidRDefault="00BA4929" w:rsidP="00BA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730F2"/>
    <w:multiLevelType w:val="hybridMultilevel"/>
    <w:tmpl w:val="61BCF0CC"/>
    <w:lvl w:ilvl="0" w:tplc="25C45230">
      <w:start w:val="6"/>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4062630C"/>
    <w:lvl w:ilvl="0" w:tplc="08090001">
      <w:start w:val="1"/>
      <w:numFmt w:val="bullet"/>
      <w:lvlText w:val=""/>
      <w:lvlJc w:val="left"/>
      <w:pPr>
        <w:ind w:left="360" w:hanging="360"/>
      </w:pPr>
      <w:rPr>
        <w:rFonts w:ascii="Symbol" w:hAnsi="Symbol" w:hint="default"/>
      </w:rPr>
    </w:lvl>
    <w:lvl w:ilvl="1" w:tplc="4F6A082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99CA4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64082128">
    <w:abstractNumId w:val="14"/>
  </w:num>
  <w:num w:numId="2" w16cid:durableId="1096444735">
    <w:abstractNumId w:val="21"/>
  </w:num>
  <w:num w:numId="3" w16cid:durableId="1148209266">
    <w:abstractNumId w:val="27"/>
  </w:num>
  <w:num w:numId="4" w16cid:durableId="250938528">
    <w:abstractNumId w:val="24"/>
  </w:num>
  <w:num w:numId="5" w16cid:durableId="301739132">
    <w:abstractNumId w:val="7"/>
  </w:num>
  <w:num w:numId="6" w16cid:durableId="1276524319">
    <w:abstractNumId w:val="5"/>
  </w:num>
  <w:num w:numId="7" w16cid:durableId="167328723">
    <w:abstractNumId w:val="0"/>
  </w:num>
  <w:num w:numId="8" w16cid:durableId="2063288728">
    <w:abstractNumId w:val="2"/>
  </w:num>
  <w:num w:numId="9" w16cid:durableId="758870611">
    <w:abstractNumId w:val="3"/>
  </w:num>
  <w:num w:numId="10" w16cid:durableId="1377926565">
    <w:abstractNumId w:val="34"/>
  </w:num>
  <w:num w:numId="11" w16cid:durableId="1366909176">
    <w:abstractNumId w:val="37"/>
  </w:num>
  <w:num w:numId="12" w16cid:durableId="1460802345">
    <w:abstractNumId w:val="22"/>
  </w:num>
  <w:num w:numId="13" w16cid:durableId="1308824093">
    <w:abstractNumId w:val="26"/>
  </w:num>
  <w:num w:numId="14" w16cid:durableId="98186227">
    <w:abstractNumId w:val="8"/>
  </w:num>
  <w:num w:numId="15" w16cid:durableId="186411707">
    <w:abstractNumId w:val="1"/>
  </w:num>
  <w:num w:numId="16" w16cid:durableId="959265985">
    <w:abstractNumId w:val="40"/>
  </w:num>
  <w:num w:numId="17" w16cid:durableId="1129125875">
    <w:abstractNumId w:val="19"/>
  </w:num>
  <w:num w:numId="18" w16cid:durableId="661738547">
    <w:abstractNumId w:val="17"/>
  </w:num>
  <w:num w:numId="19" w16cid:durableId="1045182151">
    <w:abstractNumId w:val="28"/>
  </w:num>
  <w:num w:numId="20" w16cid:durableId="2019770141">
    <w:abstractNumId w:val="29"/>
  </w:num>
  <w:num w:numId="21" w16cid:durableId="1619331562">
    <w:abstractNumId w:val="38"/>
  </w:num>
  <w:num w:numId="22" w16cid:durableId="1645233914">
    <w:abstractNumId w:val="41"/>
  </w:num>
  <w:num w:numId="23" w16cid:durableId="1754231179">
    <w:abstractNumId w:val="6"/>
  </w:num>
  <w:num w:numId="24" w16cid:durableId="802776781">
    <w:abstractNumId w:val="36"/>
  </w:num>
  <w:num w:numId="25" w16cid:durableId="1510292256">
    <w:abstractNumId w:val="11"/>
  </w:num>
  <w:num w:numId="26" w16cid:durableId="1495880925">
    <w:abstractNumId w:val="33"/>
  </w:num>
  <w:num w:numId="27" w16cid:durableId="551891776">
    <w:abstractNumId w:val="39"/>
  </w:num>
  <w:num w:numId="28" w16cid:durableId="1954704647">
    <w:abstractNumId w:val="15"/>
  </w:num>
  <w:num w:numId="29" w16cid:durableId="118577669">
    <w:abstractNumId w:val="31"/>
  </w:num>
  <w:num w:numId="30" w16cid:durableId="944733670">
    <w:abstractNumId w:val="18"/>
  </w:num>
  <w:num w:numId="31" w16cid:durableId="1997761211">
    <w:abstractNumId w:val="30"/>
  </w:num>
  <w:num w:numId="32" w16cid:durableId="1125079555">
    <w:abstractNumId w:val="4"/>
  </w:num>
  <w:num w:numId="33" w16cid:durableId="1995715668">
    <w:abstractNumId w:val="16"/>
  </w:num>
  <w:num w:numId="34" w16cid:durableId="774011585">
    <w:abstractNumId w:val="10"/>
  </w:num>
  <w:num w:numId="35" w16cid:durableId="1800680540">
    <w:abstractNumId w:val="35"/>
  </w:num>
  <w:num w:numId="36" w16cid:durableId="1974095416">
    <w:abstractNumId w:val="12"/>
  </w:num>
  <w:num w:numId="37" w16cid:durableId="535895894">
    <w:abstractNumId w:val="13"/>
  </w:num>
  <w:num w:numId="38" w16cid:durableId="712076745">
    <w:abstractNumId w:val="32"/>
  </w:num>
  <w:num w:numId="39" w16cid:durableId="1079445864">
    <w:abstractNumId w:val="25"/>
  </w:num>
  <w:num w:numId="40" w16cid:durableId="25644236">
    <w:abstractNumId w:val="23"/>
  </w:num>
  <w:num w:numId="41" w16cid:durableId="1599868909">
    <w:abstractNumId w:val="20"/>
  </w:num>
  <w:num w:numId="42" w16cid:durableId="1609501670">
    <w:abstractNumId w:val="9"/>
  </w:num>
  <w:num w:numId="43" w16cid:durableId="1931155027">
    <w:abstractNumId w:val="26"/>
  </w:num>
  <w:num w:numId="44" w16cid:durableId="10339663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QsrFGuL+vSS6p8Hr6Snw8dyciMgKJc5i/G526gmqe8BUSWBFomzVu/kUm+kGjO5KLhQMh4cdK1Wt1yAyJMOxEg==" w:salt="6c+KQ3rVLsB3oc5ehd/NMg=="/>
  <w:defaultTabStop w:val="357"/>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1F25"/>
    <w:rsid w:val="00033131"/>
    <w:rsid w:val="000349CF"/>
    <w:rsid w:val="00040BCE"/>
    <w:rsid w:val="0005040E"/>
    <w:rsid w:val="00051449"/>
    <w:rsid w:val="000560D3"/>
    <w:rsid w:val="00061E36"/>
    <w:rsid w:val="000678AD"/>
    <w:rsid w:val="00081B1B"/>
    <w:rsid w:val="000833DA"/>
    <w:rsid w:val="000902EE"/>
    <w:rsid w:val="00090C38"/>
    <w:rsid w:val="00092D23"/>
    <w:rsid w:val="00093558"/>
    <w:rsid w:val="000A3722"/>
    <w:rsid w:val="000A3B52"/>
    <w:rsid w:val="000A4EE1"/>
    <w:rsid w:val="000B70F2"/>
    <w:rsid w:val="000C7F57"/>
    <w:rsid w:val="000D455C"/>
    <w:rsid w:val="000D7991"/>
    <w:rsid w:val="000E1FD2"/>
    <w:rsid w:val="000F0B54"/>
    <w:rsid w:val="00121068"/>
    <w:rsid w:val="00122599"/>
    <w:rsid w:val="001303A1"/>
    <w:rsid w:val="0015736E"/>
    <w:rsid w:val="00173E2E"/>
    <w:rsid w:val="00177F57"/>
    <w:rsid w:val="0018413C"/>
    <w:rsid w:val="001A3040"/>
    <w:rsid w:val="001A6B58"/>
    <w:rsid w:val="001B4F65"/>
    <w:rsid w:val="001B6917"/>
    <w:rsid w:val="001B7240"/>
    <w:rsid w:val="001C72F0"/>
    <w:rsid w:val="001D735A"/>
    <w:rsid w:val="001F779B"/>
    <w:rsid w:val="002006A3"/>
    <w:rsid w:val="002026D4"/>
    <w:rsid w:val="002159E8"/>
    <w:rsid w:val="00216557"/>
    <w:rsid w:val="00237CD7"/>
    <w:rsid w:val="00244697"/>
    <w:rsid w:val="00261A89"/>
    <w:rsid w:val="0026584D"/>
    <w:rsid w:val="00270E56"/>
    <w:rsid w:val="00274684"/>
    <w:rsid w:val="00281A3C"/>
    <w:rsid w:val="002954B6"/>
    <w:rsid w:val="002A009B"/>
    <w:rsid w:val="002A0840"/>
    <w:rsid w:val="002B0C19"/>
    <w:rsid w:val="002C1EC8"/>
    <w:rsid w:val="002C6064"/>
    <w:rsid w:val="002D134E"/>
    <w:rsid w:val="002D2570"/>
    <w:rsid w:val="002D3CB5"/>
    <w:rsid w:val="002E5B12"/>
    <w:rsid w:val="002F0C6D"/>
    <w:rsid w:val="002F2FD0"/>
    <w:rsid w:val="002F4544"/>
    <w:rsid w:val="0030088E"/>
    <w:rsid w:val="0030269A"/>
    <w:rsid w:val="00307D48"/>
    <w:rsid w:val="00311575"/>
    <w:rsid w:val="00314DE0"/>
    <w:rsid w:val="003168DF"/>
    <w:rsid w:val="00324400"/>
    <w:rsid w:val="003268D2"/>
    <w:rsid w:val="003301DF"/>
    <w:rsid w:val="003447C1"/>
    <w:rsid w:val="003452C5"/>
    <w:rsid w:val="003540B3"/>
    <w:rsid w:val="003559D9"/>
    <w:rsid w:val="003711DA"/>
    <w:rsid w:val="00376393"/>
    <w:rsid w:val="003763B3"/>
    <w:rsid w:val="00382843"/>
    <w:rsid w:val="00384379"/>
    <w:rsid w:val="0039285C"/>
    <w:rsid w:val="003A543A"/>
    <w:rsid w:val="003B1FF4"/>
    <w:rsid w:val="003B6537"/>
    <w:rsid w:val="003B7A7A"/>
    <w:rsid w:val="003C40FA"/>
    <w:rsid w:val="003D1B74"/>
    <w:rsid w:val="003D6F3B"/>
    <w:rsid w:val="003F2A47"/>
    <w:rsid w:val="003F3B33"/>
    <w:rsid w:val="004052E9"/>
    <w:rsid w:val="00406BF2"/>
    <w:rsid w:val="00406F84"/>
    <w:rsid w:val="004118FD"/>
    <w:rsid w:val="00420744"/>
    <w:rsid w:val="00442D9B"/>
    <w:rsid w:val="00452F7D"/>
    <w:rsid w:val="00453CB7"/>
    <w:rsid w:val="00454560"/>
    <w:rsid w:val="00455A6A"/>
    <w:rsid w:val="004579C4"/>
    <w:rsid w:val="00473A3C"/>
    <w:rsid w:val="00474C2D"/>
    <w:rsid w:val="004B177D"/>
    <w:rsid w:val="004D0D25"/>
    <w:rsid w:val="004D5DB4"/>
    <w:rsid w:val="00500E2E"/>
    <w:rsid w:val="005026B1"/>
    <w:rsid w:val="0052755D"/>
    <w:rsid w:val="00541195"/>
    <w:rsid w:val="005430C6"/>
    <w:rsid w:val="005476BB"/>
    <w:rsid w:val="005578FA"/>
    <w:rsid w:val="00564F68"/>
    <w:rsid w:val="005736CF"/>
    <w:rsid w:val="0057501A"/>
    <w:rsid w:val="0059041B"/>
    <w:rsid w:val="00593B38"/>
    <w:rsid w:val="005B0497"/>
    <w:rsid w:val="005B6D80"/>
    <w:rsid w:val="005C14C6"/>
    <w:rsid w:val="005C309C"/>
    <w:rsid w:val="005C6D32"/>
    <w:rsid w:val="005C7885"/>
    <w:rsid w:val="005D1B7A"/>
    <w:rsid w:val="005D3C00"/>
    <w:rsid w:val="005D5FCA"/>
    <w:rsid w:val="005E07AE"/>
    <w:rsid w:val="005E176B"/>
    <w:rsid w:val="005E21BE"/>
    <w:rsid w:val="005E3BC7"/>
    <w:rsid w:val="005F4854"/>
    <w:rsid w:val="00603355"/>
    <w:rsid w:val="00603489"/>
    <w:rsid w:val="00605F14"/>
    <w:rsid w:val="00610905"/>
    <w:rsid w:val="00615509"/>
    <w:rsid w:val="00631DFD"/>
    <w:rsid w:val="006370BD"/>
    <w:rsid w:val="00643CDA"/>
    <w:rsid w:val="00655FB4"/>
    <w:rsid w:val="00663031"/>
    <w:rsid w:val="00672B57"/>
    <w:rsid w:val="006732C5"/>
    <w:rsid w:val="00673DDC"/>
    <w:rsid w:val="00682308"/>
    <w:rsid w:val="006828D4"/>
    <w:rsid w:val="00682980"/>
    <w:rsid w:val="006832A6"/>
    <w:rsid w:val="00696C80"/>
    <w:rsid w:val="00697F20"/>
    <w:rsid w:val="006A351A"/>
    <w:rsid w:val="006A5E49"/>
    <w:rsid w:val="006A7081"/>
    <w:rsid w:val="006B440D"/>
    <w:rsid w:val="006C5A53"/>
    <w:rsid w:val="006D2CF8"/>
    <w:rsid w:val="006D79F5"/>
    <w:rsid w:val="006E6822"/>
    <w:rsid w:val="006E7410"/>
    <w:rsid w:val="006F31C8"/>
    <w:rsid w:val="006F4129"/>
    <w:rsid w:val="00707545"/>
    <w:rsid w:val="0071064B"/>
    <w:rsid w:val="00710AA9"/>
    <w:rsid w:val="00712895"/>
    <w:rsid w:val="00723203"/>
    <w:rsid w:val="00725343"/>
    <w:rsid w:val="0073239C"/>
    <w:rsid w:val="00736A43"/>
    <w:rsid w:val="00751020"/>
    <w:rsid w:val="00755258"/>
    <w:rsid w:val="00755AEA"/>
    <w:rsid w:val="007615C2"/>
    <w:rsid w:val="007702B5"/>
    <w:rsid w:val="00773102"/>
    <w:rsid w:val="00780BAF"/>
    <w:rsid w:val="00783422"/>
    <w:rsid w:val="0078393A"/>
    <w:rsid w:val="00785ADF"/>
    <w:rsid w:val="0079154A"/>
    <w:rsid w:val="007B555D"/>
    <w:rsid w:val="007B5CB4"/>
    <w:rsid w:val="007C7176"/>
    <w:rsid w:val="007D492E"/>
    <w:rsid w:val="007E18B8"/>
    <w:rsid w:val="007F05DF"/>
    <w:rsid w:val="00804862"/>
    <w:rsid w:val="0080559F"/>
    <w:rsid w:val="0080613F"/>
    <w:rsid w:val="00814A87"/>
    <w:rsid w:val="00817090"/>
    <w:rsid w:val="00824646"/>
    <w:rsid w:val="00826DEC"/>
    <w:rsid w:val="00832A16"/>
    <w:rsid w:val="00843717"/>
    <w:rsid w:val="00852110"/>
    <w:rsid w:val="008522DD"/>
    <w:rsid w:val="008551E2"/>
    <w:rsid w:val="00870BC7"/>
    <w:rsid w:val="00870EFF"/>
    <w:rsid w:val="0087256F"/>
    <w:rsid w:val="00877DBD"/>
    <w:rsid w:val="00881082"/>
    <w:rsid w:val="008A6329"/>
    <w:rsid w:val="008C0C66"/>
    <w:rsid w:val="008C34F3"/>
    <w:rsid w:val="008C60DC"/>
    <w:rsid w:val="008C60E5"/>
    <w:rsid w:val="008C76D7"/>
    <w:rsid w:val="008D03D1"/>
    <w:rsid w:val="008D03E5"/>
    <w:rsid w:val="008D1EAF"/>
    <w:rsid w:val="008D3443"/>
    <w:rsid w:val="008E51B6"/>
    <w:rsid w:val="008E77E6"/>
    <w:rsid w:val="0091151D"/>
    <w:rsid w:val="009222D8"/>
    <w:rsid w:val="00924742"/>
    <w:rsid w:val="00926B59"/>
    <w:rsid w:val="00941CD1"/>
    <w:rsid w:val="00947492"/>
    <w:rsid w:val="00950AD3"/>
    <w:rsid w:val="009A2881"/>
    <w:rsid w:val="009A6FA9"/>
    <w:rsid w:val="009B4A9B"/>
    <w:rsid w:val="009C023B"/>
    <w:rsid w:val="009C1178"/>
    <w:rsid w:val="009C326B"/>
    <w:rsid w:val="009C4D10"/>
    <w:rsid w:val="009C539F"/>
    <w:rsid w:val="009E62DB"/>
    <w:rsid w:val="009F520F"/>
    <w:rsid w:val="009F77F5"/>
    <w:rsid w:val="00A04208"/>
    <w:rsid w:val="00A0756C"/>
    <w:rsid w:val="00A107A2"/>
    <w:rsid w:val="00A14C22"/>
    <w:rsid w:val="00A15AA3"/>
    <w:rsid w:val="00A228E7"/>
    <w:rsid w:val="00A23128"/>
    <w:rsid w:val="00A25330"/>
    <w:rsid w:val="00A26894"/>
    <w:rsid w:val="00A321E9"/>
    <w:rsid w:val="00A543B5"/>
    <w:rsid w:val="00A62397"/>
    <w:rsid w:val="00A656B7"/>
    <w:rsid w:val="00A7151B"/>
    <w:rsid w:val="00A722F8"/>
    <w:rsid w:val="00A72497"/>
    <w:rsid w:val="00A75101"/>
    <w:rsid w:val="00A77AB0"/>
    <w:rsid w:val="00A80151"/>
    <w:rsid w:val="00A82E66"/>
    <w:rsid w:val="00A9295F"/>
    <w:rsid w:val="00AA442F"/>
    <w:rsid w:val="00AA5EDC"/>
    <w:rsid w:val="00AC2B85"/>
    <w:rsid w:val="00AC724B"/>
    <w:rsid w:val="00AD5982"/>
    <w:rsid w:val="00AD742E"/>
    <w:rsid w:val="00AE2182"/>
    <w:rsid w:val="00AE599B"/>
    <w:rsid w:val="00AF076D"/>
    <w:rsid w:val="00AF6D3E"/>
    <w:rsid w:val="00B06801"/>
    <w:rsid w:val="00B10C94"/>
    <w:rsid w:val="00B11AF0"/>
    <w:rsid w:val="00B1737A"/>
    <w:rsid w:val="00B20D48"/>
    <w:rsid w:val="00B30881"/>
    <w:rsid w:val="00B46031"/>
    <w:rsid w:val="00B51190"/>
    <w:rsid w:val="00B62EE0"/>
    <w:rsid w:val="00B91E12"/>
    <w:rsid w:val="00B920C0"/>
    <w:rsid w:val="00B94E30"/>
    <w:rsid w:val="00BA3B1F"/>
    <w:rsid w:val="00BA4929"/>
    <w:rsid w:val="00BA7759"/>
    <w:rsid w:val="00BB233D"/>
    <w:rsid w:val="00BC0016"/>
    <w:rsid w:val="00BC29E4"/>
    <w:rsid w:val="00BE265A"/>
    <w:rsid w:val="00BE545B"/>
    <w:rsid w:val="00BE6D65"/>
    <w:rsid w:val="00BE7C05"/>
    <w:rsid w:val="00BF055C"/>
    <w:rsid w:val="00BF5868"/>
    <w:rsid w:val="00C024F4"/>
    <w:rsid w:val="00C026A3"/>
    <w:rsid w:val="00C04F2F"/>
    <w:rsid w:val="00C07AEA"/>
    <w:rsid w:val="00C10992"/>
    <w:rsid w:val="00C10F60"/>
    <w:rsid w:val="00C126A4"/>
    <w:rsid w:val="00C17474"/>
    <w:rsid w:val="00C2364E"/>
    <w:rsid w:val="00C27AA3"/>
    <w:rsid w:val="00C3676D"/>
    <w:rsid w:val="00C37C6F"/>
    <w:rsid w:val="00C463EE"/>
    <w:rsid w:val="00C5145D"/>
    <w:rsid w:val="00C5458F"/>
    <w:rsid w:val="00C54D33"/>
    <w:rsid w:val="00C565B6"/>
    <w:rsid w:val="00C63E57"/>
    <w:rsid w:val="00C701DE"/>
    <w:rsid w:val="00C74787"/>
    <w:rsid w:val="00C83EBD"/>
    <w:rsid w:val="00C94857"/>
    <w:rsid w:val="00CA1BB1"/>
    <w:rsid w:val="00CA7A7D"/>
    <w:rsid w:val="00CB0FCF"/>
    <w:rsid w:val="00CB147C"/>
    <w:rsid w:val="00CB2C0C"/>
    <w:rsid w:val="00CC01A3"/>
    <w:rsid w:val="00CC0AC9"/>
    <w:rsid w:val="00CC2A7B"/>
    <w:rsid w:val="00CD1399"/>
    <w:rsid w:val="00CD3BF1"/>
    <w:rsid w:val="00CE407B"/>
    <w:rsid w:val="00CF0020"/>
    <w:rsid w:val="00CF4706"/>
    <w:rsid w:val="00CF7CCC"/>
    <w:rsid w:val="00D029A0"/>
    <w:rsid w:val="00D06903"/>
    <w:rsid w:val="00D161B2"/>
    <w:rsid w:val="00D2652D"/>
    <w:rsid w:val="00D32511"/>
    <w:rsid w:val="00D40180"/>
    <w:rsid w:val="00D43187"/>
    <w:rsid w:val="00D435E7"/>
    <w:rsid w:val="00D50868"/>
    <w:rsid w:val="00D52138"/>
    <w:rsid w:val="00D61DA9"/>
    <w:rsid w:val="00D719FD"/>
    <w:rsid w:val="00D73BA6"/>
    <w:rsid w:val="00D7516C"/>
    <w:rsid w:val="00D763E4"/>
    <w:rsid w:val="00D91D06"/>
    <w:rsid w:val="00D93F71"/>
    <w:rsid w:val="00DC2E68"/>
    <w:rsid w:val="00DD1664"/>
    <w:rsid w:val="00DD4907"/>
    <w:rsid w:val="00E06022"/>
    <w:rsid w:val="00E14CE0"/>
    <w:rsid w:val="00E17AC1"/>
    <w:rsid w:val="00E17CCB"/>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C7BA2"/>
    <w:rsid w:val="00EE4517"/>
    <w:rsid w:val="00EE67FF"/>
    <w:rsid w:val="00EF3E34"/>
    <w:rsid w:val="00EF65C0"/>
    <w:rsid w:val="00F076D6"/>
    <w:rsid w:val="00F12528"/>
    <w:rsid w:val="00F12CB2"/>
    <w:rsid w:val="00F169DA"/>
    <w:rsid w:val="00F2229F"/>
    <w:rsid w:val="00F243D6"/>
    <w:rsid w:val="00F322A8"/>
    <w:rsid w:val="00F32762"/>
    <w:rsid w:val="00F6322C"/>
    <w:rsid w:val="00F675C7"/>
    <w:rsid w:val="00F700A3"/>
    <w:rsid w:val="00F7718A"/>
    <w:rsid w:val="00F85EC9"/>
    <w:rsid w:val="00F976BC"/>
    <w:rsid w:val="00FA3389"/>
    <w:rsid w:val="00FA5965"/>
    <w:rsid w:val="00FB0EA6"/>
    <w:rsid w:val="00FB439A"/>
    <w:rsid w:val="00FB6469"/>
    <w:rsid w:val="00FD6BFE"/>
    <w:rsid w:val="00FE3EAF"/>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375D14"/>
  <w15:docId w15:val="{402B4746-9619-453E-A9C1-CDC70599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237CD7"/>
    <w:rPr>
      <w:color w:val="605E5C"/>
      <w:shd w:val="clear" w:color="auto" w:fill="E1DFDD"/>
    </w:rPr>
  </w:style>
  <w:style w:type="table" w:customStyle="1" w:styleId="TableGrid3">
    <w:name w:val="Table Grid3"/>
    <w:basedOn w:val="TableNormal"/>
    <w:next w:val="TableGrid"/>
    <w:uiPriority w:val="59"/>
    <w:rsid w:val="0067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1337">
      <w:bodyDiv w:val="1"/>
      <w:marLeft w:val="0"/>
      <w:marRight w:val="0"/>
      <w:marTop w:val="0"/>
      <w:marBottom w:val="0"/>
      <w:divBdr>
        <w:top w:val="none" w:sz="0" w:space="0" w:color="auto"/>
        <w:left w:val="none" w:sz="0" w:space="0" w:color="auto"/>
        <w:bottom w:val="none" w:sz="0" w:space="0" w:color="auto"/>
        <w:right w:val="none" w:sz="0" w:space="0" w:color="auto"/>
      </w:divBdr>
    </w:div>
    <w:div w:id="435250557">
      <w:bodyDiv w:val="1"/>
      <w:marLeft w:val="0"/>
      <w:marRight w:val="0"/>
      <w:marTop w:val="0"/>
      <w:marBottom w:val="0"/>
      <w:divBdr>
        <w:top w:val="none" w:sz="0" w:space="0" w:color="auto"/>
        <w:left w:val="none" w:sz="0" w:space="0" w:color="auto"/>
        <w:bottom w:val="none" w:sz="0" w:space="0" w:color="auto"/>
        <w:right w:val="none" w:sz="0" w:space="0" w:color="auto"/>
      </w:divBdr>
    </w:div>
    <w:div w:id="566110564">
      <w:bodyDiv w:val="1"/>
      <w:marLeft w:val="0"/>
      <w:marRight w:val="0"/>
      <w:marTop w:val="0"/>
      <w:marBottom w:val="0"/>
      <w:divBdr>
        <w:top w:val="none" w:sz="0" w:space="0" w:color="auto"/>
        <w:left w:val="none" w:sz="0" w:space="0" w:color="auto"/>
        <w:bottom w:val="none" w:sz="0" w:space="0" w:color="auto"/>
        <w:right w:val="none" w:sz="0" w:space="0" w:color="auto"/>
      </w:divBdr>
    </w:div>
    <w:div w:id="727999931">
      <w:bodyDiv w:val="1"/>
      <w:marLeft w:val="0"/>
      <w:marRight w:val="0"/>
      <w:marTop w:val="0"/>
      <w:marBottom w:val="0"/>
      <w:divBdr>
        <w:top w:val="none" w:sz="0" w:space="0" w:color="auto"/>
        <w:left w:val="none" w:sz="0" w:space="0" w:color="auto"/>
        <w:bottom w:val="none" w:sz="0" w:space="0" w:color="auto"/>
        <w:right w:val="none" w:sz="0" w:space="0" w:color="auto"/>
      </w:divBdr>
    </w:div>
    <w:div w:id="1130902919">
      <w:bodyDiv w:val="1"/>
      <w:marLeft w:val="0"/>
      <w:marRight w:val="0"/>
      <w:marTop w:val="0"/>
      <w:marBottom w:val="0"/>
      <w:divBdr>
        <w:top w:val="none" w:sz="0" w:space="0" w:color="auto"/>
        <w:left w:val="none" w:sz="0" w:space="0" w:color="auto"/>
        <w:bottom w:val="none" w:sz="0" w:space="0" w:color="auto"/>
        <w:right w:val="none" w:sz="0" w:space="0" w:color="auto"/>
      </w:divBdr>
    </w:div>
    <w:div w:id="1307662899">
      <w:bodyDiv w:val="1"/>
      <w:marLeft w:val="0"/>
      <w:marRight w:val="0"/>
      <w:marTop w:val="0"/>
      <w:marBottom w:val="0"/>
      <w:divBdr>
        <w:top w:val="none" w:sz="0" w:space="0" w:color="auto"/>
        <w:left w:val="none" w:sz="0" w:space="0" w:color="auto"/>
        <w:bottom w:val="none" w:sz="0" w:space="0" w:color="auto"/>
        <w:right w:val="none" w:sz="0" w:space="0" w:color="auto"/>
      </w:divBdr>
    </w:div>
    <w:div w:id="1363556038">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ce.org.uk/guidance/ng203"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7" Type="http://schemas.openxmlformats.org/officeDocument/2006/relationships/hyperlink" Target="http://www.bnf.org/bnf/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footer" Target="footer1.xml"/><Relationship Id="rId10" Type="http://schemas.openxmlformats.org/officeDocument/2006/relationships/hyperlink" Target="https://www.medicines.org.uk/emc" TargetMode="External"/><Relationship Id="rId19"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medicines.org.uk/emc"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DE92-57CB-4EB9-98C2-BB776EC1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MEHTA, Heerna (NHS HERTFORDSHIRE AND WEST ESSEX ICB - 06K)</cp:lastModifiedBy>
  <cp:revision>2</cp:revision>
  <cp:lastPrinted>2021-06-24T12:44:00Z</cp:lastPrinted>
  <dcterms:created xsi:type="dcterms:W3CDTF">2025-05-06T11:16:00Z</dcterms:created>
  <dcterms:modified xsi:type="dcterms:W3CDTF">2025-05-06T11:16:00Z</dcterms:modified>
</cp:coreProperties>
</file>