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E11FB" w14:textId="77777777" w:rsidR="000E43B2" w:rsidRPr="000E43B2" w:rsidRDefault="000E43B2" w:rsidP="000E43B2">
      <w:pPr>
        <w:rPr>
          <w:b/>
          <w:bCs/>
          <w:sz w:val="48"/>
          <w:szCs w:val="48"/>
        </w:rPr>
      </w:pPr>
      <w:r w:rsidRPr="000E43B2">
        <w:rPr>
          <w:b/>
          <w:bCs/>
          <w:sz w:val="48"/>
          <w:szCs w:val="48"/>
        </w:rPr>
        <w:t>Insulin Pumps: position statement</w:t>
      </w:r>
    </w:p>
    <w:p w14:paraId="4CB71865" w14:textId="272FB13C" w:rsidR="000E43B2" w:rsidRPr="000E43B2" w:rsidRDefault="000E43B2" w:rsidP="000E43B2">
      <w:pPr>
        <w:rPr>
          <w:sz w:val="28"/>
          <w:szCs w:val="28"/>
        </w:rPr>
      </w:pPr>
      <w:r w:rsidRPr="000E43B2">
        <w:rPr>
          <w:b/>
          <w:bCs/>
          <w:sz w:val="28"/>
          <w:szCs w:val="28"/>
        </w:rPr>
        <w:t>Insulin Pumps - Continuous subcutaneous insulin infusion for the treatment of diabetes mellitus </w:t>
      </w:r>
      <w:r w:rsidRPr="000E43B2">
        <w:rPr>
          <w:sz w:val="28"/>
          <w:szCs w:val="28"/>
        </w:rPr>
        <w:br/>
      </w:r>
      <w:proofErr w:type="gramStart"/>
      <w:r w:rsidRPr="000E43B2">
        <w:rPr>
          <w:sz w:val="28"/>
          <w:szCs w:val="28"/>
        </w:rPr>
        <w:t>v  3.1</w:t>
      </w:r>
      <w:proofErr w:type="gramEnd"/>
      <w:r w:rsidRPr="000E43B2">
        <w:rPr>
          <w:sz w:val="28"/>
          <w:szCs w:val="28"/>
        </w:rPr>
        <w:t xml:space="preserve"> March 2026 </w:t>
      </w:r>
    </w:p>
    <w:p w14:paraId="73D28D16" w14:textId="77777777" w:rsidR="000E43B2" w:rsidRPr="000E43B2" w:rsidRDefault="000E43B2" w:rsidP="000E43B2">
      <w:pPr>
        <w:rPr>
          <w:sz w:val="23"/>
          <w:szCs w:val="23"/>
        </w:rPr>
      </w:pPr>
      <w:r w:rsidRPr="000E43B2">
        <w:rPr>
          <w:sz w:val="23"/>
          <w:szCs w:val="23"/>
        </w:rPr>
        <w:t>Hertfordshire and West Essex ICB will routinely fund Insulin Pump therapy for adults in line with the National Institute for Health and Care Excellence (NICE) Technology appraisal guidance [TA151] Continuous subcutaneous insulin infusion for the treatment of diabetes mellitus.</w:t>
      </w:r>
    </w:p>
    <w:p w14:paraId="6E617B8D" w14:textId="650B602C" w:rsidR="000E43B2" w:rsidRPr="000E43B2" w:rsidRDefault="000E43B2" w:rsidP="000E43B2">
      <w:pPr>
        <w:rPr>
          <w:sz w:val="23"/>
          <w:szCs w:val="23"/>
        </w:rPr>
      </w:pPr>
      <w:r w:rsidRPr="000E43B2">
        <w:rPr>
          <w:sz w:val="23"/>
          <w:szCs w:val="23"/>
        </w:rPr>
        <w:t xml:space="preserve">Insulin pump therapy for children and young people (younger than 19 years) is routinely funded when </w:t>
      </w:r>
      <w:r w:rsidRPr="000E43B2">
        <w:rPr>
          <w:sz w:val="23"/>
          <w:szCs w:val="23"/>
        </w:rPr>
        <w:t>r</w:t>
      </w:r>
      <w:r w:rsidRPr="000E43B2">
        <w:rPr>
          <w:sz w:val="23"/>
          <w:szCs w:val="23"/>
        </w:rPr>
        <w:t>ecommended by the paediatric specialist diabetes team. </w:t>
      </w:r>
    </w:p>
    <w:p w14:paraId="2CCDB59A" w14:textId="3995E64C" w:rsidR="000E43B2" w:rsidRPr="000E43B2" w:rsidRDefault="000E43B2" w:rsidP="000E43B2">
      <w:pPr>
        <w:rPr>
          <w:sz w:val="23"/>
          <w:szCs w:val="23"/>
        </w:rPr>
      </w:pPr>
      <w:r w:rsidRPr="000E43B2">
        <w:rPr>
          <w:b/>
          <w:bCs/>
          <w:sz w:val="23"/>
          <w:szCs w:val="23"/>
        </w:rPr>
        <w:t>Where patients are eligible for insulin pump therapy clinicians must choose the lowest cost device that is clinically appropriate for the patient</w:t>
      </w:r>
      <w:r w:rsidRPr="000E43B2">
        <w:rPr>
          <w:b/>
          <w:bCs/>
          <w:sz w:val="23"/>
          <w:szCs w:val="23"/>
        </w:rPr>
        <w:t>.</w:t>
      </w:r>
    </w:p>
    <w:p w14:paraId="6ABCA5A4" w14:textId="77777777" w:rsidR="000E43B2" w:rsidRPr="000E43B2" w:rsidRDefault="000E43B2" w:rsidP="000E43B2">
      <w:pPr>
        <w:rPr>
          <w:sz w:val="23"/>
          <w:szCs w:val="23"/>
        </w:rPr>
      </w:pPr>
      <w:r w:rsidRPr="000E43B2">
        <w:rPr>
          <w:b/>
          <w:bCs/>
          <w:sz w:val="23"/>
          <w:szCs w:val="23"/>
        </w:rPr>
        <w:t> </w:t>
      </w:r>
    </w:p>
    <w:p w14:paraId="386CB708" w14:textId="37EF8077" w:rsidR="000E43B2" w:rsidRDefault="000E43B2" w:rsidP="000E43B2">
      <w:pPr>
        <w:rPr>
          <w:sz w:val="23"/>
          <w:szCs w:val="23"/>
        </w:rPr>
      </w:pPr>
      <w:r w:rsidRPr="000E43B2">
        <w:rPr>
          <w:b/>
          <w:bCs/>
          <w:sz w:val="23"/>
          <w:szCs w:val="23"/>
        </w:rPr>
        <w:t>1 Recommendations</w:t>
      </w:r>
      <w:r w:rsidRPr="000E43B2">
        <w:rPr>
          <w:b/>
          <w:bCs/>
          <w:sz w:val="23"/>
          <w:szCs w:val="23"/>
        </w:rPr>
        <w:br/>
      </w:r>
      <w:r w:rsidRPr="000E43B2">
        <w:rPr>
          <w:sz w:val="23"/>
          <w:szCs w:val="23"/>
        </w:rPr>
        <w:t>(Units for reporting HbA1c have changed from % to mmol/mol since this guidance was published).</w:t>
      </w:r>
    </w:p>
    <w:p w14:paraId="4147455D" w14:textId="77777777" w:rsidR="000E43B2" w:rsidRPr="000E43B2" w:rsidRDefault="000E43B2" w:rsidP="000E43B2">
      <w:pPr>
        <w:rPr>
          <w:sz w:val="23"/>
          <w:szCs w:val="23"/>
        </w:rPr>
      </w:pPr>
    </w:p>
    <w:p w14:paraId="3DB674CA" w14:textId="77777777" w:rsidR="000E43B2" w:rsidRPr="000E43B2" w:rsidRDefault="000E43B2" w:rsidP="000E43B2">
      <w:pPr>
        <w:rPr>
          <w:sz w:val="23"/>
          <w:szCs w:val="23"/>
        </w:rPr>
      </w:pPr>
      <w:r w:rsidRPr="000E43B2">
        <w:rPr>
          <w:b/>
          <w:bCs/>
          <w:sz w:val="23"/>
          <w:szCs w:val="23"/>
        </w:rPr>
        <w:t>1.1</w:t>
      </w:r>
      <w:r w:rsidRPr="000E43B2">
        <w:rPr>
          <w:b/>
          <w:bCs/>
          <w:sz w:val="23"/>
          <w:szCs w:val="23"/>
        </w:rPr>
        <w:br/>
      </w:r>
      <w:r w:rsidRPr="000E43B2">
        <w:rPr>
          <w:sz w:val="23"/>
          <w:szCs w:val="23"/>
        </w:rPr>
        <w:t>Continuous subcutaneous insulin infusion (CSII or 'insulin pump') therapy is recommended as a treatment option for adults with type 1 diabetes mellitus provided that either of the following apply:</w:t>
      </w:r>
    </w:p>
    <w:p w14:paraId="1BAB3CC8" w14:textId="77777777" w:rsidR="000E43B2" w:rsidRPr="000E43B2" w:rsidRDefault="000E43B2" w:rsidP="000E43B2">
      <w:pPr>
        <w:rPr>
          <w:sz w:val="23"/>
          <w:szCs w:val="23"/>
        </w:rPr>
      </w:pPr>
      <w:r w:rsidRPr="000E43B2">
        <w:rPr>
          <w:sz w:val="23"/>
          <w:szCs w:val="23"/>
        </w:rPr>
        <w:t> </w:t>
      </w:r>
    </w:p>
    <w:p w14:paraId="13477E81" w14:textId="2B5EE421" w:rsidR="000E43B2" w:rsidRPr="000E43B2" w:rsidRDefault="000E43B2" w:rsidP="000E43B2">
      <w:pPr>
        <w:numPr>
          <w:ilvl w:val="0"/>
          <w:numId w:val="1"/>
        </w:numPr>
        <w:rPr>
          <w:sz w:val="23"/>
          <w:szCs w:val="23"/>
        </w:rPr>
      </w:pPr>
      <w:r>
        <w:rPr>
          <w:sz w:val="23"/>
          <w:szCs w:val="23"/>
        </w:rPr>
        <w:t>A</w:t>
      </w:r>
      <w:r w:rsidRPr="000E43B2">
        <w:rPr>
          <w:sz w:val="23"/>
          <w:szCs w:val="23"/>
        </w:rPr>
        <w:t xml:space="preserve">ttempts to achieve target haemoglobin A1c (HbA1c) levels with multiple daily injections (MDIs) result in the person experiencing disabling hypoglycaemia. </w:t>
      </w:r>
      <w:proofErr w:type="gramStart"/>
      <w:r w:rsidRPr="000E43B2">
        <w:rPr>
          <w:sz w:val="23"/>
          <w:szCs w:val="23"/>
        </w:rPr>
        <w:t>For the purpose of</w:t>
      </w:r>
      <w:proofErr w:type="gramEnd"/>
      <w:r w:rsidRPr="000E43B2">
        <w:rPr>
          <w:sz w:val="23"/>
          <w:szCs w:val="23"/>
        </w:rPr>
        <w:t xml:space="preserve"> this guidance, disabling hypoglycaemia is defined as the repeated and unpredictable occurrence of hypoglycaemia that results in persistent anxiety about recurrence and is associated with a significant adverse effect on quality of life.</w:t>
      </w:r>
      <w:r w:rsidRPr="000E43B2">
        <w:rPr>
          <w:sz w:val="23"/>
          <w:szCs w:val="23"/>
        </w:rPr>
        <w:br/>
      </w:r>
    </w:p>
    <w:p w14:paraId="38CCD708" w14:textId="77777777" w:rsidR="000E43B2" w:rsidRPr="000E43B2" w:rsidRDefault="000E43B2" w:rsidP="000E43B2">
      <w:pPr>
        <w:numPr>
          <w:ilvl w:val="0"/>
          <w:numId w:val="1"/>
        </w:numPr>
        <w:rPr>
          <w:sz w:val="23"/>
          <w:szCs w:val="23"/>
        </w:rPr>
      </w:pPr>
      <w:r w:rsidRPr="000E43B2">
        <w:rPr>
          <w:sz w:val="23"/>
          <w:szCs w:val="23"/>
        </w:rPr>
        <w:t>HbA1c levels have remained high (that is, at 8.5% [69 mmol/mol] or above) on MDI therapy (including, if appropriate, the use of long-acting insulin analogues) despite a high level of care. </w:t>
      </w:r>
    </w:p>
    <w:p w14:paraId="25622247" w14:textId="77777777" w:rsidR="000E43B2" w:rsidRPr="000E43B2" w:rsidRDefault="000E43B2" w:rsidP="000E43B2">
      <w:pPr>
        <w:rPr>
          <w:sz w:val="23"/>
          <w:szCs w:val="23"/>
        </w:rPr>
      </w:pPr>
      <w:r w:rsidRPr="000E43B2">
        <w:rPr>
          <w:sz w:val="23"/>
          <w:szCs w:val="23"/>
        </w:rPr>
        <w:t> </w:t>
      </w:r>
    </w:p>
    <w:p w14:paraId="40C9C580" w14:textId="77777777" w:rsidR="000E43B2" w:rsidRPr="000E43B2" w:rsidRDefault="000E43B2" w:rsidP="000E43B2">
      <w:pPr>
        <w:rPr>
          <w:sz w:val="23"/>
          <w:szCs w:val="23"/>
        </w:rPr>
      </w:pPr>
      <w:r w:rsidRPr="000E43B2">
        <w:rPr>
          <w:b/>
          <w:bCs/>
          <w:sz w:val="23"/>
          <w:szCs w:val="23"/>
        </w:rPr>
        <w:t>1.2</w:t>
      </w:r>
      <w:r w:rsidRPr="000E43B2">
        <w:rPr>
          <w:b/>
          <w:bCs/>
          <w:sz w:val="23"/>
          <w:szCs w:val="23"/>
        </w:rPr>
        <w:br/>
      </w:r>
      <w:r w:rsidRPr="000E43B2">
        <w:rPr>
          <w:sz w:val="23"/>
          <w:szCs w:val="23"/>
        </w:rPr>
        <w:t xml:space="preserve">It is recommended that CSII therapy be initiated only by a trained specialist team in secondary care, which should normally comprise a physician with a specialist interest in insulin pump therapy, a diabetes specialist nurse and a dietitian. Specialist teams should </w:t>
      </w:r>
      <w:r w:rsidRPr="000E43B2">
        <w:rPr>
          <w:sz w:val="23"/>
          <w:szCs w:val="23"/>
        </w:rPr>
        <w:lastRenderedPageBreak/>
        <w:t>provide structured education programmes and advice on diet, lifestyle and exercise appropriate for people using CSII.</w:t>
      </w:r>
    </w:p>
    <w:p w14:paraId="17AA92D3" w14:textId="77777777" w:rsidR="000E43B2" w:rsidRPr="000E43B2" w:rsidRDefault="000E43B2" w:rsidP="000E43B2">
      <w:pPr>
        <w:rPr>
          <w:sz w:val="23"/>
          <w:szCs w:val="23"/>
        </w:rPr>
      </w:pPr>
      <w:r w:rsidRPr="000E43B2">
        <w:rPr>
          <w:sz w:val="23"/>
          <w:szCs w:val="23"/>
        </w:rPr>
        <w:t> </w:t>
      </w:r>
    </w:p>
    <w:p w14:paraId="05CF5B88" w14:textId="77777777" w:rsidR="000E43B2" w:rsidRPr="000E43B2" w:rsidRDefault="000E43B2" w:rsidP="000E43B2">
      <w:pPr>
        <w:rPr>
          <w:sz w:val="23"/>
          <w:szCs w:val="23"/>
        </w:rPr>
      </w:pPr>
      <w:r w:rsidRPr="000E43B2">
        <w:rPr>
          <w:b/>
          <w:bCs/>
          <w:sz w:val="23"/>
          <w:szCs w:val="23"/>
        </w:rPr>
        <w:t>1.3</w:t>
      </w:r>
      <w:r w:rsidRPr="000E43B2">
        <w:rPr>
          <w:b/>
          <w:bCs/>
          <w:sz w:val="23"/>
          <w:szCs w:val="23"/>
        </w:rPr>
        <w:br/>
      </w:r>
      <w:r w:rsidRPr="000E43B2">
        <w:rPr>
          <w:sz w:val="23"/>
          <w:szCs w:val="23"/>
        </w:rPr>
        <w:t>Following initiation in adults, CSII therapy should only be continued if it results in a sustained improvement in glycaemic control, evidenced by a fall in HbA1c levels, or a sustained decrease in the rate of hypoglycaemic episodes. Appropriate targets for such improvements should be set by the responsible physician, in discussion with the person receiving the treatment or their carer.</w:t>
      </w:r>
    </w:p>
    <w:p w14:paraId="6C13F0A8" w14:textId="22130DC2" w:rsidR="000E43B2" w:rsidRPr="000E43B2" w:rsidRDefault="000E43B2" w:rsidP="000E43B2">
      <w:pPr>
        <w:rPr>
          <w:sz w:val="23"/>
          <w:szCs w:val="23"/>
        </w:rPr>
      </w:pPr>
      <w:r w:rsidRPr="000E43B2">
        <w:rPr>
          <w:sz w:val="23"/>
          <w:szCs w:val="23"/>
        </w:rPr>
        <w:br/>
      </w:r>
      <w:r w:rsidRPr="000E43B2">
        <w:rPr>
          <w:b/>
          <w:bCs/>
          <w:sz w:val="23"/>
          <w:szCs w:val="23"/>
        </w:rPr>
        <w:t>1.4</w:t>
      </w:r>
      <w:r w:rsidRPr="000E43B2">
        <w:rPr>
          <w:b/>
          <w:bCs/>
          <w:sz w:val="23"/>
          <w:szCs w:val="23"/>
        </w:rPr>
        <w:br/>
      </w:r>
      <w:r w:rsidRPr="000E43B2">
        <w:rPr>
          <w:sz w:val="23"/>
          <w:szCs w:val="23"/>
        </w:rPr>
        <w:t>CSII therapy is not routinely funded for the treatment of people with type 2 diabetes mellitus.</w:t>
      </w:r>
    </w:p>
    <w:p w14:paraId="444BF1A2" w14:textId="254D0D68" w:rsidR="000E43B2" w:rsidRPr="000E43B2" w:rsidRDefault="000E43B2" w:rsidP="000E43B2">
      <w:pPr>
        <w:rPr>
          <w:sz w:val="23"/>
          <w:szCs w:val="23"/>
        </w:rPr>
      </w:pPr>
      <w:r w:rsidRPr="000E43B2">
        <w:rPr>
          <w:sz w:val="23"/>
          <w:szCs w:val="23"/>
        </w:rPr>
        <w:t xml:space="preserve">This guidance will be reviewed September 2026, or earlier if new guidance is published or as required as part of the local phased roll-out of NICE TA943: Hybrid closed loop systems for managing blood glucose levels in type 1 diabetes, and NHSE HCL </w:t>
      </w:r>
      <w:proofErr w:type="gramStart"/>
      <w:r w:rsidRPr="000E43B2">
        <w:rPr>
          <w:sz w:val="23"/>
          <w:szCs w:val="23"/>
        </w:rPr>
        <w:t>5 year</w:t>
      </w:r>
      <w:proofErr w:type="gramEnd"/>
      <w:r w:rsidRPr="000E43B2">
        <w:rPr>
          <w:sz w:val="23"/>
          <w:szCs w:val="23"/>
        </w:rPr>
        <w:t xml:space="preserve"> implementation strategy.</w:t>
      </w:r>
    </w:p>
    <w:p w14:paraId="0AE8DA80" w14:textId="77777777" w:rsidR="000E43B2" w:rsidRPr="000E43B2" w:rsidRDefault="000E43B2" w:rsidP="000E43B2">
      <w:pPr>
        <w:rPr>
          <w:sz w:val="23"/>
          <w:szCs w:val="23"/>
        </w:rPr>
      </w:pPr>
    </w:p>
    <w:p w14:paraId="3081AE11" w14:textId="77777777" w:rsidR="000E43B2" w:rsidRPr="000E43B2" w:rsidRDefault="000E43B2" w:rsidP="000E43B2">
      <w:pPr>
        <w:rPr>
          <w:sz w:val="23"/>
          <w:szCs w:val="23"/>
        </w:rPr>
      </w:pPr>
      <w:r w:rsidRPr="000E43B2">
        <w:rPr>
          <w:b/>
          <w:bCs/>
          <w:sz w:val="23"/>
          <w:szCs w:val="23"/>
          <w:u w:val="single"/>
        </w:rPr>
        <w:t>References</w:t>
      </w:r>
    </w:p>
    <w:p w14:paraId="79FF9053" w14:textId="77777777" w:rsidR="000E43B2" w:rsidRPr="000E43B2" w:rsidRDefault="000E43B2" w:rsidP="000E43B2">
      <w:pPr>
        <w:rPr>
          <w:sz w:val="23"/>
          <w:szCs w:val="23"/>
        </w:rPr>
      </w:pPr>
      <w:r w:rsidRPr="000E43B2">
        <w:rPr>
          <w:sz w:val="23"/>
          <w:szCs w:val="23"/>
        </w:rPr>
        <w:t>National Institute for Health and Care Excellence (2008) [TA151] Continuous subcutaneous insulin infusion for the treatment of diabetes mellitus. </w:t>
      </w:r>
      <w:hyperlink r:id="rId5" w:history="1">
        <w:r w:rsidRPr="000E43B2">
          <w:rPr>
            <w:rStyle w:val="Hyperlink"/>
            <w:sz w:val="23"/>
            <w:szCs w:val="23"/>
          </w:rPr>
          <w:t>https://www.nice.org.uk/guidance/ta151/chapter/1-Recommendations</w:t>
        </w:r>
      </w:hyperlink>
      <w:r w:rsidRPr="000E43B2">
        <w:rPr>
          <w:sz w:val="23"/>
          <w:szCs w:val="23"/>
        </w:rPr>
        <w:br/>
      </w:r>
    </w:p>
    <w:p w14:paraId="5C50AB4C" w14:textId="77777777" w:rsidR="000E43B2" w:rsidRPr="000E43B2" w:rsidRDefault="000E43B2" w:rsidP="000E43B2">
      <w:pPr>
        <w:rPr>
          <w:sz w:val="23"/>
          <w:szCs w:val="23"/>
        </w:rPr>
      </w:pPr>
      <w:r w:rsidRPr="000E43B2">
        <w:rPr>
          <w:sz w:val="23"/>
          <w:szCs w:val="23"/>
        </w:rPr>
        <w:t>National Institute for Health and Care Excellence (2023) [TA943] Hybrid closed loop systems for managing blood glucose levels in type 1 diabetes </w:t>
      </w:r>
      <w:hyperlink r:id="rId6" w:history="1">
        <w:r w:rsidRPr="000E43B2">
          <w:rPr>
            <w:rStyle w:val="Hyperlink"/>
            <w:sz w:val="23"/>
            <w:szCs w:val="23"/>
          </w:rPr>
          <w:t>https://www.nice.org.uk/guidance/ta943</w:t>
        </w:r>
      </w:hyperlink>
      <w:r w:rsidRPr="000E43B2">
        <w:rPr>
          <w:sz w:val="23"/>
          <w:szCs w:val="23"/>
        </w:rPr>
        <w:br/>
      </w:r>
    </w:p>
    <w:p w14:paraId="1DC87939" w14:textId="77777777" w:rsidR="000E43B2" w:rsidRPr="000E43B2" w:rsidRDefault="000E43B2" w:rsidP="000E43B2">
      <w:pPr>
        <w:rPr>
          <w:sz w:val="23"/>
          <w:szCs w:val="23"/>
        </w:rPr>
      </w:pPr>
      <w:r w:rsidRPr="000E43B2">
        <w:rPr>
          <w:sz w:val="23"/>
          <w:szCs w:val="23"/>
        </w:rPr>
        <w:t>NHSE (2024) Hybrid closed loop technologies: 5-year implementation strategy </w:t>
      </w:r>
      <w:hyperlink r:id="rId7" w:history="1">
        <w:r w:rsidRPr="000E43B2">
          <w:rPr>
            <w:rStyle w:val="Hyperlink"/>
            <w:sz w:val="23"/>
            <w:szCs w:val="23"/>
          </w:rPr>
          <w:t>https://www.england.nhs.uk/long-read/hybrid-closed-loop-technologies-5-year-implementation-strategy/</w:t>
        </w:r>
      </w:hyperlink>
    </w:p>
    <w:p w14:paraId="664264F0" w14:textId="77777777" w:rsidR="000E43B2" w:rsidRDefault="000E43B2" w:rsidP="000E43B2">
      <w:pPr>
        <w:rPr>
          <w:sz w:val="23"/>
          <w:szCs w:val="23"/>
        </w:rPr>
      </w:pPr>
      <w:r w:rsidRPr="000E43B2">
        <w:rPr>
          <w:sz w:val="23"/>
          <w:szCs w:val="23"/>
        </w:rPr>
        <w:t> </w:t>
      </w:r>
    </w:p>
    <w:p w14:paraId="2EDF47CA" w14:textId="5F33EE1B" w:rsidR="000E43B2" w:rsidRPr="000E43B2" w:rsidRDefault="000E43B2" w:rsidP="000E43B2">
      <w:pPr>
        <w:rPr>
          <w:sz w:val="23"/>
          <w:szCs w:val="23"/>
          <w:u w:val="single"/>
        </w:rPr>
      </w:pPr>
      <w:r w:rsidRPr="000E43B2">
        <w:rPr>
          <w:sz w:val="23"/>
          <w:szCs w:val="23"/>
          <w:u w:val="single"/>
        </w:rPr>
        <w:t>Version control</w:t>
      </w:r>
    </w:p>
    <w:p w14:paraId="46D1E02E" w14:textId="77777777" w:rsidR="000E43B2" w:rsidRPr="000E43B2" w:rsidRDefault="000E43B2" w:rsidP="000E43B2">
      <w:pPr>
        <w:rPr>
          <w:sz w:val="23"/>
          <w:szCs w:val="23"/>
        </w:rPr>
      </w:pPr>
      <w:proofErr w:type="gramStart"/>
      <w:r w:rsidRPr="000E43B2">
        <w:rPr>
          <w:sz w:val="23"/>
          <w:szCs w:val="23"/>
        </w:rPr>
        <w:t>V .</w:t>
      </w:r>
      <w:proofErr w:type="gramEnd"/>
      <w:r w:rsidRPr="000E43B2">
        <w:rPr>
          <w:sz w:val="23"/>
          <w:szCs w:val="23"/>
        </w:rPr>
        <w:t xml:space="preserve"> 3.1 March 2026: Following review by HWE ICB Diabetes Technology Group document type designated as </w:t>
      </w:r>
      <w:r w:rsidRPr="000E43B2">
        <w:rPr>
          <w:i/>
          <w:iCs/>
          <w:sz w:val="23"/>
          <w:szCs w:val="23"/>
        </w:rPr>
        <w:t>Position statement</w:t>
      </w:r>
      <w:r w:rsidRPr="000E43B2">
        <w:rPr>
          <w:sz w:val="23"/>
          <w:szCs w:val="23"/>
        </w:rPr>
        <w:t xml:space="preserve"> and removal of references to policy. </w:t>
      </w:r>
    </w:p>
    <w:p w14:paraId="7C922FB5" w14:textId="77777777" w:rsidR="000E43B2" w:rsidRPr="000E43B2" w:rsidRDefault="000E43B2" w:rsidP="000E43B2">
      <w:pPr>
        <w:rPr>
          <w:sz w:val="23"/>
          <w:szCs w:val="23"/>
        </w:rPr>
      </w:pPr>
    </w:p>
    <w:p w14:paraId="398C1298" w14:textId="77777777" w:rsidR="00691678" w:rsidRDefault="00691678"/>
    <w:sectPr w:rsidR="006916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7550F"/>
    <w:multiLevelType w:val="multilevel"/>
    <w:tmpl w:val="D9CC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5073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3B2"/>
    <w:rsid w:val="000E43B2"/>
    <w:rsid w:val="002257A8"/>
    <w:rsid w:val="005430E7"/>
    <w:rsid w:val="005F0F1D"/>
    <w:rsid w:val="00691678"/>
    <w:rsid w:val="00A716E9"/>
    <w:rsid w:val="00F220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9188F"/>
  <w15:chartTrackingRefBased/>
  <w15:docId w15:val="{52D08BA3-6630-4EE3-8D53-649A5A7C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4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43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43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43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43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3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3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3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3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43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43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43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43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43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3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3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3B2"/>
    <w:rPr>
      <w:rFonts w:eastAsiaTheme="majorEastAsia" w:cstheme="majorBidi"/>
      <w:color w:val="272727" w:themeColor="text1" w:themeTint="D8"/>
    </w:rPr>
  </w:style>
  <w:style w:type="paragraph" w:styleId="Title">
    <w:name w:val="Title"/>
    <w:basedOn w:val="Normal"/>
    <w:next w:val="Normal"/>
    <w:link w:val="TitleChar"/>
    <w:uiPriority w:val="10"/>
    <w:qFormat/>
    <w:rsid w:val="000E43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3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3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3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3B2"/>
    <w:pPr>
      <w:spacing w:before="160"/>
      <w:jc w:val="center"/>
    </w:pPr>
    <w:rPr>
      <w:i/>
      <w:iCs/>
      <w:color w:val="404040" w:themeColor="text1" w:themeTint="BF"/>
    </w:rPr>
  </w:style>
  <w:style w:type="character" w:customStyle="1" w:styleId="QuoteChar">
    <w:name w:val="Quote Char"/>
    <w:basedOn w:val="DefaultParagraphFont"/>
    <w:link w:val="Quote"/>
    <w:uiPriority w:val="29"/>
    <w:rsid w:val="000E43B2"/>
    <w:rPr>
      <w:i/>
      <w:iCs/>
      <w:color w:val="404040" w:themeColor="text1" w:themeTint="BF"/>
    </w:rPr>
  </w:style>
  <w:style w:type="paragraph" w:styleId="ListParagraph">
    <w:name w:val="List Paragraph"/>
    <w:basedOn w:val="Normal"/>
    <w:uiPriority w:val="34"/>
    <w:qFormat/>
    <w:rsid w:val="000E43B2"/>
    <w:pPr>
      <w:ind w:left="720"/>
      <w:contextualSpacing/>
    </w:pPr>
  </w:style>
  <w:style w:type="character" w:styleId="IntenseEmphasis">
    <w:name w:val="Intense Emphasis"/>
    <w:basedOn w:val="DefaultParagraphFont"/>
    <w:uiPriority w:val="21"/>
    <w:qFormat/>
    <w:rsid w:val="000E43B2"/>
    <w:rPr>
      <w:i/>
      <w:iCs/>
      <w:color w:val="0F4761" w:themeColor="accent1" w:themeShade="BF"/>
    </w:rPr>
  </w:style>
  <w:style w:type="paragraph" w:styleId="IntenseQuote">
    <w:name w:val="Intense Quote"/>
    <w:basedOn w:val="Normal"/>
    <w:next w:val="Normal"/>
    <w:link w:val="IntenseQuoteChar"/>
    <w:uiPriority w:val="30"/>
    <w:qFormat/>
    <w:rsid w:val="000E4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43B2"/>
    <w:rPr>
      <w:i/>
      <w:iCs/>
      <w:color w:val="0F4761" w:themeColor="accent1" w:themeShade="BF"/>
    </w:rPr>
  </w:style>
  <w:style w:type="character" w:styleId="IntenseReference">
    <w:name w:val="Intense Reference"/>
    <w:basedOn w:val="DefaultParagraphFont"/>
    <w:uiPriority w:val="32"/>
    <w:qFormat/>
    <w:rsid w:val="000E43B2"/>
    <w:rPr>
      <w:b/>
      <w:bCs/>
      <w:smallCaps/>
      <w:color w:val="0F4761" w:themeColor="accent1" w:themeShade="BF"/>
      <w:spacing w:val="5"/>
    </w:rPr>
  </w:style>
  <w:style w:type="character" w:styleId="Hyperlink">
    <w:name w:val="Hyperlink"/>
    <w:basedOn w:val="DefaultParagraphFont"/>
    <w:uiPriority w:val="99"/>
    <w:unhideWhenUsed/>
    <w:rsid w:val="000E43B2"/>
    <w:rPr>
      <w:color w:val="467886" w:themeColor="hyperlink"/>
      <w:u w:val="single"/>
    </w:rPr>
  </w:style>
  <w:style w:type="character" w:styleId="UnresolvedMention">
    <w:name w:val="Unresolved Mention"/>
    <w:basedOn w:val="DefaultParagraphFont"/>
    <w:uiPriority w:val="99"/>
    <w:semiHidden/>
    <w:unhideWhenUsed/>
    <w:rsid w:val="000E43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ngland.nhs.uk/long-read/hybrid-closed-loop-technologies-5-year-implementation-strate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ce.org.uk/guidance/ta943" TargetMode="External"/><Relationship Id="rId5" Type="http://schemas.openxmlformats.org/officeDocument/2006/relationships/hyperlink" Target="https://www.nice.org.uk/guidance/ta151/chapter/1-Recommendation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572</Words>
  <Characters>3261</Characters>
  <Application>Microsoft Office Word</Application>
  <DocSecurity>0</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FERRY, Lillie (NHS HERTFORDSHIRE AND WEST ESSEX ICB - 06K)</dc:creator>
  <cp:keywords/>
  <dc:description/>
  <cp:lastModifiedBy>FERRY, Lillie (NHS HERTFORDSHIRE AND WEST ESSEX ICB - 06K)</cp:lastModifiedBy>
  <cp:revision>1</cp:revision>
  <dcterms:created xsi:type="dcterms:W3CDTF">2026-03-30T09:35:00Z</dcterms:created>
  <dcterms:modified xsi:type="dcterms:W3CDTF">2026-03-30T09:40:00Z</dcterms:modified>
</cp:coreProperties>
</file>