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14430211" w14:textId="77777777" w:rsidR="00E4106C" w:rsidRDefault="00F85EC9"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xml:space="preserve">: </w:t>
      </w:r>
      <w:r w:rsidR="00E4106C">
        <w:rPr>
          <w:rFonts w:ascii="Arial" w:eastAsia="Times New Roman" w:hAnsi="Arial" w:cs="Times New Roman"/>
          <w:b/>
          <w:szCs w:val="24"/>
          <w:lang w:val="en-US"/>
        </w:rPr>
        <w:t>Hydroxycarbamide for patients within adult services</w:t>
      </w:r>
    </w:p>
    <w:p w14:paraId="253940DF" w14:textId="2DF472CC" w:rsidR="006F4129" w:rsidRPr="006F4129" w:rsidRDefault="00B1737A"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350D90">
        <w:rPr>
          <w:rFonts w:ascii="Arial" w:eastAsia="Times New Roman" w:hAnsi="Arial" w:cs="Times New Roman"/>
          <w:b/>
          <w:szCs w:val="24"/>
          <w:lang w:val="en-US"/>
        </w:rPr>
        <w:t>9</w:t>
      </w:r>
      <w:r w:rsidR="00D435E7">
        <w:rPr>
          <w:rFonts w:ascii="Arial" w:eastAsia="Times New Roman" w:hAnsi="Arial" w:cs="Times New Roman"/>
          <w:b/>
          <w:szCs w:val="24"/>
          <w:lang w:val="en-US"/>
        </w:rPr>
        <w:t xml:space="preserve">; </w:t>
      </w:r>
      <w:r>
        <w:rPr>
          <w:rFonts w:ascii="Arial" w:eastAsia="Times New Roman" w:hAnsi="Arial" w:cs="Times New Roman"/>
          <w:b/>
          <w:szCs w:val="24"/>
          <w:lang w:val="en-US"/>
        </w:rPr>
        <w:t>Version 1</w:t>
      </w:r>
      <w:r w:rsidR="001C6663">
        <w:rPr>
          <w:rFonts w:ascii="Arial" w:eastAsia="Times New Roman" w:hAnsi="Arial" w:cs="Times New Roman"/>
          <w:b/>
          <w:szCs w:val="24"/>
          <w:lang w:val="en-US"/>
        </w:rPr>
        <w:t>.</w:t>
      </w:r>
      <w:r w:rsidR="00440CE7">
        <w:rPr>
          <w:rFonts w:ascii="Arial" w:eastAsia="Times New Roman" w:hAnsi="Arial" w:cs="Times New Roman"/>
          <w:b/>
          <w:szCs w:val="24"/>
          <w:lang w:val="en-US"/>
        </w:rPr>
        <w:t>2</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0228C03C" w14:textId="77777777" w:rsidR="003E1D2D" w:rsidRDefault="003E1D2D" w:rsidP="003E1D2D">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706381D5" w14:textId="064CE66A" w:rsidR="003E1D2D" w:rsidRDefault="003E1D2D" w:rsidP="003E1D2D">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and a copy of the form to be retained in 1.</w:t>
      </w:r>
      <w:r w:rsidR="00D7496C">
        <w:rPr>
          <w:rFonts w:ascii="Arial" w:eastAsia="Times New Roman" w:hAnsi="Arial" w:cs="Arial"/>
          <w:b/>
          <w:lang w:val="en-US"/>
        </w:rPr>
        <w:t xml:space="preserve"> </w:t>
      </w:r>
      <w:r>
        <w:rPr>
          <w:rFonts w:ascii="Arial" w:eastAsia="Times New Roman" w:hAnsi="Arial" w:cs="Arial"/>
          <w:b/>
          <w:lang w:val="en-US"/>
        </w:rPr>
        <w:t>Patients’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3E1D2D" w:rsidRPr="002A2513" w14:paraId="51F7D4A2" w14:textId="77777777" w:rsidTr="00CD65D5">
        <w:trPr>
          <w:trHeight w:val="247"/>
        </w:trPr>
        <w:tc>
          <w:tcPr>
            <w:tcW w:w="4815" w:type="dxa"/>
            <w:gridSpan w:val="2"/>
            <w:tcBorders>
              <w:right w:val="single" w:sz="4" w:space="0" w:color="auto"/>
            </w:tcBorders>
            <w:noWrap/>
          </w:tcPr>
          <w:p w14:paraId="3478AB05" w14:textId="77777777" w:rsidR="003E1D2D" w:rsidRPr="00B168C1" w:rsidRDefault="003E1D2D" w:rsidP="00CD65D5">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1445B9DB" w14:textId="77777777" w:rsidR="003E1D2D" w:rsidRPr="00131AEC" w:rsidRDefault="003E1D2D" w:rsidP="00CD65D5">
            <w:pPr>
              <w:jc w:val="center"/>
              <w:rPr>
                <w:rFonts w:ascii="Arial" w:hAnsi="Arial" w:cs="Arial"/>
                <w:b/>
                <w:bCs/>
                <w:sz w:val="18"/>
                <w:szCs w:val="18"/>
              </w:rPr>
            </w:pPr>
            <w:r w:rsidRPr="00131AEC">
              <w:rPr>
                <w:rFonts w:ascii="Arial" w:hAnsi="Arial" w:cs="Arial"/>
                <w:b/>
                <w:bCs/>
              </w:rPr>
              <w:t>Drug information</w:t>
            </w:r>
          </w:p>
        </w:tc>
      </w:tr>
      <w:tr w:rsidR="003E1D2D" w:rsidRPr="002A2513" w14:paraId="4D4172FE" w14:textId="77777777" w:rsidTr="00CD65D5">
        <w:trPr>
          <w:trHeight w:val="510"/>
        </w:trPr>
        <w:tc>
          <w:tcPr>
            <w:tcW w:w="2852" w:type="dxa"/>
            <w:noWrap/>
            <w:hideMark/>
          </w:tcPr>
          <w:p w14:paraId="2BA52F08" w14:textId="77777777" w:rsidR="003E1D2D" w:rsidRPr="00B654C0" w:rsidRDefault="003E1D2D" w:rsidP="00CD65D5">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7B0A1A1F" w14:textId="77777777" w:rsidR="003E1D2D" w:rsidRPr="002A2513" w:rsidRDefault="003E1D2D"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4D991DC2" w14:textId="77777777" w:rsidR="003E1D2D" w:rsidRPr="00B654C0" w:rsidRDefault="003E1D2D"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0617771E" w14:textId="77777777" w:rsidR="003E1D2D" w:rsidRPr="002A2513" w:rsidRDefault="003E1D2D"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3E1D2D" w:rsidRPr="002A2513" w14:paraId="5C7650DC" w14:textId="77777777" w:rsidTr="00CD65D5">
        <w:trPr>
          <w:trHeight w:val="261"/>
        </w:trPr>
        <w:tc>
          <w:tcPr>
            <w:tcW w:w="2852" w:type="dxa"/>
            <w:noWrap/>
            <w:hideMark/>
          </w:tcPr>
          <w:p w14:paraId="62E563D8" w14:textId="77777777" w:rsidR="003E1D2D" w:rsidRPr="00B654C0" w:rsidRDefault="003E1D2D" w:rsidP="00CD65D5">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1534530D" w14:textId="77777777" w:rsidR="003E1D2D" w:rsidRPr="002A2513" w:rsidRDefault="003E1D2D"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1362DDB0" w14:textId="77777777" w:rsidR="003E1D2D" w:rsidRPr="00B654C0" w:rsidRDefault="003E1D2D"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52DF52BF" w14:textId="77777777" w:rsidR="003E1D2D" w:rsidRPr="002A2513" w:rsidRDefault="003E1D2D"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3E1D2D" w:rsidRPr="002A2513" w14:paraId="345C1A6B" w14:textId="77777777" w:rsidTr="00CD65D5">
        <w:trPr>
          <w:trHeight w:val="247"/>
        </w:trPr>
        <w:tc>
          <w:tcPr>
            <w:tcW w:w="2852" w:type="dxa"/>
            <w:noWrap/>
            <w:hideMark/>
          </w:tcPr>
          <w:p w14:paraId="42090234" w14:textId="77777777" w:rsidR="003E1D2D" w:rsidRPr="00B654C0" w:rsidRDefault="003E1D2D" w:rsidP="00CD65D5">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6EA66F83" w14:textId="77777777" w:rsidR="003E1D2D" w:rsidRPr="002A2513" w:rsidRDefault="003E1D2D"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210E0A4" w14:textId="77777777" w:rsidR="003E1D2D" w:rsidRPr="00B654C0" w:rsidRDefault="003E1D2D"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C86A45B" w14:textId="77777777" w:rsidR="003E1D2D" w:rsidRPr="002A2513" w:rsidRDefault="003E1D2D"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3E1D2D" w:rsidRPr="002A2513" w14:paraId="32F1F956" w14:textId="77777777" w:rsidTr="00CD65D5">
        <w:trPr>
          <w:trHeight w:val="50"/>
        </w:trPr>
        <w:tc>
          <w:tcPr>
            <w:tcW w:w="2852" w:type="dxa"/>
            <w:noWrap/>
          </w:tcPr>
          <w:p w14:paraId="4C6E3FCE" w14:textId="77777777" w:rsidR="003E1D2D" w:rsidRPr="00B654C0" w:rsidRDefault="003E1D2D"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3C929FDF" w14:textId="77777777" w:rsidR="003E1D2D" w:rsidRPr="00B654C0" w:rsidRDefault="003E1D2D" w:rsidP="00CD65D5">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600C0647" w14:textId="77777777" w:rsidR="003E1D2D" w:rsidRPr="00B654C0" w:rsidRDefault="003E1D2D" w:rsidP="00CD65D5">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4859AA95" w14:textId="77777777" w:rsidR="003E1D2D" w:rsidRPr="00B654C0" w:rsidRDefault="003E1D2D"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3E1D2D" w:rsidRPr="002A2513" w14:paraId="5E0BD4CA" w14:textId="77777777" w:rsidTr="00CD65D5">
        <w:trPr>
          <w:trHeight w:val="50"/>
        </w:trPr>
        <w:tc>
          <w:tcPr>
            <w:tcW w:w="4815" w:type="dxa"/>
            <w:gridSpan w:val="2"/>
            <w:tcBorders>
              <w:right w:val="single" w:sz="4" w:space="0" w:color="auto"/>
            </w:tcBorders>
            <w:noWrap/>
          </w:tcPr>
          <w:p w14:paraId="07F71E9B" w14:textId="77777777" w:rsidR="003E1D2D" w:rsidRPr="00B168C1" w:rsidRDefault="003E1D2D" w:rsidP="00CD65D5">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2E5DC2ED" w14:textId="77777777" w:rsidR="003E1D2D" w:rsidRPr="002A2513" w:rsidRDefault="003E1D2D"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3E1D2D" w:rsidRPr="002A2513" w14:paraId="1D66CAC6" w14:textId="77777777" w:rsidTr="00CD65D5">
        <w:trPr>
          <w:trHeight w:val="418"/>
        </w:trPr>
        <w:tc>
          <w:tcPr>
            <w:tcW w:w="4815" w:type="dxa"/>
            <w:gridSpan w:val="2"/>
            <w:tcBorders>
              <w:right w:val="single" w:sz="4" w:space="0" w:color="auto"/>
            </w:tcBorders>
            <w:noWrap/>
          </w:tcPr>
          <w:p w14:paraId="06EF294B" w14:textId="77777777" w:rsidR="003E1D2D" w:rsidRPr="00B168C1" w:rsidRDefault="003E1D2D" w:rsidP="00CD65D5">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200FE8E8" w14:textId="77777777" w:rsidR="003E1D2D" w:rsidRPr="002A2513" w:rsidRDefault="003E1D2D" w:rsidP="00CD65D5">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0B7DD424" w14:textId="77777777" w:rsidR="003E1D2D" w:rsidRPr="00B25DFC" w:rsidRDefault="003E1D2D" w:rsidP="003E1D2D">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3E1D2D" w14:paraId="59A422C9" w14:textId="77777777" w:rsidTr="00CD65D5">
        <w:trPr>
          <w:trHeight w:val="672"/>
        </w:trPr>
        <w:tc>
          <w:tcPr>
            <w:tcW w:w="11374" w:type="dxa"/>
            <w:gridSpan w:val="3"/>
          </w:tcPr>
          <w:p w14:paraId="7540241E" w14:textId="77777777" w:rsidR="003E1D2D" w:rsidRPr="00131AEC" w:rsidRDefault="003E1D2D" w:rsidP="00CD65D5">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38B69832" w14:textId="77777777" w:rsidR="003E1D2D" w:rsidRPr="000E0E99" w:rsidRDefault="003E1D2D" w:rsidP="00CD65D5">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4FF99566" w14:textId="77777777" w:rsidR="003E1D2D" w:rsidRPr="00B42EA4" w:rsidRDefault="003E1D2D" w:rsidP="003E1D2D">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34E53EBA" w14:textId="77777777" w:rsidR="003E1D2D" w:rsidRPr="00131AEC" w:rsidRDefault="003E1D2D" w:rsidP="003E1D2D">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3E1D2D" w14:paraId="2B97D332" w14:textId="77777777" w:rsidTr="00CD65D5">
        <w:trPr>
          <w:trHeight w:val="461"/>
        </w:trPr>
        <w:tc>
          <w:tcPr>
            <w:tcW w:w="5375" w:type="dxa"/>
          </w:tcPr>
          <w:p w14:paraId="08D76239"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49DFD915"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3E1D2D" w14:paraId="54F8CE7F" w14:textId="77777777" w:rsidTr="00CD65D5">
        <w:trPr>
          <w:trHeight w:val="461"/>
        </w:trPr>
        <w:tc>
          <w:tcPr>
            <w:tcW w:w="5375" w:type="dxa"/>
          </w:tcPr>
          <w:p w14:paraId="7A8DF376"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32C1EEF4"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3E1D2D" w14:paraId="203F8557" w14:textId="77777777" w:rsidTr="00CD65D5">
        <w:trPr>
          <w:trHeight w:val="360"/>
        </w:trPr>
        <w:tc>
          <w:tcPr>
            <w:tcW w:w="5375" w:type="dxa"/>
          </w:tcPr>
          <w:p w14:paraId="6816BF64"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4BB956B0"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3E1D2D" w14:paraId="6EF7BF2F" w14:textId="77777777" w:rsidTr="00CD65D5">
        <w:trPr>
          <w:trHeight w:val="360"/>
        </w:trPr>
        <w:tc>
          <w:tcPr>
            <w:tcW w:w="5375" w:type="dxa"/>
          </w:tcPr>
          <w:p w14:paraId="3FEB278F" w14:textId="77777777" w:rsidR="003E1D2D" w:rsidRPr="00B654C0" w:rsidRDefault="003E1D2D" w:rsidP="00CD65D5">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3B596155" w14:textId="77777777" w:rsidR="003E1D2D" w:rsidRPr="00B654C0" w:rsidRDefault="003E1D2D" w:rsidP="00CD65D5">
            <w:pPr>
              <w:rPr>
                <w:rFonts w:ascii="Arial" w:hAnsi="Arial" w:cs="Arial"/>
                <w:bCs/>
                <w:color w:val="000000"/>
                <w:lang w:eastAsia="en-GB"/>
              </w:rPr>
            </w:pPr>
          </w:p>
        </w:tc>
      </w:tr>
      <w:tr w:rsidR="003E1D2D" w14:paraId="376646A3" w14:textId="77777777" w:rsidTr="00CD65D5">
        <w:trPr>
          <w:trHeight w:val="461"/>
        </w:trPr>
        <w:tc>
          <w:tcPr>
            <w:tcW w:w="5375" w:type="dxa"/>
          </w:tcPr>
          <w:p w14:paraId="316E6EF4"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74A34A4C" w14:textId="77777777" w:rsidR="003E1D2D" w:rsidRPr="00B654C0" w:rsidRDefault="003E1D2D"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3E1D2D" w14:paraId="5EE9D044" w14:textId="77777777" w:rsidTr="00CD65D5">
        <w:trPr>
          <w:trHeight w:val="147"/>
        </w:trPr>
        <w:tc>
          <w:tcPr>
            <w:tcW w:w="11374" w:type="dxa"/>
            <w:gridSpan w:val="3"/>
          </w:tcPr>
          <w:p w14:paraId="69B0ACF6" w14:textId="77777777" w:rsidR="003E1D2D" w:rsidRDefault="003E1D2D" w:rsidP="00CD65D5">
            <w:pPr>
              <w:contextualSpacing/>
              <w:jc w:val="both"/>
              <w:rPr>
                <w:rFonts w:ascii="Arial" w:hAnsi="Arial" w:cs="Arial"/>
                <w:b/>
                <w:u w:val="single"/>
              </w:rPr>
            </w:pPr>
            <w:r w:rsidRPr="000E0E99">
              <w:rPr>
                <w:rFonts w:ascii="Arial" w:hAnsi="Arial" w:cs="Arial"/>
                <w:b/>
                <w:u w:val="single"/>
              </w:rPr>
              <w:t>GP response to shared care</w:t>
            </w:r>
          </w:p>
          <w:p w14:paraId="39E839BA" w14:textId="77777777" w:rsidR="003E1D2D" w:rsidRPr="00B654C0" w:rsidRDefault="003E1D2D" w:rsidP="00CD65D5">
            <w:pPr>
              <w:contextualSpacing/>
              <w:jc w:val="both"/>
              <w:rPr>
                <w:rFonts w:ascii="Arial" w:hAnsi="Arial" w:cs="Arial"/>
                <w:b/>
                <w:u w:val="single"/>
              </w:rPr>
            </w:pPr>
          </w:p>
          <w:p w14:paraId="1CFB5EAD" w14:textId="77777777" w:rsidR="003E1D2D" w:rsidRPr="000E0E99" w:rsidRDefault="003E1D2D" w:rsidP="00CD65D5">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726BDEF9" w14:textId="77777777" w:rsidR="003E1D2D" w:rsidRPr="00B654C0" w:rsidRDefault="003E1D2D" w:rsidP="00CD65D5">
            <w:pPr>
              <w:spacing w:after="120"/>
              <w:contextualSpacing/>
              <w:rPr>
                <w:rFonts w:ascii="Arial" w:hAnsi="Arial" w:cs="Times New Roman"/>
                <w:b/>
                <w:i/>
              </w:rPr>
            </w:pPr>
            <w:r w:rsidRPr="000E0E99">
              <w:rPr>
                <w:rFonts w:ascii="Arial" w:hAnsi="Arial"/>
                <w:b/>
                <w:i/>
              </w:rPr>
              <w:t>This form is to be completed by the GP who is requested to share care.</w:t>
            </w:r>
          </w:p>
          <w:p w14:paraId="2F55E547" w14:textId="77777777" w:rsidR="003E1D2D" w:rsidRPr="000E0E99" w:rsidRDefault="003E1D2D" w:rsidP="00CD65D5">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bookmarkStart w:id="0" w:name="Check12"/>
            <w:r w:rsidRPr="000E0E99">
              <w:rPr>
                <w:rFonts w:ascii="Arial" w:hAnsi="Arial" w:cs="Arial"/>
              </w:rPr>
              <w:instrText xml:space="preserve"> FORMCHECKBOX </w:instrText>
            </w:r>
            <w:r w:rsidR="009A1A5A">
              <w:rPr>
                <w:rFonts w:ascii="Arial" w:hAnsi="Arial" w:cs="Arial"/>
              </w:rPr>
            </w:r>
            <w:r w:rsidR="009A1A5A">
              <w:rPr>
                <w:rFonts w:ascii="Arial" w:hAnsi="Arial" w:cs="Arial"/>
              </w:rPr>
              <w:fldChar w:fldCharType="separate"/>
            </w:r>
            <w:r w:rsidRPr="000E0E99">
              <w:rPr>
                <w:rFonts w:ascii="Arial" w:hAnsi="Arial" w:cs="Arial"/>
              </w:rPr>
              <w:fldChar w:fldCharType="end"/>
            </w:r>
            <w:bookmarkEnd w:id="0"/>
          </w:p>
          <w:p w14:paraId="0D49A126" w14:textId="77777777" w:rsidR="003E1D2D" w:rsidRPr="000E0E99" w:rsidRDefault="003E1D2D" w:rsidP="00CD65D5">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9A1A5A">
              <w:rPr>
                <w:rFonts w:ascii="Arial" w:hAnsi="Arial" w:cs="Arial"/>
              </w:rPr>
            </w:r>
            <w:r w:rsidR="009A1A5A">
              <w:rPr>
                <w:rFonts w:ascii="Arial" w:hAnsi="Arial" w:cs="Arial"/>
              </w:rPr>
              <w:fldChar w:fldCharType="separate"/>
            </w:r>
            <w:r w:rsidRPr="000E0E99">
              <w:rPr>
                <w:rFonts w:ascii="Arial" w:hAnsi="Arial" w:cs="Arial"/>
              </w:rPr>
              <w:fldChar w:fldCharType="end"/>
            </w:r>
          </w:p>
          <w:p w14:paraId="5CB7E5CD" w14:textId="434F502A" w:rsidR="003E1D2D" w:rsidRPr="009E68B2" w:rsidRDefault="003E1D2D" w:rsidP="00CD65D5">
            <w:pPr>
              <w:contextualSpacing/>
              <w:rPr>
                <w:rFonts w:ascii="Arial" w:hAnsi="Arial" w:cs="Arial"/>
                <w:b/>
              </w:rPr>
            </w:pPr>
            <w:r w:rsidRPr="000E0E99">
              <w:rPr>
                <w:rFonts w:ascii="Arial" w:hAnsi="Arial" w:cs="Arial"/>
              </w:rPr>
              <w:t>My reason(s) for not prescribing are given below</w:t>
            </w:r>
            <w:r w:rsidR="009A1A5A">
              <w:rPr>
                <w:rFonts w:ascii="Arial" w:hAnsi="Arial" w:cs="Arial"/>
              </w:rPr>
              <w:t xml:space="preserve"> </w:t>
            </w:r>
            <w:r w:rsidR="009A1A5A" w:rsidRPr="009A1A5A">
              <w:rPr>
                <w:rFonts w:ascii="Arial" w:hAnsi="Arial" w:cs="Arial"/>
              </w:rPr>
              <w:t>(refer to GP considerations for shared care at end of protocol):</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61586F85" w14:textId="77777777" w:rsidR="003E1D2D" w:rsidRDefault="003E1D2D" w:rsidP="00CD65D5">
            <w:pPr>
              <w:contextualSpacing/>
              <w:rPr>
                <w:rFonts w:ascii="Arial" w:hAnsi="Arial" w:cs="Arial"/>
              </w:rPr>
            </w:pPr>
          </w:p>
          <w:p w14:paraId="15F7CFC1" w14:textId="2D86B5EC" w:rsidR="009A1A5A" w:rsidRPr="000E0E99" w:rsidRDefault="009A1A5A" w:rsidP="00CD65D5">
            <w:pPr>
              <w:contextualSpacing/>
              <w:rPr>
                <w:rFonts w:ascii="Arial" w:hAnsi="Arial" w:cs="Arial"/>
              </w:rPr>
            </w:pPr>
          </w:p>
        </w:tc>
      </w:tr>
      <w:tr w:rsidR="003E1D2D" w14:paraId="29D9E88A" w14:textId="77777777" w:rsidTr="00CD65D5">
        <w:trPr>
          <w:trHeight w:val="462"/>
        </w:trPr>
        <w:tc>
          <w:tcPr>
            <w:tcW w:w="5645" w:type="dxa"/>
            <w:gridSpan w:val="2"/>
          </w:tcPr>
          <w:p w14:paraId="4AE7A089" w14:textId="77777777" w:rsidR="003E1D2D" w:rsidRPr="00B654C0" w:rsidRDefault="003E1D2D" w:rsidP="00CD65D5">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33068DD3" w14:textId="77777777" w:rsidR="003E1D2D" w:rsidRDefault="003E1D2D" w:rsidP="00CD65D5">
            <w:pPr>
              <w:contextualSpacing/>
              <w:jc w:val="both"/>
              <w:rPr>
                <w:rFonts w:ascii="Arial" w:hAnsi="Arial" w:cs="Arial"/>
                <w:bCs/>
                <w:u w:val="single"/>
              </w:rPr>
            </w:pPr>
            <w:r w:rsidRPr="00B654C0">
              <w:rPr>
                <w:rFonts w:ascii="Arial" w:hAnsi="Arial" w:cs="Arial"/>
                <w:bCs/>
                <w:u w:val="single"/>
              </w:rPr>
              <w:t xml:space="preserve">Practice Address/Stamp: </w:t>
            </w:r>
          </w:p>
          <w:p w14:paraId="1D7B9A44" w14:textId="77777777" w:rsidR="003E1D2D" w:rsidRPr="00B654C0" w:rsidRDefault="003E1D2D" w:rsidP="00CD65D5">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3E1D2D" w14:paraId="2EB51C2D" w14:textId="77777777" w:rsidTr="00CD65D5">
        <w:trPr>
          <w:trHeight w:val="462"/>
        </w:trPr>
        <w:tc>
          <w:tcPr>
            <w:tcW w:w="5645" w:type="dxa"/>
            <w:gridSpan w:val="2"/>
          </w:tcPr>
          <w:p w14:paraId="27BAB4B3" w14:textId="77777777" w:rsidR="003E1D2D" w:rsidRPr="00B654C0" w:rsidRDefault="003E1D2D" w:rsidP="00CD65D5">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40B30434" w14:textId="77777777" w:rsidR="003E1D2D" w:rsidRPr="00B654C0" w:rsidRDefault="003E1D2D" w:rsidP="00CD65D5">
            <w:pPr>
              <w:contextualSpacing/>
              <w:jc w:val="both"/>
              <w:rPr>
                <w:rFonts w:ascii="Arial" w:hAnsi="Arial" w:cs="Arial"/>
                <w:bCs/>
                <w:sz w:val="24"/>
                <w:szCs w:val="24"/>
                <w:u w:val="single"/>
              </w:rPr>
            </w:pPr>
          </w:p>
        </w:tc>
      </w:tr>
      <w:tr w:rsidR="003E1D2D" w14:paraId="78E038A7" w14:textId="77777777" w:rsidTr="00CD65D5">
        <w:trPr>
          <w:trHeight w:val="462"/>
        </w:trPr>
        <w:tc>
          <w:tcPr>
            <w:tcW w:w="5645" w:type="dxa"/>
            <w:gridSpan w:val="2"/>
          </w:tcPr>
          <w:p w14:paraId="7506C9A7" w14:textId="77777777" w:rsidR="003E1D2D" w:rsidRPr="00B654C0" w:rsidRDefault="003E1D2D" w:rsidP="00CD65D5">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20730DAC" w14:textId="77777777" w:rsidR="003E1D2D" w:rsidRPr="00B654C0" w:rsidRDefault="003E1D2D" w:rsidP="00CD65D5">
            <w:pPr>
              <w:contextualSpacing/>
              <w:jc w:val="both"/>
              <w:rPr>
                <w:rFonts w:ascii="Arial" w:hAnsi="Arial" w:cs="Arial"/>
                <w:bCs/>
                <w:sz w:val="24"/>
                <w:szCs w:val="24"/>
                <w:u w:val="single"/>
              </w:rPr>
            </w:pPr>
          </w:p>
        </w:tc>
      </w:tr>
      <w:tr w:rsidR="003E1D2D" w14:paraId="5DCDF98E" w14:textId="77777777" w:rsidTr="00CD65D5">
        <w:trPr>
          <w:trHeight w:val="462"/>
        </w:trPr>
        <w:tc>
          <w:tcPr>
            <w:tcW w:w="5645" w:type="dxa"/>
            <w:gridSpan w:val="2"/>
          </w:tcPr>
          <w:p w14:paraId="4CEA4F36" w14:textId="77777777" w:rsidR="003E1D2D" w:rsidRPr="00B654C0" w:rsidRDefault="003E1D2D" w:rsidP="00CD65D5">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53ED9DDD" w14:textId="77777777" w:rsidR="003E1D2D" w:rsidRPr="00B654C0" w:rsidRDefault="003E1D2D" w:rsidP="00CD65D5">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0477760D" w14:textId="38FE1B57" w:rsidR="00E54FA1" w:rsidRDefault="00E54FA1" w:rsidP="00E54FA1">
      <w:pPr>
        <w:spacing w:after="120" w:line="240" w:lineRule="auto"/>
        <w:jc w:val="both"/>
        <w:rPr>
          <w:rFonts w:ascii="Arial" w:eastAsia="Times New Roman" w:hAnsi="Arial" w:cs="Arial"/>
          <w:b/>
          <w:sz w:val="24"/>
          <w:u w:val="single"/>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551451" w14:paraId="61541AAC" w14:textId="77777777" w:rsidTr="000C7F57">
        <w:trPr>
          <w:trHeight w:val="632"/>
        </w:trPr>
        <w:tc>
          <w:tcPr>
            <w:tcW w:w="10598" w:type="dxa"/>
            <w:shd w:val="clear" w:color="auto" w:fill="auto"/>
          </w:tcPr>
          <w:p w14:paraId="444D51DD" w14:textId="77777777" w:rsidR="00F32762" w:rsidRPr="00551451" w:rsidRDefault="00F32762" w:rsidP="00F32762">
            <w:pPr>
              <w:spacing w:after="0" w:line="240" w:lineRule="auto"/>
              <w:contextualSpacing/>
              <w:jc w:val="both"/>
              <w:rPr>
                <w:rFonts w:ascii="Arial" w:eastAsia="Times New Roman" w:hAnsi="Arial" w:cs="Arial"/>
                <w:b/>
                <w:bCs/>
                <w:szCs w:val="24"/>
                <w:lang w:val="en-US"/>
              </w:rPr>
            </w:pPr>
            <w:r w:rsidRPr="00551451">
              <w:rPr>
                <w:rFonts w:ascii="Arial" w:eastAsia="Times New Roman" w:hAnsi="Arial" w:cs="Arial"/>
                <w:b/>
                <w:bCs/>
                <w:sz w:val="24"/>
                <w:szCs w:val="24"/>
                <w:u w:val="single"/>
                <w:lang w:val="en-US"/>
              </w:rPr>
              <w:t>Key Primary Care Information</w:t>
            </w:r>
            <w:r w:rsidRPr="00551451">
              <w:rPr>
                <w:rFonts w:ascii="Arial" w:eastAsia="Times New Roman" w:hAnsi="Arial" w:cs="Arial"/>
                <w:b/>
                <w:bCs/>
                <w:sz w:val="24"/>
                <w:szCs w:val="24"/>
                <w:lang w:val="en-US"/>
              </w:rPr>
              <w:t xml:space="preserve"> </w:t>
            </w:r>
            <w:r w:rsidRPr="00551451">
              <w:rPr>
                <w:rFonts w:ascii="Arial" w:eastAsia="Times New Roman" w:hAnsi="Arial" w:cs="Arial"/>
                <w:b/>
                <w:bCs/>
                <w:szCs w:val="24"/>
                <w:lang w:val="en-US"/>
              </w:rPr>
              <w:t>(refer to Full Shared Care Protocol for further information)</w:t>
            </w:r>
          </w:p>
          <w:p w14:paraId="654A6F63" w14:textId="77777777" w:rsidR="00F32762" w:rsidRPr="00551451"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551451" w:rsidRDefault="00E60DF5" w:rsidP="00E60DF5">
            <w:pPr>
              <w:spacing w:after="0" w:line="240" w:lineRule="auto"/>
              <w:rPr>
                <w:rFonts w:ascii="Arial" w:eastAsia="Times New Roman" w:hAnsi="Arial" w:cs="Arial"/>
                <w:b/>
                <w:bCs/>
                <w:sz w:val="24"/>
                <w:szCs w:val="24"/>
                <w:lang w:eastAsia="en-GB"/>
              </w:rPr>
            </w:pPr>
            <w:r w:rsidRPr="00551451">
              <w:rPr>
                <w:rFonts w:ascii="Arial" w:eastAsia="Times New Roman" w:hAnsi="Arial" w:cs="Arial"/>
                <w:b/>
                <w:bCs/>
                <w:sz w:val="24"/>
                <w:szCs w:val="24"/>
                <w:lang w:eastAsia="en-GB"/>
              </w:rPr>
              <w:t>GP RESPONSIBILITIES</w:t>
            </w:r>
          </w:p>
          <w:p w14:paraId="17FC8CB8" w14:textId="77777777" w:rsidR="00E214F9" w:rsidRDefault="00E214F9" w:rsidP="00F62092">
            <w:pPr>
              <w:pStyle w:val="ListParagraph"/>
              <w:numPr>
                <w:ilvl w:val="0"/>
                <w:numId w:val="15"/>
              </w:numPr>
              <w:rPr>
                <w:rFonts w:ascii="Arial" w:hAnsi="Arial" w:cs="Arial"/>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r w:rsidRPr="00551451">
              <w:rPr>
                <w:rFonts w:ascii="Arial" w:hAnsi="Arial" w:cs="Arial"/>
              </w:rPr>
              <w:t xml:space="preserve"> </w:t>
            </w:r>
          </w:p>
          <w:p w14:paraId="26763452" w14:textId="7A281567" w:rsidR="00F62092" w:rsidRPr="00551451" w:rsidRDefault="00E214F9" w:rsidP="00F62092">
            <w:pPr>
              <w:pStyle w:val="ListParagraph"/>
              <w:numPr>
                <w:ilvl w:val="0"/>
                <w:numId w:val="15"/>
              </w:numPr>
              <w:rPr>
                <w:rFonts w:ascii="Arial" w:hAnsi="Arial" w:cs="Arial"/>
              </w:rPr>
            </w:pPr>
            <w:r>
              <w:rPr>
                <w:rFonts w:ascii="Arial" w:eastAsia="Times New Roman" w:hAnsi="Arial" w:cs="Arial"/>
                <w:bCs/>
                <w:lang w:eastAsia="en-GB"/>
              </w:rPr>
              <w:t>If shared care accepted, p</w:t>
            </w:r>
            <w:r w:rsidR="00F62092" w:rsidRPr="00551451">
              <w:rPr>
                <w:rFonts w:ascii="Arial" w:hAnsi="Arial" w:cs="Arial"/>
              </w:rPr>
              <w:t xml:space="preserve">rescribe hydroxycarbamide for stable patients </w:t>
            </w:r>
            <w:r>
              <w:rPr>
                <w:rFonts w:ascii="Arial" w:hAnsi="Arial" w:cs="Arial"/>
              </w:rPr>
              <w:t>in line with protocol and</w:t>
            </w:r>
            <w:r w:rsidR="00F62092" w:rsidRPr="00551451">
              <w:rPr>
                <w:rFonts w:ascii="Arial" w:hAnsi="Arial" w:cs="Arial"/>
              </w:rPr>
              <w:t xml:space="preserve"> consider any drug interactions.</w:t>
            </w:r>
          </w:p>
          <w:p w14:paraId="12D045B6" w14:textId="77777777" w:rsidR="00B25274" w:rsidRPr="00B25274" w:rsidRDefault="00F62092" w:rsidP="00D2710B">
            <w:pPr>
              <w:pStyle w:val="ListParagraph"/>
              <w:numPr>
                <w:ilvl w:val="0"/>
                <w:numId w:val="15"/>
              </w:numPr>
              <w:spacing w:line="240" w:lineRule="auto"/>
              <w:rPr>
                <w:rFonts w:cs="Arial"/>
                <w:szCs w:val="20"/>
              </w:rPr>
            </w:pPr>
            <w:r w:rsidRPr="00B25274">
              <w:rPr>
                <w:rFonts w:ascii="Arial" w:hAnsi="Arial" w:cs="Arial"/>
              </w:rPr>
              <w:t>Prescribe medication until the patients next blood tests. This should not be longer than 3 months, unless specified by the specialist team.</w:t>
            </w:r>
          </w:p>
          <w:p w14:paraId="6ED9FD9E" w14:textId="48E4C92C" w:rsidR="00F62092" w:rsidRPr="00B25274" w:rsidRDefault="00C025B2" w:rsidP="00D2710B">
            <w:pPr>
              <w:pStyle w:val="ListParagraph"/>
              <w:numPr>
                <w:ilvl w:val="0"/>
                <w:numId w:val="15"/>
              </w:numPr>
              <w:spacing w:line="240" w:lineRule="auto"/>
              <w:rPr>
                <w:rFonts w:ascii="Arial" w:hAnsi="Arial" w:cs="Arial"/>
                <w:szCs w:val="20"/>
              </w:rPr>
            </w:pPr>
            <w:r>
              <w:rPr>
                <w:rFonts w:ascii="Arial" w:hAnsi="Arial" w:cs="Arial"/>
                <w:szCs w:val="20"/>
              </w:rPr>
              <w:t>Conduct monitoring as outlined and c</w:t>
            </w:r>
            <w:r w:rsidR="00F62092" w:rsidRPr="00B25274">
              <w:rPr>
                <w:rFonts w:ascii="Arial" w:hAnsi="Arial" w:cs="Arial"/>
                <w:szCs w:val="20"/>
              </w:rPr>
              <w:t>ommunicate any abnormal blood results to the specialist.</w:t>
            </w:r>
          </w:p>
          <w:p w14:paraId="3BE394BA" w14:textId="2FD09D39"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Liaise with the specialist if there are delays in receiving clinic letters by the time the patient’s blood tests are scheduled. </w:t>
            </w:r>
          </w:p>
          <w:p w14:paraId="24CD8701"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Adjust the doses of hydroxycarbamide as advised by the specialist.  </w:t>
            </w:r>
          </w:p>
          <w:p w14:paraId="7BC0E642"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Help patients manage with hydroxycarbamide related adverse effects and refer to specialists if required. Report adverse events via the yellow card scheme to the MHRA.</w:t>
            </w:r>
          </w:p>
          <w:p w14:paraId="324E7B52"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Liaise with and follow specialist advice if patients miss an appointment or blood test. </w:t>
            </w:r>
          </w:p>
          <w:p w14:paraId="07DDD0AF"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Stop hydroxycarbamide and make an urgent referral to the specialist if bone marrow suppression is suspected.</w:t>
            </w:r>
          </w:p>
          <w:p w14:paraId="639B7F85"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Refer the management back to the specialist if the patient becomes or plans to become pregnant.</w:t>
            </w:r>
          </w:p>
          <w:p w14:paraId="56F1D089" w14:textId="03634D86" w:rsidR="00440CE7" w:rsidRPr="00440CE7" w:rsidRDefault="00F62092" w:rsidP="00440CE7">
            <w:pPr>
              <w:pStyle w:val="ListParagraph"/>
              <w:numPr>
                <w:ilvl w:val="0"/>
                <w:numId w:val="15"/>
              </w:numPr>
              <w:rPr>
                <w:rFonts w:ascii="Arial" w:hAnsi="Arial" w:cs="Arial"/>
              </w:rPr>
            </w:pPr>
            <w:r w:rsidRPr="00551451">
              <w:rPr>
                <w:rFonts w:ascii="Arial" w:hAnsi="Arial" w:cs="Arial"/>
              </w:rPr>
              <w:t>Stop treatment as advised by the specialist.</w:t>
            </w: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rsidRPr="00551451" w14:paraId="4CB903B1" w14:textId="77777777" w:rsidTr="00F83CD2">
              <w:trPr>
                <w:trHeight w:val="1124"/>
              </w:trPr>
              <w:tc>
                <w:tcPr>
                  <w:tcW w:w="10683" w:type="dxa"/>
                </w:tcPr>
                <w:p w14:paraId="2E8A0D53" w14:textId="77777777" w:rsidR="0015736E" w:rsidRPr="00551451" w:rsidRDefault="0015736E" w:rsidP="0015736E">
                  <w:pPr>
                    <w:keepNext/>
                    <w:spacing w:after="120"/>
                    <w:contextualSpacing/>
                    <w:jc w:val="both"/>
                    <w:outlineLvl w:val="0"/>
                    <w:rPr>
                      <w:rFonts w:ascii="Arial" w:eastAsia="Times New Roman" w:hAnsi="Arial" w:cs="Arial"/>
                      <w:b/>
                      <w:bCs/>
                      <w:szCs w:val="24"/>
                    </w:rPr>
                  </w:pPr>
                  <w:r w:rsidRPr="00551451">
                    <w:rPr>
                      <w:rFonts w:ascii="Arial" w:hAnsi="Arial" w:cs="Arial"/>
                      <w:b/>
                    </w:rPr>
                    <w:t xml:space="preserve">MONITORING </w:t>
                  </w:r>
                  <w:r w:rsidRPr="00551451">
                    <w:rPr>
                      <w:rFonts w:ascii="Arial" w:eastAsia="Times New Roman" w:hAnsi="Arial" w:cs="Arial"/>
                      <w:b/>
                      <w:bCs/>
                      <w:szCs w:val="24"/>
                    </w:rPr>
                    <w:t>AND ACTIONS TO BE TAKEN</w:t>
                  </w:r>
                </w:p>
                <w:p w14:paraId="012DE9F8" w14:textId="77777777" w:rsidR="0015736E" w:rsidRPr="00551451" w:rsidRDefault="0015736E" w:rsidP="0015736E">
                  <w:pPr>
                    <w:keepNext/>
                    <w:spacing w:after="120"/>
                    <w:contextualSpacing/>
                    <w:jc w:val="both"/>
                    <w:outlineLvl w:val="0"/>
                    <w:rPr>
                      <w:rFonts w:ascii="Arial" w:eastAsia="Times New Roman" w:hAnsi="Arial" w:cs="Arial"/>
                      <w:b/>
                      <w:bCs/>
                      <w:sz w:val="12"/>
                      <w:szCs w:val="24"/>
                    </w:rPr>
                  </w:pPr>
                </w:p>
                <w:p w14:paraId="59758724" w14:textId="2FDBE283" w:rsidR="0015736E" w:rsidRPr="00551451" w:rsidRDefault="0015736E" w:rsidP="0015736E">
                  <w:pPr>
                    <w:keepNext/>
                    <w:contextualSpacing/>
                    <w:jc w:val="both"/>
                    <w:outlineLvl w:val="0"/>
                    <w:rPr>
                      <w:rFonts w:ascii="Arial" w:eastAsia="Times New Roman" w:hAnsi="Arial" w:cs="Arial"/>
                      <w:b/>
                      <w:bCs/>
                      <w:u w:val="single"/>
                    </w:rPr>
                  </w:pPr>
                  <w:r w:rsidRPr="00551451">
                    <w:rPr>
                      <w:rFonts w:ascii="Arial" w:eastAsia="Times New Roman" w:hAnsi="Arial" w:cs="Arial"/>
                      <w:b/>
                      <w:bCs/>
                      <w:u w:val="single"/>
                    </w:rPr>
                    <w:t>Monitoring Table</w:t>
                  </w:r>
                  <w:r w:rsidR="00710AA9" w:rsidRPr="00551451">
                    <w:rPr>
                      <w:rFonts w:ascii="Arial" w:eastAsia="Times New Roman" w:hAnsi="Arial" w:cs="Arial"/>
                      <w:b/>
                      <w:bCs/>
                      <w:u w:val="single"/>
                    </w:rPr>
                    <w:t xml:space="preserve"> </w:t>
                  </w:r>
                </w:p>
                <w:p w14:paraId="218D7ECD" w14:textId="77777777" w:rsidR="00D7659F" w:rsidRPr="00551451" w:rsidRDefault="00D7659F" w:rsidP="0015736E">
                  <w:pPr>
                    <w:keepNext/>
                    <w:contextualSpacing/>
                    <w:jc w:val="both"/>
                    <w:outlineLvl w:val="0"/>
                    <w:rPr>
                      <w:rFonts w:ascii="Arial" w:eastAsia="Times New Roman" w:hAnsi="Arial" w:cs="Arial"/>
                      <w:b/>
                      <w:bCs/>
                      <w:u w:val="single"/>
                    </w:rPr>
                  </w:pPr>
                </w:p>
                <w:p w14:paraId="09DA4986" w14:textId="77777777" w:rsidR="00F83CD2" w:rsidRPr="00551451" w:rsidRDefault="00F83CD2" w:rsidP="00F83CD2">
                  <w:pPr>
                    <w:rPr>
                      <w:rFonts w:ascii="Arial" w:hAnsi="Arial" w:cs="Arial"/>
                    </w:rPr>
                  </w:pPr>
                  <w:r w:rsidRPr="00551451">
                    <w:rPr>
                      <w:rFonts w:ascii="Arial" w:hAnsi="Arial" w:cs="Arial"/>
                    </w:rPr>
                    <w:t>Monitoring at baseline and during initiation is the responsibility of the specialist. Care should only be transferred once the patient is optimised on hydroxycarbamide with no anticipated further changes expected in the immediate future.</w:t>
                  </w:r>
                </w:p>
                <w:p w14:paraId="1643545A" w14:textId="77777777" w:rsidR="00F83CD2" w:rsidRPr="00551451" w:rsidRDefault="00F83CD2" w:rsidP="00F83CD2">
                  <w:pPr>
                    <w:rPr>
                      <w:rFonts w:ascii="Arial" w:hAnsi="Arial" w:cs="Arial"/>
                    </w:rPr>
                  </w:pPr>
                </w:p>
                <w:p w14:paraId="3007BCCA" w14:textId="77777777" w:rsidR="00F83CD2" w:rsidRPr="00551451" w:rsidRDefault="00F83CD2" w:rsidP="00F83CD2">
                  <w:pPr>
                    <w:rPr>
                      <w:rFonts w:ascii="Arial" w:hAnsi="Arial" w:cs="Arial"/>
                      <w:i/>
                      <w:iCs/>
                    </w:rPr>
                  </w:pPr>
                  <w:r w:rsidRPr="00551451">
                    <w:rPr>
                      <w:rFonts w:ascii="Arial" w:hAnsi="Arial" w:cs="Arial"/>
                      <w:i/>
                      <w:iCs/>
                    </w:rPr>
                    <w:t>Baseline investigations:</w:t>
                  </w:r>
                </w:p>
                <w:p w14:paraId="33E25EC9"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FBC</w:t>
                  </w:r>
                </w:p>
                <w:p w14:paraId="0E5B10DA"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Urea and electrolytes (U&amp;Es)</w:t>
                  </w:r>
                </w:p>
                <w:p w14:paraId="56A227C7"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Liver function tests (LFTs)</w:t>
                  </w:r>
                </w:p>
                <w:p w14:paraId="25DCDA0E" w14:textId="5883D4F5" w:rsidR="00F83CD2" w:rsidRPr="00551451" w:rsidRDefault="00F83CD2" w:rsidP="00F83CD2">
                  <w:pPr>
                    <w:pStyle w:val="ListParagraph"/>
                    <w:numPr>
                      <w:ilvl w:val="0"/>
                      <w:numId w:val="17"/>
                    </w:numPr>
                    <w:rPr>
                      <w:rFonts w:ascii="Arial" w:hAnsi="Arial" w:cs="Arial"/>
                    </w:rPr>
                  </w:pPr>
                  <w:r w:rsidRPr="00551451">
                    <w:rPr>
                      <w:rFonts w:ascii="Arial" w:hAnsi="Arial" w:cs="Arial"/>
                    </w:rPr>
                    <w:t>Screening for viral infections as per local policy, e.g. HIV, hepatitis B and C, varicella zoster, Epstein Barr virus, cytomegalovirus</w:t>
                  </w:r>
                  <w:r w:rsidR="007C2271">
                    <w:rPr>
                      <w:rFonts w:ascii="Arial" w:hAnsi="Arial" w:cs="Arial"/>
                    </w:rPr>
                    <w:t xml:space="preserve"> </w:t>
                  </w:r>
                  <w:r w:rsidR="007C2271" w:rsidRPr="00551451">
                    <w:rPr>
                      <w:rFonts w:ascii="Arial" w:hAnsi="Arial" w:cs="Arial"/>
                    </w:rPr>
                    <w:t>should be undertaken at clinical discretion on a case-by-case basis</w:t>
                  </w:r>
                </w:p>
                <w:p w14:paraId="24A61FFB"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Screening for lung disease, including interstitial lung disease and tuberculosis, should be undertaken at clinical discretion on a case-by-case basis</w:t>
                  </w:r>
                </w:p>
                <w:p w14:paraId="1425B24F"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Appropriate vaccinations, including pneumococcal, influenza, shingles and COVID-19, are recommended prior to treatment initiation</w:t>
                  </w:r>
                </w:p>
                <w:p w14:paraId="0536372D" w14:textId="77777777" w:rsidR="00F83CD2" w:rsidRPr="00551451" w:rsidRDefault="00F83CD2" w:rsidP="00F83CD2">
                  <w:pPr>
                    <w:rPr>
                      <w:rFonts w:ascii="Arial" w:hAnsi="Arial" w:cs="Arial"/>
                      <w:i/>
                      <w:iCs/>
                    </w:rPr>
                  </w:pPr>
                </w:p>
                <w:p w14:paraId="0BEF6EDA" w14:textId="77777777" w:rsidR="00F83CD2" w:rsidRPr="00551451" w:rsidRDefault="00F83CD2" w:rsidP="00F83CD2">
                  <w:pPr>
                    <w:rPr>
                      <w:rFonts w:ascii="Arial" w:hAnsi="Arial" w:cs="Arial"/>
                      <w:i/>
                      <w:iCs/>
                    </w:rPr>
                  </w:pPr>
                  <w:r w:rsidRPr="00551451">
                    <w:rPr>
                      <w:rFonts w:ascii="Arial" w:hAnsi="Arial" w:cs="Arial"/>
                      <w:i/>
                      <w:iCs/>
                    </w:rPr>
                    <w:t>Initial monitoring:</w:t>
                  </w:r>
                </w:p>
                <w:p w14:paraId="7B7C48D4" w14:textId="77777777" w:rsidR="00F83CD2" w:rsidRPr="00551451" w:rsidRDefault="00F83CD2" w:rsidP="00F83CD2">
                  <w:pPr>
                    <w:rPr>
                      <w:rFonts w:ascii="Arial" w:hAnsi="Arial" w:cs="Arial"/>
                    </w:rPr>
                  </w:pPr>
                </w:p>
                <w:p w14:paraId="6A02F096" w14:textId="548DB224" w:rsidR="00F83CD2" w:rsidRPr="00551451" w:rsidRDefault="00F83CD2" w:rsidP="00F83CD2">
                  <w:pPr>
                    <w:rPr>
                      <w:rFonts w:ascii="Arial" w:hAnsi="Arial" w:cs="Arial"/>
                    </w:rPr>
                  </w:pPr>
                  <w:r w:rsidRPr="00551451">
                    <w:rPr>
                      <w:rFonts w:ascii="Arial" w:hAnsi="Arial" w:cs="Arial"/>
                    </w:rPr>
                    <w:t xml:space="preserve">Repeat every 2 weeks </w:t>
                  </w:r>
                  <w:r w:rsidR="004D18E0">
                    <w:rPr>
                      <w:rFonts w:ascii="Arial" w:hAnsi="Arial" w:cs="Arial"/>
                    </w:rPr>
                    <w:t xml:space="preserve">(or as indicated by specialist) </w:t>
                  </w:r>
                  <w:r w:rsidRPr="00551451">
                    <w:rPr>
                      <w:rFonts w:ascii="Arial" w:hAnsi="Arial" w:cs="Arial"/>
                    </w:rPr>
                    <w:t>until dosage is optimised and all test results are stable (minimum of 12 weeks).</w:t>
                  </w:r>
                </w:p>
                <w:p w14:paraId="0DD4A933"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FBC</w:t>
                  </w:r>
                </w:p>
                <w:p w14:paraId="326BC2EC"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Urea and electrolytes (U&amp;Es)</w:t>
                  </w:r>
                </w:p>
                <w:p w14:paraId="6B21B6D1"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Liver function tests (LFTs)</w:t>
                  </w:r>
                </w:p>
                <w:p w14:paraId="076F5D06" w14:textId="77777777" w:rsidR="00F83CD2" w:rsidRPr="00551451" w:rsidRDefault="00F83CD2" w:rsidP="00F83CD2">
                  <w:pPr>
                    <w:rPr>
                      <w:rFonts w:ascii="Arial" w:hAnsi="Arial" w:cs="Arial"/>
                    </w:rPr>
                  </w:pPr>
                </w:p>
                <w:p w14:paraId="565074A3" w14:textId="77777777" w:rsidR="00F83CD2" w:rsidRPr="00551451" w:rsidRDefault="00F83CD2" w:rsidP="00F83CD2">
                  <w:pPr>
                    <w:rPr>
                      <w:rFonts w:ascii="Arial" w:hAnsi="Arial" w:cs="Arial"/>
                      <w:i/>
                      <w:iCs/>
                    </w:rPr>
                  </w:pPr>
                  <w:r w:rsidRPr="00551451">
                    <w:rPr>
                      <w:rFonts w:ascii="Arial" w:hAnsi="Arial" w:cs="Arial"/>
                      <w:i/>
                      <w:iCs/>
                    </w:rPr>
                    <w:t>Ongoing monitoring:</w:t>
                  </w:r>
                </w:p>
                <w:p w14:paraId="679779AA" w14:textId="77777777" w:rsidR="00F83CD2" w:rsidRPr="00551451" w:rsidRDefault="00F83CD2" w:rsidP="00F83CD2">
                  <w:pPr>
                    <w:rPr>
                      <w:rFonts w:ascii="Arial" w:hAnsi="Arial" w:cs="Arial"/>
                      <w:i/>
                      <w:iCs/>
                    </w:rPr>
                  </w:pPr>
                </w:p>
                <w:p w14:paraId="3923508A" w14:textId="77777777" w:rsidR="00F83CD2" w:rsidRPr="00551451" w:rsidRDefault="00F83CD2" w:rsidP="00F83CD2">
                  <w:pPr>
                    <w:rPr>
                      <w:rFonts w:ascii="Arial" w:hAnsi="Arial" w:cs="Arial"/>
                    </w:rPr>
                  </w:pPr>
                  <w:r w:rsidRPr="00551451">
                    <w:rPr>
                      <w:rFonts w:ascii="Arial" w:hAnsi="Arial" w:cs="Arial"/>
                    </w:rPr>
                    <w:t>The specialist will retain responsibility for monitoring the patient’s ongoing response to treatment and advise if a dose change or treatment cessation is appropriate. After each review, primary care should be advised whether treatment cessation is appropriate.</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25"/>
                    <w:gridCol w:w="4536"/>
                  </w:tblGrid>
                  <w:tr w:rsidR="00F83CD2" w:rsidRPr="007C2271" w14:paraId="48D8E764" w14:textId="77777777" w:rsidTr="007C2271">
                    <w:trPr>
                      <w:trHeight w:val="135"/>
                    </w:trPr>
                    <w:tc>
                      <w:tcPr>
                        <w:tcW w:w="5425" w:type="dxa"/>
                        <w:shd w:val="clear" w:color="auto" w:fill="F2F2F2" w:themeFill="background1" w:themeFillShade="F2"/>
                      </w:tcPr>
                      <w:p w14:paraId="08E8A174" w14:textId="77777777" w:rsidR="00F83CD2" w:rsidRPr="007C2271" w:rsidRDefault="00F83CD2" w:rsidP="00F83CD2">
                        <w:pPr>
                          <w:keepNext/>
                          <w:spacing w:before="60" w:after="60" w:line="240" w:lineRule="auto"/>
                          <w:jc w:val="center"/>
                          <w:rPr>
                            <w:rFonts w:ascii="Arial" w:eastAsia="Times New Roman" w:hAnsi="Arial" w:cs="Arial"/>
                            <w:b/>
                            <w:szCs w:val="24"/>
                            <w:lang w:eastAsia="en-GB"/>
                          </w:rPr>
                        </w:pPr>
                        <w:r w:rsidRPr="007C2271">
                          <w:rPr>
                            <w:rFonts w:ascii="Arial" w:eastAsia="Times New Roman" w:hAnsi="Arial" w:cs="Arial"/>
                            <w:b/>
                            <w:szCs w:val="24"/>
                            <w:lang w:eastAsia="en-GB"/>
                          </w:rPr>
                          <w:lastRenderedPageBreak/>
                          <w:t>Monitoring and advice</w:t>
                        </w:r>
                      </w:p>
                    </w:tc>
                    <w:tc>
                      <w:tcPr>
                        <w:tcW w:w="4536" w:type="dxa"/>
                        <w:shd w:val="clear" w:color="auto" w:fill="F2F2F2" w:themeFill="background1" w:themeFillShade="F2"/>
                      </w:tcPr>
                      <w:p w14:paraId="5F869397" w14:textId="77777777" w:rsidR="00F83CD2" w:rsidRPr="007C2271" w:rsidRDefault="00F83CD2" w:rsidP="00F83CD2">
                        <w:pPr>
                          <w:spacing w:before="60" w:after="60" w:line="240" w:lineRule="auto"/>
                          <w:jc w:val="center"/>
                          <w:rPr>
                            <w:rFonts w:ascii="Arial" w:eastAsia="Times New Roman" w:hAnsi="Arial" w:cs="Arial"/>
                            <w:b/>
                            <w:szCs w:val="24"/>
                            <w:lang w:eastAsia="en-GB"/>
                          </w:rPr>
                        </w:pPr>
                        <w:r w:rsidRPr="007C2271">
                          <w:rPr>
                            <w:rFonts w:ascii="Arial" w:eastAsia="Times New Roman" w:hAnsi="Arial" w:cs="Arial"/>
                            <w:b/>
                            <w:szCs w:val="24"/>
                            <w:lang w:eastAsia="en-GB"/>
                          </w:rPr>
                          <w:t>Frequency</w:t>
                        </w:r>
                      </w:p>
                    </w:tc>
                  </w:tr>
                  <w:tr w:rsidR="00F83CD2" w:rsidRPr="007C2271" w14:paraId="6507F529" w14:textId="77777777" w:rsidTr="00212AAB">
                    <w:trPr>
                      <w:trHeight w:val="1062"/>
                    </w:trPr>
                    <w:tc>
                      <w:tcPr>
                        <w:tcW w:w="5425" w:type="dxa"/>
                        <w:shd w:val="clear" w:color="auto" w:fill="auto"/>
                      </w:tcPr>
                      <w:p w14:paraId="4431B182" w14:textId="77777777" w:rsidR="00F83CD2" w:rsidRPr="007C2271" w:rsidRDefault="00F83CD2" w:rsidP="00F83CD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FBC</w:t>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p>
                      <w:p w14:paraId="41739B53" w14:textId="77777777" w:rsidR="00F83CD2" w:rsidRPr="007C2271" w:rsidRDefault="00F83CD2" w:rsidP="00F83CD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U&amp;Es</w:t>
                        </w:r>
                      </w:p>
                      <w:p w14:paraId="13331F11" w14:textId="379A8AF4" w:rsidR="00F83CD2" w:rsidRPr="00A82DB2" w:rsidRDefault="00F83CD2" w:rsidP="00A82DB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LFTs</w:t>
                        </w:r>
                      </w:p>
                    </w:tc>
                    <w:tc>
                      <w:tcPr>
                        <w:tcW w:w="4536" w:type="dxa"/>
                        <w:shd w:val="clear" w:color="auto" w:fill="auto"/>
                      </w:tcPr>
                      <w:p w14:paraId="1795DE3A" w14:textId="77777777" w:rsidR="004D18E0" w:rsidRPr="007C2271" w:rsidRDefault="004D18E0" w:rsidP="004D18E0">
                        <w:pPr>
                          <w:pStyle w:val="Default"/>
                          <w:rPr>
                            <w:sz w:val="22"/>
                          </w:rPr>
                        </w:pPr>
                        <w:r w:rsidRPr="007C2271">
                          <w:rPr>
                            <w:sz w:val="22"/>
                          </w:rPr>
                          <w:t xml:space="preserve">Every 8-12 weeks </w:t>
                        </w:r>
                      </w:p>
                      <w:p w14:paraId="2404BE5F" w14:textId="691CDC5E" w:rsidR="00F83CD2" w:rsidRPr="007C2271" w:rsidRDefault="004D18E0" w:rsidP="004D18E0">
                        <w:pPr>
                          <w:rPr>
                            <w:rFonts w:ascii="Arial" w:hAnsi="Arial" w:cs="Arial"/>
                            <w:b/>
                            <w:szCs w:val="24"/>
                            <w:lang w:eastAsia="en-GB"/>
                          </w:rPr>
                        </w:pPr>
                        <w:r w:rsidRPr="007C2271">
                          <w:rPr>
                            <w:rFonts w:ascii="Arial" w:hAnsi="Arial" w:cs="Arial"/>
                            <w:b/>
                            <w:bCs/>
                            <w:szCs w:val="24"/>
                          </w:rPr>
                          <w:t>The exact frequency of monitoring to be communicated by the specialist in all cases</w:t>
                        </w:r>
                        <w:r w:rsidRPr="007C2271">
                          <w:rPr>
                            <w:rFonts w:ascii="Arial" w:hAnsi="Arial" w:cs="Arial"/>
                            <w:szCs w:val="24"/>
                          </w:rPr>
                          <w:t xml:space="preserve">. </w:t>
                        </w:r>
                      </w:p>
                    </w:tc>
                  </w:tr>
                  <w:tr w:rsidR="00F83CD2" w:rsidRPr="007C2271" w14:paraId="513F80BE" w14:textId="77777777" w:rsidTr="007C2271">
                    <w:trPr>
                      <w:trHeight w:val="135"/>
                    </w:trPr>
                    <w:tc>
                      <w:tcPr>
                        <w:tcW w:w="5425" w:type="dxa"/>
                        <w:shd w:val="clear" w:color="auto" w:fill="auto"/>
                      </w:tcPr>
                      <w:p w14:paraId="7D551E00" w14:textId="5B4C46C8" w:rsidR="00F83CD2" w:rsidRPr="007C2271" w:rsidRDefault="00F83CD2" w:rsidP="00F83CD2">
                        <w:pPr>
                          <w:pStyle w:val="Default"/>
                          <w:numPr>
                            <w:ilvl w:val="0"/>
                            <w:numId w:val="20"/>
                          </w:numPr>
                          <w:spacing w:before="60" w:after="60"/>
                          <w:contextualSpacing/>
                          <w:rPr>
                            <w:sz w:val="22"/>
                          </w:rPr>
                        </w:pPr>
                        <w:r w:rsidRPr="007C2271">
                          <w:rPr>
                            <w:sz w:val="22"/>
                          </w:rPr>
                          <w:t xml:space="preserve">Patients aged </w:t>
                        </w:r>
                        <w:r w:rsidR="004D18E0" w:rsidRPr="007C2271">
                          <w:rPr>
                            <w:sz w:val="22"/>
                          </w:rPr>
                          <w:t>65</w:t>
                        </w:r>
                        <w:r w:rsidRPr="007C2271">
                          <w:rPr>
                            <w:sz w:val="22"/>
                          </w:rPr>
                          <w:t xml:space="preserve">-79 years old could be eligible for the shingles vaccine (herpes zoster). For patients taking hydroxycarbamide and/or doses of prednisolone exceeding 20mg daily, a non-live vaccine should be used. Specialist input may be required.  Refer to </w:t>
                        </w:r>
                        <w:hyperlink r:id="rId10" w:history="1">
                          <w:r w:rsidRPr="007C2271">
                            <w:rPr>
                              <w:rStyle w:val="Hyperlink"/>
                              <w:sz w:val="22"/>
                            </w:rPr>
                            <w:t>Green Book Chapter 6 (Contraindications and special considerations)</w:t>
                          </w:r>
                        </w:hyperlink>
                        <w:r w:rsidRPr="007C2271">
                          <w:rPr>
                            <w:rStyle w:val="Hyperlink"/>
                            <w:sz w:val="22"/>
                          </w:rPr>
                          <w:t xml:space="preserve"> and </w:t>
                        </w:r>
                        <w:hyperlink r:id="rId11" w:history="1">
                          <w:r w:rsidRPr="007C2271">
                            <w:rPr>
                              <w:rStyle w:val="Hyperlink"/>
                              <w:sz w:val="22"/>
                            </w:rPr>
                            <w:t>Green Book Chapter 28a (Shingles)</w:t>
                          </w:r>
                        </w:hyperlink>
                        <w:r w:rsidRPr="007C2271">
                          <w:rPr>
                            <w:sz w:val="22"/>
                          </w:rPr>
                          <w:t xml:space="preserve"> for further details.</w:t>
                        </w:r>
                      </w:p>
                      <w:p w14:paraId="456CECB9" w14:textId="77777777" w:rsidR="00F83CD2" w:rsidRPr="007C2271" w:rsidRDefault="00F83CD2" w:rsidP="00F83CD2">
                        <w:pPr>
                          <w:pStyle w:val="Default"/>
                          <w:numPr>
                            <w:ilvl w:val="0"/>
                            <w:numId w:val="20"/>
                          </w:numPr>
                          <w:spacing w:before="60" w:after="60"/>
                          <w:contextualSpacing/>
                          <w:rPr>
                            <w:bCs/>
                            <w:iCs/>
                            <w:sz w:val="22"/>
                          </w:rPr>
                        </w:pPr>
                        <w:r w:rsidRPr="007C2271">
                          <w:rPr>
                            <w:b/>
                            <w:bCs/>
                            <w:iCs/>
                            <w:sz w:val="22"/>
                          </w:rPr>
                          <w:t xml:space="preserve">Annual </w:t>
                        </w:r>
                        <w:r w:rsidRPr="007C2271">
                          <w:rPr>
                            <w:bCs/>
                            <w:iCs/>
                            <w:sz w:val="22"/>
                          </w:rPr>
                          <w:t>influenza (</w:t>
                        </w:r>
                        <w:hyperlink r:id="rId12" w:history="1">
                          <w:r w:rsidRPr="007C2271">
                            <w:rPr>
                              <w:rStyle w:val="Hyperlink"/>
                              <w:bCs/>
                              <w:iCs/>
                              <w:sz w:val="22"/>
                            </w:rPr>
                            <w:t>The Green Book, Chapter 19</w:t>
                          </w:r>
                        </w:hyperlink>
                        <w:r w:rsidRPr="007C2271">
                          <w:rPr>
                            <w:bCs/>
                            <w:iCs/>
                            <w:sz w:val="22"/>
                          </w:rPr>
                          <w:t>) vaccinations are recommended.</w:t>
                        </w:r>
                      </w:p>
                      <w:p w14:paraId="7EC23F75" w14:textId="77777777" w:rsidR="00F83CD2" w:rsidRPr="007C2271" w:rsidRDefault="00F83CD2" w:rsidP="00F83CD2">
                        <w:pPr>
                          <w:pStyle w:val="Default"/>
                          <w:numPr>
                            <w:ilvl w:val="0"/>
                            <w:numId w:val="20"/>
                          </w:numPr>
                          <w:spacing w:before="60" w:after="60"/>
                          <w:contextualSpacing/>
                          <w:rPr>
                            <w:bCs/>
                            <w:iCs/>
                            <w:sz w:val="22"/>
                          </w:rPr>
                        </w:pPr>
                        <w:r w:rsidRPr="007C2271">
                          <w:rPr>
                            <w:bCs/>
                            <w:sz w:val="22"/>
                          </w:rPr>
                          <w:t>COVID-19 vaccination (</w:t>
                        </w:r>
                        <w:hyperlink r:id="rId13" w:history="1">
                          <w:r w:rsidRPr="007C2271">
                            <w:rPr>
                              <w:rStyle w:val="Hyperlink"/>
                              <w:bCs/>
                              <w:sz w:val="22"/>
                            </w:rPr>
                            <w:t>The Green Book, Chapter 14a</w:t>
                          </w:r>
                        </w:hyperlink>
                        <w:r w:rsidRPr="007C2271">
                          <w:rPr>
                            <w:bCs/>
                            <w:sz w:val="22"/>
                          </w:rPr>
                          <w:t xml:space="preserve">) is safe and recommended. </w:t>
                        </w:r>
                      </w:p>
                      <w:p w14:paraId="7D096BED" w14:textId="77777777" w:rsidR="00F83CD2" w:rsidRPr="007C2271" w:rsidRDefault="00F83CD2" w:rsidP="00F83CD2">
                        <w:pPr>
                          <w:pStyle w:val="ListParagraph"/>
                          <w:numPr>
                            <w:ilvl w:val="0"/>
                            <w:numId w:val="22"/>
                          </w:numPr>
                          <w:spacing w:after="120" w:line="360" w:lineRule="atLeast"/>
                          <w:contextualSpacing w:val="0"/>
                          <w:rPr>
                            <w:rFonts w:ascii="Arial" w:eastAsia="Times New Roman" w:hAnsi="Arial" w:cs="Arial"/>
                            <w:szCs w:val="24"/>
                            <w:lang w:eastAsia="en-GB"/>
                          </w:rPr>
                        </w:pPr>
                        <w:r w:rsidRPr="007C2271">
                          <w:rPr>
                            <w:rFonts w:ascii="Arial" w:hAnsi="Arial" w:cs="Arial"/>
                            <w:bCs/>
                            <w:iCs/>
                            <w:szCs w:val="24"/>
                          </w:rPr>
                          <w:t xml:space="preserve">Repeat pneumococcal vaccine may be indicated. See </w:t>
                        </w:r>
                        <w:hyperlink r:id="rId14" w:history="1">
                          <w:r w:rsidRPr="007C2271">
                            <w:rPr>
                              <w:rStyle w:val="Hyperlink"/>
                              <w:rFonts w:ascii="Arial" w:hAnsi="Arial" w:cs="Arial"/>
                              <w:bCs/>
                              <w:iCs/>
                              <w:szCs w:val="24"/>
                            </w:rPr>
                            <w:t>Green Book Chapter 25</w:t>
                          </w:r>
                        </w:hyperlink>
                        <w:r w:rsidRPr="007C2271">
                          <w:rPr>
                            <w:rFonts w:ascii="Arial" w:hAnsi="Arial" w:cs="Arial"/>
                            <w:bCs/>
                            <w:iCs/>
                            <w:szCs w:val="24"/>
                          </w:rPr>
                          <w:t xml:space="preserve"> for advice.</w:t>
                        </w:r>
                      </w:p>
                    </w:tc>
                    <w:tc>
                      <w:tcPr>
                        <w:tcW w:w="4536" w:type="dxa"/>
                        <w:shd w:val="clear" w:color="auto" w:fill="auto"/>
                      </w:tcPr>
                      <w:p w14:paraId="6D7E702F" w14:textId="77777777" w:rsidR="00F83CD2" w:rsidRPr="007C2271" w:rsidRDefault="00F83CD2" w:rsidP="00F83CD2">
                        <w:pPr>
                          <w:pStyle w:val="ListParagraph"/>
                          <w:numPr>
                            <w:ilvl w:val="0"/>
                            <w:numId w:val="21"/>
                          </w:numPr>
                          <w:spacing w:before="60" w:after="60" w:line="240" w:lineRule="auto"/>
                          <w:rPr>
                            <w:rFonts w:ascii="Arial" w:hAnsi="Arial" w:cs="Arial"/>
                            <w:color w:val="000000"/>
                            <w:szCs w:val="24"/>
                            <w:lang w:eastAsia="en-GB"/>
                          </w:rPr>
                        </w:pPr>
                        <w:r w:rsidRPr="007C2271">
                          <w:rPr>
                            <w:rFonts w:ascii="Arial" w:hAnsi="Arial" w:cs="Arial"/>
                            <w:color w:val="000000"/>
                            <w:szCs w:val="24"/>
                            <w:lang w:eastAsia="en-GB"/>
                          </w:rPr>
                          <w:t>Shingles vaccination: single course</w:t>
                        </w:r>
                      </w:p>
                      <w:p w14:paraId="26A2BC7A" w14:textId="77777777" w:rsidR="00F83CD2" w:rsidRPr="007C2271" w:rsidRDefault="00F83CD2" w:rsidP="00F83CD2">
                        <w:pPr>
                          <w:pStyle w:val="ListParagraph"/>
                          <w:numPr>
                            <w:ilvl w:val="0"/>
                            <w:numId w:val="21"/>
                          </w:numPr>
                          <w:spacing w:before="60" w:after="60" w:line="240" w:lineRule="auto"/>
                          <w:rPr>
                            <w:rFonts w:ascii="Arial" w:hAnsi="Arial" w:cs="Arial"/>
                            <w:color w:val="000000"/>
                            <w:szCs w:val="24"/>
                            <w:lang w:eastAsia="en-GB"/>
                          </w:rPr>
                        </w:pPr>
                        <w:r w:rsidRPr="007C2271">
                          <w:rPr>
                            <w:rFonts w:ascii="Arial" w:hAnsi="Arial" w:cs="Arial"/>
                            <w:color w:val="000000"/>
                            <w:szCs w:val="24"/>
                            <w:lang w:eastAsia="en-GB"/>
                          </w:rPr>
                          <w:t>Influenza vaccination: annual. It is advisable to add the patient to the influenza vaccine list.</w:t>
                        </w:r>
                      </w:p>
                      <w:p w14:paraId="4C256278" w14:textId="77777777" w:rsidR="00F83CD2" w:rsidRPr="007C2271" w:rsidRDefault="00F83CD2" w:rsidP="00F83CD2">
                        <w:pPr>
                          <w:rPr>
                            <w:rFonts w:ascii="Arial" w:hAnsi="Arial" w:cs="Arial"/>
                            <w:szCs w:val="24"/>
                            <w:lang w:eastAsia="en-GB"/>
                          </w:rPr>
                        </w:pPr>
                        <w:r w:rsidRPr="007C2271">
                          <w:rPr>
                            <w:rFonts w:ascii="Arial" w:hAnsi="Arial" w:cs="Arial"/>
                            <w:color w:val="000000"/>
                            <w:szCs w:val="24"/>
                            <w:lang w:eastAsia="en-GB"/>
                          </w:rPr>
                          <w:t>Other vaccinations as per national schedule.</w:t>
                        </w:r>
                      </w:p>
                    </w:tc>
                  </w:tr>
                  <w:tr w:rsidR="00F83CD2" w:rsidRPr="007C2271" w14:paraId="46428AC5" w14:textId="77777777" w:rsidTr="00472785">
                    <w:trPr>
                      <w:trHeight w:val="135"/>
                    </w:trPr>
                    <w:tc>
                      <w:tcPr>
                        <w:tcW w:w="9961" w:type="dxa"/>
                        <w:gridSpan w:val="2"/>
                        <w:shd w:val="clear" w:color="auto" w:fill="auto"/>
                      </w:tcPr>
                      <w:p w14:paraId="0C3AC920" w14:textId="77777777" w:rsidR="00F83CD2" w:rsidRPr="007C2271" w:rsidRDefault="00F83CD2" w:rsidP="00F83CD2">
                        <w:pPr>
                          <w:spacing w:line="257" w:lineRule="auto"/>
                          <w:rPr>
                            <w:rFonts w:ascii="Arial" w:hAnsi="Arial" w:cs="Arial"/>
                            <w:szCs w:val="24"/>
                          </w:rPr>
                        </w:pPr>
                        <w:r w:rsidRPr="007C2271">
                          <w:rPr>
                            <w:rFonts w:ascii="Arial" w:eastAsia="Arial" w:hAnsi="Arial" w:cs="Arial"/>
                            <w:b/>
                            <w:bCs/>
                            <w:szCs w:val="24"/>
                          </w:rPr>
                          <w:t>(If relevant) If monitoring results are forwarded to the specialist team, please include clear clinical information on the reason for sending, to inform action to be taken by secondary care.</w:t>
                        </w:r>
                      </w:p>
                    </w:tc>
                  </w:tr>
                </w:tbl>
                <w:p w14:paraId="774AEC50" w14:textId="376FEEE6" w:rsidR="0015736E" w:rsidRPr="00551451" w:rsidRDefault="0015736E" w:rsidP="00F83CD2">
                  <w:pPr>
                    <w:tabs>
                      <w:tab w:val="left" w:pos="1548"/>
                    </w:tabs>
                    <w:spacing w:after="40"/>
                    <w:rPr>
                      <w:rFonts w:ascii="Arial" w:hAnsi="Arial" w:cs="Arial"/>
                    </w:rPr>
                  </w:pPr>
                </w:p>
                <w:p w14:paraId="10589F58" w14:textId="77777777" w:rsidR="0015736E" w:rsidRPr="00551451" w:rsidRDefault="0015736E" w:rsidP="0015736E">
                  <w:pPr>
                    <w:spacing w:after="40"/>
                    <w:rPr>
                      <w:rFonts w:ascii="Arial" w:hAnsi="Arial" w:cs="Arial"/>
                      <w:b/>
                      <w:u w:val="single"/>
                    </w:rPr>
                  </w:pPr>
                  <w:r w:rsidRPr="00551451">
                    <w:rPr>
                      <w:rFonts w:ascii="Arial" w:hAnsi="Arial" w:cs="Arial"/>
                      <w:b/>
                      <w:u w:val="single"/>
                    </w:rPr>
                    <w:t>Action to be taken if Abnormal Result</w:t>
                  </w:r>
                </w:p>
                <w:p w14:paraId="32E5A433" w14:textId="0147B730" w:rsidR="00710AA9" w:rsidRPr="00551451" w:rsidRDefault="00710AA9" w:rsidP="00EF3E34">
                  <w:pPr>
                    <w:spacing w:after="120"/>
                    <w:rPr>
                      <w:rFonts w:ascii="Arial" w:hAnsi="Arial" w:cs="Arial"/>
                    </w:rPr>
                  </w:pPr>
                  <w:r w:rsidRPr="00551451">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E06022" w:rsidRPr="00551451">
                    <w:rPr>
                      <w:rFonts w:ascii="Arial" w:hAnsi="Arial" w:cs="Arial"/>
                    </w:rPr>
                    <w:t>.</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032"/>
                    <w:gridCol w:w="4279"/>
                  </w:tblGrid>
                  <w:tr w:rsidR="00F83CD2" w:rsidRPr="00551451" w14:paraId="4A0A38EB" w14:textId="77777777" w:rsidTr="00F83CD2">
                    <w:trPr>
                      <w:trHeight w:val="357"/>
                      <w:jc w:val="center"/>
                    </w:trPr>
                    <w:tc>
                      <w:tcPr>
                        <w:tcW w:w="5032" w:type="dxa"/>
                        <w:shd w:val="clear" w:color="auto" w:fill="F2F2F2"/>
                      </w:tcPr>
                      <w:p w14:paraId="08CE7873" w14:textId="77777777" w:rsidR="00F83CD2" w:rsidRPr="00551451" w:rsidRDefault="00F83CD2" w:rsidP="00F83CD2">
                        <w:pPr>
                          <w:spacing w:before="60" w:after="60" w:line="240" w:lineRule="auto"/>
                          <w:jc w:val="center"/>
                          <w:rPr>
                            <w:rFonts w:ascii="Arial" w:eastAsia="Times New Roman" w:hAnsi="Arial" w:cs="Arial"/>
                            <w:b/>
                            <w:kern w:val="2"/>
                            <w:lang w:eastAsia="en-GB"/>
                          </w:rPr>
                        </w:pPr>
                        <w:r w:rsidRPr="00551451">
                          <w:rPr>
                            <w:rFonts w:ascii="Arial" w:eastAsia="Times New Roman" w:hAnsi="Arial" w:cs="Arial"/>
                            <w:b/>
                            <w:kern w:val="2"/>
                            <w:lang w:eastAsia="en-GB"/>
                          </w:rPr>
                          <w:t>Abnormal Result</w:t>
                        </w:r>
                      </w:p>
                    </w:tc>
                    <w:tc>
                      <w:tcPr>
                        <w:tcW w:w="4279" w:type="dxa"/>
                        <w:shd w:val="clear" w:color="auto" w:fill="F2F2F2"/>
                      </w:tcPr>
                      <w:p w14:paraId="73EF9A95" w14:textId="77777777" w:rsidR="00F83CD2" w:rsidRPr="00551451" w:rsidRDefault="00F83CD2" w:rsidP="00F83CD2">
                        <w:pPr>
                          <w:spacing w:before="60" w:after="60" w:line="240" w:lineRule="auto"/>
                          <w:jc w:val="center"/>
                          <w:rPr>
                            <w:rFonts w:ascii="Arial" w:eastAsia="Times New Roman" w:hAnsi="Arial" w:cs="Arial"/>
                            <w:b/>
                            <w:kern w:val="2"/>
                            <w:lang w:eastAsia="en-GB"/>
                          </w:rPr>
                        </w:pPr>
                        <w:r w:rsidRPr="00551451">
                          <w:rPr>
                            <w:rFonts w:ascii="Arial" w:eastAsia="Times New Roman" w:hAnsi="Arial" w:cs="Arial"/>
                            <w:b/>
                            <w:kern w:val="2"/>
                            <w:lang w:eastAsia="en-GB"/>
                          </w:rPr>
                          <w:t>Action to be taken by GP</w:t>
                        </w:r>
                      </w:p>
                    </w:tc>
                  </w:tr>
                  <w:tr w:rsidR="00F83CD2" w:rsidRPr="00551451" w14:paraId="15017C30" w14:textId="77777777" w:rsidTr="00F83CD2">
                    <w:tblPrEx>
                      <w:tblCellMar>
                        <w:top w:w="0" w:type="dxa"/>
                        <w:bottom w:w="0" w:type="dxa"/>
                      </w:tblCellMar>
                    </w:tblPrEx>
                    <w:trPr>
                      <w:trHeight w:val="591"/>
                      <w:jc w:val="center"/>
                    </w:trPr>
                    <w:tc>
                      <w:tcPr>
                        <w:tcW w:w="9311" w:type="dxa"/>
                        <w:gridSpan w:val="2"/>
                        <w:shd w:val="clear" w:color="auto" w:fill="auto"/>
                      </w:tcPr>
                      <w:p w14:paraId="053673B4" w14:textId="77777777" w:rsidR="00F83CD2" w:rsidRPr="00551451" w:rsidRDefault="00F83CD2" w:rsidP="00F83CD2">
                        <w:pPr>
                          <w:spacing w:before="60" w:after="60" w:line="240" w:lineRule="auto"/>
                          <w:jc w:val="center"/>
                          <w:rPr>
                            <w:rFonts w:ascii="Arial" w:eastAsia="Times New Roman" w:hAnsi="Arial" w:cs="Arial"/>
                            <w:b/>
                            <w:kern w:val="2"/>
                            <w:szCs w:val="24"/>
                            <w:lang w:eastAsia="en-GB"/>
                          </w:rPr>
                        </w:pPr>
                        <w:r w:rsidRPr="00551451">
                          <w:rPr>
                            <w:rFonts w:ascii="Arial" w:eastAsia="Times New Roman" w:hAnsi="Arial" w:cs="Arial"/>
                            <w:b/>
                            <w:kern w:val="2"/>
                            <w:szCs w:val="24"/>
                            <w:lang w:eastAsia="en-GB"/>
                          </w:rPr>
                          <w:t>As well as responding to absolute values in laboratory tests, a rapid change or a consistent trend in any value should prompt caution and extra vigilance</w:t>
                        </w:r>
                      </w:p>
                    </w:tc>
                  </w:tr>
                  <w:tr w:rsidR="00F83CD2" w:rsidRPr="00551451" w14:paraId="76F64427" w14:textId="77777777" w:rsidTr="00F83CD2">
                    <w:tblPrEx>
                      <w:tblCellMar>
                        <w:top w:w="0" w:type="dxa"/>
                        <w:bottom w:w="0" w:type="dxa"/>
                      </w:tblCellMar>
                    </w:tblPrEx>
                    <w:trPr>
                      <w:trHeight w:val="70"/>
                      <w:jc w:val="center"/>
                    </w:trPr>
                    <w:tc>
                      <w:tcPr>
                        <w:tcW w:w="5032" w:type="dxa"/>
                        <w:shd w:val="clear" w:color="auto" w:fill="auto"/>
                      </w:tcPr>
                      <w:p w14:paraId="7505EEF6" w14:textId="77777777" w:rsidR="00F83CD2" w:rsidRPr="00551451" w:rsidRDefault="00F83CD2" w:rsidP="00F83CD2">
                        <w:pPr>
                          <w:keepNext/>
                          <w:spacing w:before="60" w:after="0" w:line="240" w:lineRule="auto"/>
                          <w:ind w:left="357" w:hanging="357"/>
                          <w:outlineLvl w:val="0"/>
                          <w:rPr>
                            <w:rFonts w:ascii="Arial" w:eastAsia="Times New Roman" w:hAnsi="Arial" w:cs="Arial"/>
                            <w:bCs/>
                            <w:color w:val="000000"/>
                            <w:sz w:val="24"/>
                            <w:szCs w:val="24"/>
                          </w:rPr>
                        </w:pPr>
                        <w:r w:rsidRPr="00551451">
                          <w:rPr>
                            <w:rFonts w:ascii="Arial" w:eastAsia="Times New Roman" w:hAnsi="Arial" w:cs="Arial"/>
                            <w:b/>
                            <w:bCs/>
                            <w:color w:val="000000"/>
                            <w:sz w:val="24"/>
                            <w:szCs w:val="24"/>
                          </w:rPr>
                          <w:t>Full blood count</w:t>
                        </w:r>
                        <w:r w:rsidRPr="00551451">
                          <w:rPr>
                            <w:rFonts w:ascii="Arial" w:eastAsia="Times New Roman" w:hAnsi="Arial" w:cs="Arial"/>
                            <w:bCs/>
                            <w:color w:val="000000"/>
                            <w:sz w:val="24"/>
                            <w:szCs w:val="24"/>
                          </w:rPr>
                          <w:t>:</w:t>
                        </w:r>
                      </w:p>
                      <w:p w14:paraId="7FAD560A" w14:textId="77777777" w:rsidR="00F83CD2" w:rsidRPr="00551451" w:rsidRDefault="00F83CD2" w:rsidP="00F83CD2">
                        <w:pPr>
                          <w:numPr>
                            <w:ilvl w:val="0"/>
                            <w:numId w:val="24"/>
                          </w:numPr>
                          <w:spacing w:before="60" w:after="60" w:line="240" w:lineRule="auto"/>
                          <w:contextualSpacing/>
                          <w:rPr>
                            <w:rFonts w:ascii="Arial" w:eastAsia="Calibri" w:hAnsi="Arial" w:cs="Arial"/>
                            <w:b/>
                            <w:kern w:val="2"/>
                            <w:szCs w:val="24"/>
                          </w:rPr>
                        </w:pPr>
                        <w:r w:rsidRPr="00551451">
                          <w:rPr>
                            <w:rFonts w:ascii="Arial" w:eastAsia="Calibri" w:hAnsi="Arial" w:cs="Arial"/>
                            <w:kern w:val="2"/>
                            <w:szCs w:val="24"/>
                          </w:rPr>
                          <w:t>White blood cells less than 2.5x10</w:t>
                        </w:r>
                        <w:r w:rsidRPr="00551451">
                          <w:rPr>
                            <w:rFonts w:ascii="Arial" w:eastAsia="Calibri" w:hAnsi="Arial" w:cs="Arial"/>
                            <w:kern w:val="2"/>
                            <w:szCs w:val="24"/>
                            <w:vertAlign w:val="superscript"/>
                          </w:rPr>
                          <w:t>9</w:t>
                        </w:r>
                        <w:r w:rsidRPr="00551451">
                          <w:rPr>
                            <w:rFonts w:ascii="Arial" w:eastAsia="Calibri" w:hAnsi="Arial" w:cs="Arial"/>
                            <w:kern w:val="2"/>
                            <w:szCs w:val="24"/>
                          </w:rPr>
                          <w:t>/L</w:t>
                        </w:r>
                      </w:p>
                      <w:p w14:paraId="37CAB572" w14:textId="77777777" w:rsidR="00F83CD2" w:rsidRPr="00551451" w:rsidRDefault="00F83CD2" w:rsidP="00F83CD2">
                        <w:pPr>
                          <w:numPr>
                            <w:ilvl w:val="0"/>
                            <w:numId w:val="25"/>
                          </w:numPr>
                          <w:spacing w:after="0" w:line="240" w:lineRule="auto"/>
                          <w:ind w:left="357" w:hanging="357"/>
                          <w:rPr>
                            <w:rFonts w:ascii="Arial" w:eastAsia="Calibri" w:hAnsi="Arial" w:cs="Arial"/>
                            <w:color w:val="000000"/>
                            <w:kern w:val="2"/>
                            <w:szCs w:val="24"/>
                          </w:rPr>
                        </w:pPr>
                        <w:r w:rsidRPr="00551451">
                          <w:rPr>
                            <w:rFonts w:ascii="Arial" w:eastAsia="Calibri" w:hAnsi="Arial" w:cs="Arial"/>
                            <w:color w:val="000000"/>
                            <w:kern w:val="2"/>
                            <w:szCs w:val="24"/>
                          </w:rPr>
                          <w:t>Neutrophils less than 1.5x10</w:t>
                        </w:r>
                        <w:r w:rsidRPr="00551451">
                          <w:rPr>
                            <w:rFonts w:ascii="Arial" w:eastAsia="Calibri" w:hAnsi="Arial" w:cs="Arial"/>
                            <w:color w:val="000000"/>
                            <w:kern w:val="2"/>
                            <w:szCs w:val="24"/>
                            <w:vertAlign w:val="superscript"/>
                          </w:rPr>
                          <w:t>9</w:t>
                        </w:r>
                        <w:r w:rsidRPr="00551451">
                          <w:rPr>
                            <w:rFonts w:ascii="Arial" w:eastAsia="Calibri" w:hAnsi="Arial" w:cs="Arial"/>
                            <w:color w:val="000000"/>
                            <w:kern w:val="2"/>
                            <w:szCs w:val="24"/>
                          </w:rPr>
                          <w:t>/L</w:t>
                        </w:r>
                      </w:p>
                      <w:p w14:paraId="4DB7741C" w14:textId="7557309D" w:rsidR="00F83CD2" w:rsidRPr="00A82DB2" w:rsidRDefault="00F83CD2" w:rsidP="00A82DB2">
                        <w:pPr>
                          <w:numPr>
                            <w:ilvl w:val="0"/>
                            <w:numId w:val="25"/>
                          </w:numPr>
                          <w:spacing w:after="0" w:line="240" w:lineRule="auto"/>
                          <w:ind w:left="357" w:hanging="357"/>
                          <w:rPr>
                            <w:rFonts w:ascii="Arial" w:eastAsia="Calibri" w:hAnsi="Arial" w:cs="Arial"/>
                            <w:color w:val="000000"/>
                            <w:kern w:val="2"/>
                            <w:szCs w:val="24"/>
                          </w:rPr>
                        </w:pPr>
                        <w:r w:rsidRPr="00551451">
                          <w:rPr>
                            <w:rFonts w:ascii="Arial" w:eastAsia="Calibri" w:hAnsi="Arial" w:cs="Arial"/>
                            <w:color w:val="000000"/>
                            <w:kern w:val="2"/>
                            <w:szCs w:val="24"/>
                          </w:rPr>
                          <w:t>Platelets less than 80x10</w:t>
                        </w:r>
                        <w:r w:rsidRPr="00551451">
                          <w:rPr>
                            <w:rFonts w:ascii="Arial" w:eastAsia="Calibri" w:hAnsi="Arial" w:cs="Arial"/>
                            <w:color w:val="000000"/>
                            <w:kern w:val="2"/>
                            <w:szCs w:val="24"/>
                            <w:vertAlign w:val="superscript"/>
                          </w:rPr>
                          <w:t>9</w:t>
                        </w:r>
                        <w:r w:rsidRPr="00551451">
                          <w:rPr>
                            <w:rFonts w:ascii="Arial" w:eastAsia="Calibri" w:hAnsi="Arial" w:cs="Arial"/>
                            <w:color w:val="000000"/>
                            <w:kern w:val="2"/>
                            <w:szCs w:val="24"/>
                          </w:rPr>
                          <w:t>/L</w:t>
                        </w:r>
                      </w:p>
                    </w:tc>
                    <w:tc>
                      <w:tcPr>
                        <w:tcW w:w="4279" w:type="dxa"/>
                        <w:shd w:val="clear" w:color="auto" w:fill="auto"/>
                      </w:tcPr>
                      <w:p w14:paraId="11EE3B07"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Consider withholding and discuss urgently with specialist team. </w:t>
                        </w:r>
                      </w:p>
                      <w:p w14:paraId="7B5B41BF" w14:textId="77777777" w:rsidR="00F83CD2" w:rsidRPr="00551451" w:rsidRDefault="00F83CD2" w:rsidP="00F83CD2">
                        <w:pPr>
                          <w:spacing w:after="160" w:line="259" w:lineRule="auto"/>
                          <w:jc w:val="center"/>
                          <w:rPr>
                            <w:rFonts w:ascii="Arial" w:eastAsia="Times New Roman" w:hAnsi="Arial" w:cs="Arial"/>
                            <w:kern w:val="2"/>
                            <w:szCs w:val="24"/>
                            <w:lang w:eastAsia="en-GB"/>
                          </w:rPr>
                        </w:pPr>
                      </w:p>
                    </w:tc>
                  </w:tr>
                  <w:tr w:rsidR="00F83CD2" w:rsidRPr="00551451" w14:paraId="59E5E6E6" w14:textId="77777777" w:rsidTr="00F83CD2">
                    <w:tblPrEx>
                      <w:tblCellMar>
                        <w:top w:w="0" w:type="dxa"/>
                        <w:bottom w:w="0" w:type="dxa"/>
                      </w:tblCellMar>
                    </w:tblPrEx>
                    <w:trPr>
                      <w:trHeight w:val="70"/>
                      <w:jc w:val="center"/>
                    </w:trPr>
                    <w:tc>
                      <w:tcPr>
                        <w:tcW w:w="5032" w:type="dxa"/>
                        <w:shd w:val="clear" w:color="auto" w:fill="auto"/>
                      </w:tcPr>
                      <w:p w14:paraId="60A19177" w14:textId="77777777" w:rsidR="00F83CD2" w:rsidRPr="00551451" w:rsidRDefault="00F83CD2" w:rsidP="00F83CD2">
                        <w:pPr>
                          <w:keepNext/>
                          <w:spacing w:before="60" w:after="0" w:line="240" w:lineRule="auto"/>
                          <w:ind w:left="357" w:hanging="357"/>
                          <w:outlineLvl w:val="0"/>
                          <w:rPr>
                            <w:rFonts w:ascii="Arial" w:eastAsia="Times New Roman" w:hAnsi="Arial" w:cs="Arial"/>
                            <w:bCs/>
                            <w:color w:val="000000"/>
                            <w:sz w:val="24"/>
                            <w:szCs w:val="24"/>
                          </w:rPr>
                        </w:pPr>
                        <w:r w:rsidRPr="00551451">
                          <w:rPr>
                            <w:rFonts w:ascii="Arial" w:eastAsia="Times New Roman" w:hAnsi="Arial" w:cs="Arial"/>
                            <w:bCs/>
                            <w:color w:val="000000"/>
                            <w:sz w:val="24"/>
                            <w:szCs w:val="24"/>
                          </w:rPr>
                          <w:t>Signs or symptoms of bone marrow suppression, e.g. unexplained bleeding or bruising with or without sore throat or mouth ulcers</w:t>
                        </w:r>
                      </w:p>
                    </w:tc>
                    <w:tc>
                      <w:tcPr>
                        <w:tcW w:w="4279" w:type="dxa"/>
                        <w:shd w:val="clear" w:color="auto" w:fill="auto"/>
                      </w:tcPr>
                      <w:p w14:paraId="31566177" w14:textId="5AA56155" w:rsidR="00F83CD2" w:rsidRPr="00551451" w:rsidRDefault="00F83CD2" w:rsidP="00F83CD2">
                        <w:pPr>
                          <w:spacing w:before="60" w:after="0" w:line="240" w:lineRule="auto"/>
                          <w:rPr>
                            <w:rFonts w:ascii="Arial" w:eastAsia="Times New Roman" w:hAnsi="Arial" w:cs="Arial"/>
                            <w:kern w:val="2"/>
                            <w:szCs w:val="24"/>
                            <w:lang w:eastAsia="en-GB"/>
                          </w:rPr>
                        </w:pPr>
                        <w:r w:rsidRPr="00551451">
                          <w:rPr>
                            <w:rFonts w:ascii="Arial" w:eastAsia="Times New Roman" w:hAnsi="Arial" w:cs="Arial"/>
                            <w:bCs/>
                            <w:color w:val="000000"/>
                            <w:kern w:val="2"/>
                            <w:szCs w:val="24"/>
                            <w:lang w:eastAsia="en-GB"/>
                          </w:rPr>
                          <w:t xml:space="preserve">Consider withholding. Check FBC immediately and discuss with the specialist team. </w:t>
                        </w:r>
                      </w:p>
                    </w:tc>
                  </w:tr>
                  <w:tr w:rsidR="00F83CD2" w:rsidRPr="00551451" w14:paraId="78EB3B01" w14:textId="77777777" w:rsidTr="00F83CD2">
                    <w:tblPrEx>
                      <w:tblCellMar>
                        <w:top w:w="0" w:type="dxa"/>
                        <w:bottom w:w="0" w:type="dxa"/>
                      </w:tblCellMar>
                    </w:tblPrEx>
                    <w:trPr>
                      <w:trHeight w:val="70"/>
                      <w:jc w:val="center"/>
                    </w:trPr>
                    <w:tc>
                      <w:tcPr>
                        <w:tcW w:w="5032" w:type="dxa"/>
                        <w:shd w:val="clear" w:color="auto" w:fill="auto"/>
                      </w:tcPr>
                      <w:p w14:paraId="63D7E922" w14:textId="77777777" w:rsidR="00F83CD2" w:rsidRPr="00551451" w:rsidRDefault="00F83CD2" w:rsidP="00F83CD2">
                        <w:pPr>
                          <w:keepNext/>
                          <w:spacing w:before="60" w:after="0" w:line="240" w:lineRule="auto"/>
                          <w:ind w:left="357" w:hanging="357"/>
                          <w:outlineLvl w:val="0"/>
                          <w:rPr>
                            <w:rFonts w:ascii="Arial" w:eastAsia="Times New Roman" w:hAnsi="Arial" w:cs="Arial"/>
                            <w:b/>
                            <w:bCs/>
                            <w:color w:val="000000"/>
                            <w:sz w:val="24"/>
                            <w:szCs w:val="24"/>
                          </w:rPr>
                        </w:pPr>
                        <w:r w:rsidRPr="00551451">
                          <w:rPr>
                            <w:rFonts w:ascii="Arial" w:eastAsia="Times New Roman" w:hAnsi="Arial" w:cs="Arial"/>
                            <w:b/>
                            <w:bCs/>
                            <w:color w:val="000000"/>
                            <w:sz w:val="24"/>
                            <w:szCs w:val="24"/>
                          </w:rPr>
                          <w:t>Renal function</w:t>
                        </w:r>
                      </w:p>
                      <w:p w14:paraId="6D17A68C" w14:textId="77777777" w:rsidR="00F83CD2" w:rsidRPr="00551451" w:rsidRDefault="00F83CD2" w:rsidP="00F83CD2">
                        <w:pPr>
                          <w:spacing w:after="160" w:line="259" w:lineRule="auto"/>
                          <w:rPr>
                            <w:rFonts w:ascii="Arial" w:eastAsia="Calibri" w:hAnsi="Arial" w:cs="Arial"/>
                            <w:kern w:val="2"/>
                            <w:szCs w:val="24"/>
                          </w:rPr>
                        </w:pPr>
                        <w:r w:rsidRPr="00551451">
                          <w:rPr>
                            <w:rFonts w:ascii="Arial" w:eastAsia="Calibri" w:hAnsi="Arial" w:cs="Arial"/>
                            <w:kern w:val="2"/>
                            <w:szCs w:val="24"/>
                          </w:rPr>
                          <w:t xml:space="preserve">Serum creatinine greater than 2x upper limit of normal (ULN) or serial rise over </w:t>
                        </w:r>
                        <w:proofErr w:type="gramStart"/>
                        <w:r w:rsidRPr="00551451">
                          <w:rPr>
                            <w:rFonts w:ascii="Arial" w:eastAsia="Calibri" w:hAnsi="Arial" w:cs="Arial"/>
                            <w:kern w:val="2"/>
                            <w:szCs w:val="24"/>
                          </w:rPr>
                          <w:t>a number of</w:t>
                        </w:r>
                        <w:proofErr w:type="gramEnd"/>
                        <w:r w:rsidRPr="00551451">
                          <w:rPr>
                            <w:rFonts w:ascii="Arial" w:eastAsia="Calibri" w:hAnsi="Arial" w:cs="Arial"/>
                            <w:kern w:val="2"/>
                            <w:szCs w:val="24"/>
                          </w:rPr>
                          <w:t xml:space="preserve"> visits.</w:t>
                        </w:r>
                      </w:p>
                    </w:tc>
                    <w:tc>
                      <w:tcPr>
                        <w:tcW w:w="4279" w:type="dxa"/>
                        <w:shd w:val="clear" w:color="auto" w:fill="auto"/>
                      </w:tcPr>
                      <w:p w14:paraId="3F5D49F6" w14:textId="77777777" w:rsidR="00F83CD2" w:rsidRPr="00551451" w:rsidRDefault="00F83CD2" w:rsidP="00F83CD2">
                        <w:pPr>
                          <w:spacing w:before="60" w:after="0" w:line="240" w:lineRule="auto"/>
                          <w:rPr>
                            <w:rFonts w:ascii="Arial" w:eastAsia="Times New Roman" w:hAnsi="Arial" w:cs="Arial"/>
                            <w:bCs/>
                            <w:color w:val="000000"/>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093C06B9" w14:textId="77777777" w:rsidTr="00F83CD2">
                    <w:tblPrEx>
                      <w:tblCellMar>
                        <w:top w:w="0" w:type="dxa"/>
                        <w:bottom w:w="0" w:type="dxa"/>
                      </w:tblCellMar>
                    </w:tblPrEx>
                    <w:trPr>
                      <w:trHeight w:val="70"/>
                      <w:jc w:val="center"/>
                    </w:trPr>
                    <w:tc>
                      <w:tcPr>
                        <w:tcW w:w="5032" w:type="dxa"/>
                        <w:shd w:val="clear" w:color="auto" w:fill="auto"/>
                      </w:tcPr>
                      <w:p w14:paraId="734390FE" w14:textId="77777777" w:rsidR="00F83CD2" w:rsidRPr="00551451" w:rsidRDefault="00F83CD2" w:rsidP="00F83CD2">
                        <w:pPr>
                          <w:keepNext/>
                          <w:spacing w:before="60" w:after="60" w:line="240" w:lineRule="auto"/>
                          <w:ind w:left="357" w:hanging="357"/>
                          <w:contextualSpacing/>
                          <w:outlineLvl w:val="0"/>
                          <w:rPr>
                            <w:rFonts w:ascii="Arial" w:eastAsia="Times New Roman" w:hAnsi="Arial" w:cs="Arial"/>
                            <w:b/>
                            <w:bCs/>
                            <w:color w:val="000000"/>
                            <w:sz w:val="24"/>
                            <w:szCs w:val="24"/>
                          </w:rPr>
                        </w:pPr>
                        <w:r w:rsidRPr="00551451">
                          <w:rPr>
                            <w:rFonts w:ascii="Arial" w:eastAsia="Times New Roman" w:hAnsi="Arial" w:cs="Arial"/>
                            <w:b/>
                            <w:bCs/>
                            <w:color w:val="000000"/>
                            <w:sz w:val="24"/>
                            <w:szCs w:val="24"/>
                          </w:rPr>
                          <w:lastRenderedPageBreak/>
                          <w:t>Liver function tests:</w:t>
                        </w:r>
                      </w:p>
                      <w:p w14:paraId="021E5564" w14:textId="77777777" w:rsidR="00F83CD2" w:rsidRPr="00551451" w:rsidRDefault="00F83CD2" w:rsidP="00F83CD2">
                        <w:pPr>
                          <w:spacing w:after="0" w:line="240" w:lineRule="auto"/>
                          <w:rPr>
                            <w:rFonts w:ascii="Arial" w:eastAsia="Calibri" w:hAnsi="Arial" w:cs="Arial"/>
                            <w:kern w:val="2"/>
                            <w:szCs w:val="24"/>
                          </w:rPr>
                        </w:pPr>
                        <w:r w:rsidRPr="00551451">
                          <w:rPr>
                            <w:rFonts w:ascii="Arial" w:eastAsia="Calibri" w:hAnsi="Arial" w:cs="Arial"/>
                            <w:kern w:val="2"/>
                            <w:szCs w:val="24"/>
                          </w:rPr>
                          <w:t>ALT or AST greater than 3x ULN</w:t>
                        </w:r>
                      </w:p>
                    </w:tc>
                    <w:tc>
                      <w:tcPr>
                        <w:tcW w:w="4279" w:type="dxa"/>
                        <w:shd w:val="clear" w:color="auto" w:fill="auto"/>
                      </w:tcPr>
                      <w:p w14:paraId="60BE8D35"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1934039A" w14:textId="77777777" w:rsidTr="00F83CD2">
                    <w:tblPrEx>
                      <w:tblCellMar>
                        <w:top w:w="0" w:type="dxa"/>
                        <w:bottom w:w="0" w:type="dxa"/>
                      </w:tblCellMar>
                    </w:tblPrEx>
                    <w:trPr>
                      <w:trHeight w:val="70"/>
                      <w:jc w:val="center"/>
                    </w:trPr>
                    <w:tc>
                      <w:tcPr>
                        <w:tcW w:w="5032" w:type="dxa"/>
                        <w:shd w:val="clear" w:color="auto" w:fill="auto"/>
                      </w:tcPr>
                      <w:p w14:paraId="5EDA90DE"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Leg ulcers or cutaneous vasculitic ulcerations</w:t>
                        </w:r>
                      </w:p>
                    </w:tc>
                    <w:tc>
                      <w:tcPr>
                        <w:tcW w:w="4279" w:type="dxa"/>
                        <w:shd w:val="clear" w:color="auto" w:fill="auto"/>
                      </w:tcPr>
                      <w:p w14:paraId="01F46E31"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4065E8A5" w14:textId="77777777" w:rsidTr="00F83CD2">
                    <w:tblPrEx>
                      <w:tblCellMar>
                        <w:top w:w="0" w:type="dxa"/>
                        <w:bottom w:w="0" w:type="dxa"/>
                      </w:tblCellMar>
                    </w:tblPrEx>
                    <w:trPr>
                      <w:trHeight w:val="70"/>
                      <w:jc w:val="center"/>
                    </w:trPr>
                    <w:tc>
                      <w:tcPr>
                        <w:tcW w:w="5032" w:type="dxa"/>
                        <w:shd w:val="clear" w:color="auto" w:fill="auto"/>
                      </w:tcPr>
                      <w:p w14:paraId="7B7AEE74"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GI disturbances </w:t>
                        </w:r>
                        <w:proofErr w:type="gramStart"/>
                        <w:r w:rsidRPr="00551451">
                          <w:rPr>
                            <w:rFonts w:ascii="Arial" w:eastAsia="Times New Roman" w:hAnsi="Arial" w:cs="Arial"/>
                            <w:kern w:val="2"/>
                            <w:szCs w:val="24"/>
                            <w:lang w:eastAsia="en-GB"/>
                          </w:rPr>
                          <w:t>including;</w:t>
                        </w:r>
                        <w:proofErr w:type="gramEnd"/>
                        <w:r w:rsidRPr="00551451">
                          <w:rPr>
                            <w:rFonts w:ascii="Arial" w:eastAsia="Times New Roman" w:hAnsi="Arial" w:cs="Arial"/>
                            <w:kern w:val="2"/>
                            <w:szCs w:val="24"/>
                            <w:lang w:eastAsia="en-GB"/>
                          </w:rPr>
                          <w:t xml:space="preserve"> nausea, vomiting or diarrhoea</w:t>
                        </w:r>
                      </w:p>
                    </w:tc>
                    <w:tc>
                      <w:tcPr>
                        <w:tcW w:w="4279" w:type="dxa"/>
                        <w:shd w:val="clear" w:color="auto" w:fill="auto"/>
                      </w:tcPr>
                      <w:p w14:paraId="361AE23C" w14:textId="1593F0B8"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Discuss with specialist team if persistent or severe. </w:t>
                        </w:r>
                      </w:p>
                    </w:tc>
                  </w:tr>
                  <w:tr w:rsidR="00F83CD2" w:rsidRPr="00551451" w14:paraId="7E85B373" w14:textId="77777777" w:rsidTr="00F83CD2">
                    <w:tblPrEx>
                      <w:tblCellMar>
                        <w:top w:w="0" w:type="dxa"/>
                        <w:bottom w:w="0" w:type="dxa"/>
                      </w:tblCellMar>
                    </w:tblPrEx>
                    <w:trPr>
                      <w:trHeight w:val="70"/>
                      <w:jc w:val="center"/>
                    </w:trPr>
                    <w:tc>
                      <w:tcPr>
                        <w:tcW w:w="5032" w:type="dxa"/>
                        <w:shd w:val="clear" w:color="auto" w:fill="auto"/>
                      </w:tcPr>
                      <w:p w14:paraId="209ADB68"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Alopecia, skin rash, or hyperpigmentation of nails.</w:t>
                        </w:r>
                      </w:p>
                    </w:tc>
                    <w:tc>
                      <w:tcPr>
                        <w:tcW w:w="4279" w:type="dxa"/>
                        <w:shd w:val="clear" w:color="auto" w:fill="auto"/>
                      </w:tcPr>
                      <w:p w14:paraId="6FDFF9F9" w14:textId="07F8581C" w:rsidR="00F83CD2" w:rsidRPr="00551451" w:rsidRDefault="0083196E"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szCs w:val="24"/>
                            <w:lang w:eastAsia="en-GB"/>
                          </w:rPr>
                          <w:t>Consider withholding and discuss urgently with specialist team.</w:t>
                        </w:r>
                      </w:p>
                    </w:tc>
                  </w:tr>
                  <w:tr w:rsidR="00F83CD2" w:rsidRPr="00551451" w14:paraId="0613DE81" w14:textId="77777777" w:rsidTr="00F83CD2">
                    <w:tblPrEx>
                      <w:tblCellMar>
                        <w:top w:w="0" w:type="dxa"/>
                        <w:bottom w:w="0" w:type="dxa"/>
                      </w:tblCellMar>
                    </w:tblPrEx>
                    <w:trPr>
                      <w:trHeight w:val="70"/>
                      <w:jc w:val="center"/>
                    </w:trPr>
                    <w:tc>
                      <w:tcPr>
                        <w:tcW w:w="5032" w:type="dxa"/>
                        <w:shd w:val="clear" w:color="auto" w:fill="auto"/>
                      </w:tcPr>
                      <w:p w14:paraId="6A42357E"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Development of gout symptoms </w:t>
                        </w:r>
                      </w:p>
                    </w:tc>
                    <w:tc>
                      <w:tcPr>
                        <w:tcW w:w="4279" w:type="dxa"/>
                        <w:shd w:val="clear" w:color="auto" w:fill="auto"/>
                      </w:tcPr>
                      <w:p w14:paraId="090B0036"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Monitor uric acid levels </w:t>
                        </w:r>
                        <w:proofErr w:type="gramStart"/>
                        <w:r w:rsidRPr="00551451">
                          <w:rPr>
                            <w:rFonts w:ascii="Arial" w:eastAsia="Times New Roman" w:hAnsi="Arial" w:cs="Arial"/>
                            <w:kern w:val="2"/>
                            <w:szCs w:val="24"/>
                            <w:lang w:eastAsia="en-GB"/>
                          </w:rPr>
                          <w:t>regularly, but</w:t>
                        </w:r>
                        <w:proofErr w:type="gramEnd"/>
                        <w:r w:rsidRPr="00551451">
                          <w:rPr>
                            <w:rFonts w:ascii="Arial" w:eastAsia="Times New Roman" w:hAnsi="Arial" w:cs="Arial"/>
                            <w:kern w:val="2"/>
                            <w:szCs w:val="24"/>
                            <w:lang w:eastAsia="en-GB"/>
                          </w:rPr>
                          <w:t xml:space="preserve"> be aware that hydroxycarbamide may affect results. Advise patient to maintain a high fluid intake during treatment. Treat symptoms appropriately. Discuss with specialist for advice if required.</w:t>
                        </w:r>
                      </w:p>
                    </w:tc>
                  </w:tr>
                </w:tbl>
                <w:p w14:paraId="1F0CE4FA" w14:textId="77777777" w:rsidR="0015736E" w:rsidRPr="00551451" w:rsidRDefault="0015736E" w:rsidP="0015736E">
                  <w:pPr>
                    <w:contextualSpacing/>
                    <w:jc w:val="both"/>
                    <w:rPr>
                      <w:rFonts w:ascii="Arial" w:eastAsia="Times New Roman" w:hAnsi="Arial" w:cs="Arial"/>
                      <w:b/>
                      <w:bCs/>
                      <w:szCs w:val="24"/>
                      <w:lang w:val="en-US"/>
                    </w:rPr>
                  </w:pPr>
                </w:p>
              </w:tc>
            </w:tr>
          </w:tbl>
          <w:p w14:paraId="70CF71F8" w14:textId="77777777" w:rsidR="00E60DF5" w:rsidRPr="00551451" w:rsidRDefault="00E60DF5" w:rsidP="00755AEA">
            <w:pPr>
              <w:spacing w:after="0" w:line="240" w:lineRule="auto"/>
              <w:rPr>
                <w:rFonts w:ascii="Arial" w:eastAsia="Times New Roman" w:hAnsi="Arial" w:cs="Arial"/>
                <w:bCs/>
                <w:lang w:eastAsia="en-GB"/>
              </w:rPr>
            </w:pPr>
          </w:p>
        </w:tc>
      </w:tr>
    </w:tbl>
    <w:p w14:paraId="471FF8FE" w14:textId="77777777" w:rsidR="00F976BC" w:rsidRPr="00551451"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17E2B2F0" w14:textId="6EF74E11" w:rsidR="001C6663" w:rsidRPr="001C6663" w:rsidRDefault="001C6663" w:rsidP="001C6663">
      <w:pPr>
        <w:tabs>
          <w:tab w:val="left" w:pos="3763"/>
        </w:tabs>
        <w:rPr>
          <w:rFonts w:ascii="Arial" w:eastAsia="Times New Roman" w:hAnsi="Arial" w:cs="Arial"/>
          <w:szCs w:val="24"/>
          <w:lang w:val="en-US"/>
        </w:rPr>
      </w:pPr>
      <w:r>
        <w:rPr>
          <w:rFonts w:ascii="Arial" w:eastAsia="Times New Roman" w:hAnsi="Arial" w:cs="Arial"/>
          <w:szCs w:val="24"/>
          <w:lang w:val="en-US"/>
        </w:rPr>
        <w:tab/>
      </w:r>
    </w:p>
    <w:p w14:paraId="03E5B693" w14:textId="77777777" w:rsidR="005D1B7A" w:rsidRPr="00551451"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551451">
        <w:rPr>
          <w:rFonts w:ascii="Arial" w:hAnsi="Arial" w:cs="Arial"/>
        </w:rPr>
        <w:t>The expectation is that thi</w:t>
      </w:r>
      <w:r w:rsidR="00006B2A" w:rsidRPr="00551451">
        <w:rPr>
          <w:rFonts w:ascii="Arial" w:hAnsi="Arial" w:cs="Arial"/>
        </w:rPr>
        <w:t xml:space="preserve">s information </w:t>
      </w:r>
      <w:r w:rsidRPr="00551451">
        <w:rPr>
          <w:rFonts w:ascii="Arial" w:hAnsi="Arial" w:cs="Arial"/>
        </w:rPr>
        <w:t>along with the full protocol provide</w:t>
      </w:r>
      <w:r w:rsidR="003763B3" w:rsidRPr="00551451">
        <w:rPr>
          <w:rFonts w:ascii="Arial" w:hAnsi="Arial" w:cs="Arial"/>
        </w:rPr>
        <w:t>s</w:t>
      </w:r>
      <w:r w:rsidRPr="00551451">
        <w:rPr>
          <w:rFonts w:ascii="Arial" w:hAnsi="Arial" w:cs="Arial"/>
        </w:rPr>
        <w:t xml:space="preserve"> sufficient information to enable GPs to be confident to take on the clinical &amp; legal responsibility for prescribing and monitoring.</w:t>
      </w:r>
    </w:p>
    <w:p w14:paraId="1E99E22C" w14:textId="77777777" w:rsidR="005D1B7A" w:rsidRPr="00551451"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551451">
        <w:rPr>
          <w:rFonts w:ascii="Arial" w:hAnsi="Arial" w:cs="Arial"/>
        </w:rPr>
        <w:t>Prescribing and monitoring responsibility will only be transferred under this shared care protocol when:</w:t>
      </w:r>
    </w:p>
    <w:p w14:paraId="10867160" w14:textId="77777777" w:rsidR="005D1B7A" w:rsidRPr="00551451"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sidRPr="00551451">
        <w:rPr>
          <w:rFonts w:ascii="Arial" w:hAnsi="Arial" w:cs="Arial"/>
        </w:rPr>
        <w:t>Specialist has initiated treatment and prescribed/monitored treatment for initial stabilisation period.</w:t>
      </w:r>
    </w:p>
    <w:p w14:paraId="10B83CFB" w14:textId="77777777" w:rsidR="005D1B7A" w:rsidRPr="00551451" w:rsidRDefault="005D1B7A" w:rsidP="005D1B7A">
      <w:pPr>
        <w:pStyle w:val="ListParagraph"/>
        <w:numPr>
          <w:ilvl w:val="0"/>
          <w:numId w:val="5"/>
        </w:numPr>
        <w:spacing w:line="240" w:lineRule="auto"/>
        <w:rPr>
          <w:rFonts w:ascii="Arial" w:hAnsi="Arial" w:cs="Arial"/>
        </w:rPr>
      </w:pPr>
      <w:r w:rsidRPr="00551451">
        <w:rPr>
          <w:rFonts w:ascii="Arial" w:hAnsi="Arial" w:cs="Arial"/>
        </w:rPr>
        <w:t>Specialist has provided pre-treatment counselling and discussed patient responsibilities, preferences and obtained consent to shared care arrangements.</w:t>
      </w:r>
    </w:p>
    <w:p w14:paraId="07081924" w14:textId="3E58266E" w:rsidR="00E85B9D" w:rsidRPr="00D7659F" w:rsidRDefault="005D1B7A" w:rsidP="00D7659F">
      <w:pPr>
        <w:pStyle w:val="ListParagraph"/>
        <w:numPr>
          <w:ilvl w:val="0"/>
          <w:numId w:val="5"/>
        </w:numPr>
        <w:spacing w:line="240" w:lineRule="auto"/>
        <w:rPr>
          <w:rFonts w:ascii="Arial" w:hAnsi="Arial" w:cs="Arial"/>
        </w:rPr>
      </w:pPr>
      <w:r w:rsidRPr="00551451">
        <w:rPr>
          <w:rFonts w:ascii="Arial" w:hAnsi="Arial" w:cs="Arial"/>
        </w:rPr>
        <w:t>Specialist and patient have completed and signed the shared</w:t>
      </w:r>
      <w:r w:rsidRPr="00D7659F">
        <w:rPr>
          <w:rFonts w:ascii="Arial" w:hAnsi="Arial" w:cs="Arial"/>
        </w:rPr>
        <w:t xml:space="preserve"> care agreement form</w:t>
      </w:r>
      <w:r w:rsidR="000678AD" w:rsidRPr="00D7659F">
        <w:rPr>
          <w:rFonts w:ascii="Arial" w:hAnsi="Arial" w:cs="Arial"/>
        </w:rPr>
        <w:t xml:space="preserve"> (page </w:t>
      </w:r>
      <w:r w:rsidR="00440CE7">
        <w:rPr>
          <w:rFonts w:ascii="Arial" w:hAnsi="Arial" w:cs="Arial"/>
        </w:rPr>
        <w:t>1</w:t>
      </w:r>
      <w:r w:rsidRPr="00D7659F">
        <w:rPr>
          <w:rFonts w:ascii="Arial" w:hAnsi="Arial" w:cs="Arial"/>
        </w:rPr>
        <w:t xml:space="preserve">). </w:t>
      </w:r>
    </w:p>
    <w:p w14:paraId="0DC690BA" w14:textId="77777777" w:rsidR="00D7659F" w:rsidRDefault="00D7659F" w:rsidP="00BE545B">
      <w:pPr>
        <w:spacing w:after="120" w:line="240" w:lineRule="auto"/>
        <w:rPr>
          <w:rFonts w:ascii="Arial" w:eastAsia="Times New Roman" w:hAnsi="Arial" w:cs="Arial"/>
          <w:b/>
          <w:sz w:val="28"/>
          <w:szCs w:val="24"/>
          <w:u w:val="single"/>
          <w:lang w:val="en-US"/>
        </w:rPr>
      </w:pPr>
    </w:p>
    <w:p w14:paraId="3928850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76473A4"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68D4081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DCCAAAF"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CC6B8F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8F282E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B0E197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7B3B46B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B101EF6"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50D6C93"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5B3249F"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0E71C8A"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9320D23"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0FE912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1472344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385276B"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8B534A9" w14:textId="7D69A924"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6FD79DBB"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w:t>
      </w:r>
      <w:r w:rsidR="00CD1399" w:rsidRPr="00350D90">
        <w:rPr>
          <w:rFonts w:ascii="Arial" w:eastAsia="Times New Roman" w:hAnsi="Arial" w:cs="Times New Roman"/>
          <w:b/>
          <w:szCs w:val="24"/>
          <w:lang w:val="en-US"/>
        </w:rPr>
        <w:t xml:space="preserve">No </w:t>
      </w:r>
      <w:r w:rsidR="00350D90" w:rsidRPr="00350D90">
        <w:rPr>
          <w:rFonts w:ascii="Arial" w:eastAsia="Times New Roman" w:hAnsi="Arial" w:cs="Times New Roman"/>
          <w:b/>
          <w:szCs w:val="24"/>
          <w:lang w:val="en-US"/>
        </w:rPr>
        <w:t>9</w:t>
      </w:r>
      <w:r w:rsidR="00CD1399" w:rsidRPr="00350D90">
        <w:rPr>
          <w:rFonts w:ascii="Arial" w:eastAsia="Times New Roman" w:hAnsi="Arial" w:cs="Times New Roman"/>
          <w:b/>
          <w:szCs w:val="24"/>
          <w:lang w:val="en-US"/>
        </w:rPr>
        <w:t>;</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Version 1</w:t>
      </w:r>
      <w:r w:rsidR="001C6663">
        <w:rPr>
          <w:rFonts w:ascii="Arial" w:eastAsia="Times New Roman" w:hAnsi="Arial" w:cs="Times New Roman"/>
          <w:b/>
          <w:szCs w:val="24"/>
          <w:lang w:val="en-US"/>
        </w:rPr>
        <w:t>.</w:t>
      </w:r>
      <w:r w:rsidR="00440CE7">
        <w:rPr>
          <w:rFonts w:ascii="Arial" w:eastAsia="Times New Roman" w:hAnsi="Arial" w:cs="Times New Roman"/>
          <w:b/>
          <w:szCs w:val="24"/>
          <w:lang w:val="en-US"/>
        </w:rPr>
        <w:t>2</w:t>
      </w:r>
    </w:p>
    <w:p w14:paraId="3F482F88" w14:textId="77777777" w:rsidR="00440CE7" w:rsidRDefault="00440CE7" w:rsidP="00440CE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 Hydroxycarbamide for patients within adult services</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6F3E12D8"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0456FD">
        <w:rPr>
          <w:rFonts w:ascii="Arial" w:eastAsia="Times New Roman" w:hAnsi="Arial" w:cs="Times New Roman"/>
          <w:b/>
          <w:lang w:val="en-US" w:eastAsia="en-GB"/>
        </w:rPr>
        <w:t xml:space="preserve">APC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5"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6"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55D854D"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20C418B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FDE9D39"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bookmarkStart w:id="1" w:name="_Hlk154069580"/>
      <w:r w:rsidRPr="000456FD">
        <w:rPr>
          <w:rFonts w:ascii="Arial" w:hAnsi="Arial" w:cs="Arial"/>
          <w:b/>
        </w:rPr>
        <w:t xml:space="preserve">Hydroxycarbamide is an oral </w:t>
      </w:r>
      <w:r w:rsidRPr="000456FD">
        <w:rPr>
          <w:rFonts w:ascii="Arial" w:hAnsi="Arial" w:cs="Arial"/>
          <w:bCs/>
        </w:rPr>
        <w:t xml:space="preserve">cytoreductive agent used in the management of myeloproliferative neoplasms to control blood counts and reduce incidences of vascular complications. </w:t>
      </w:r>
    </w:p>
    <w:p w14:paraId="4A4285D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514BBB4"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i/>
          <w:iCs/>
        </w:rPr>
        <w:t>Essential Thrombocythaemia (ET)</w:t>
      </w:r>
      <w:r w:rsidRPr="000456FD">
        <w:rPr>
          <w:rFonts w:ascii="Arial" w:hAnsi="Arial" w:cs="Arial"/>
          <w:bCs/>
        </w:rPr>
        <w:t xml:space="preserve"> Is characterised by a persistently elevated platelet count. </w:t>
      </w:r>
      <w:r w:rsidRPr="000456FD">
        <w:rPr>
          <w:rFonts w:ascii="Arial" w:hAnsi="Arial" w:cs="Arial"/>
          <w:bCs/>
          <w:i/>
          <w:iCs/>
        </w:rPr>
        <w:t>Polycythaemia vera</w:t>
      </w:r>
      <w:r w:rsidRPr="000456FD">
        <w:rPr>
          <w:rFonts w:ascii="Arial" w:hAnsi="Arial" w:cs="Arial"/>
          <w:bCs/>
        </w:rPr>
        <w:t xml:space="preserve"> is characterised by in an increase in red blood cell production and increased haematocrit (Hct) due to mutations in a gene called JAK2. </w:t>
      </w:r>
    </w:p>
    <w:p w14:paraId="3771D03E"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244EAB1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This shared care agreement outlines the individual responsibilities for managing the prescribing and monitoring of hydroxycarbamide for the stated myeloproliferative neoplasms. Responsibilities are expected to be shared between the haematology specialist and the GP. A haematology specialist can be a non-medical prescriber. GP participation in shared care involves full prescribing responsibility in primary care. If the GP is unable to undertake this role for any reason, they are under no obligation to do so. However, they must notify the specialist in writing within 14 days of receiving a prescribing request otherwise shared care will automatically be assumed to have been accepted. Medication cost is not an acceptable reason for refusing to take on shared care.</w:t>
      </w:r>
    </w:p>
    <w:bookmarkEnd w:id="1"/>
    <w:p w14:paraId="7905B57E"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1E1EF83" w14:textId="3AB793FF" w:rsidR="004A4384"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 xml:space="preserve">Haematology specialists will have clinical responsibility for the medication and the consequences of its use. Shared care necessitates effective and efficient correspondence between the specialist, the GP and the patient. GPs take responsibility to check the blood results in conjunction with the clinic letter and prescribe hydroxycarbamide following the advice documented by the specialist. Shared care principles must be explained to the patient by the doctor initiating treatment. Patients will obtain hydroxycarbamide from their community pharmacy under the shared care </w:t>
      </w:r>
      <w:r w:rsidR="00415A65" w:rsidRPr="000456FD">
        <w:rPr>
          <w:rFonts w:ascii="Arial" w:hAnsi="Arial" w:cs="Arial"/>
          <w:bCs/>
        </w:rPr>
        <w:t>plan.</w:t>
      </w:r>
    </w:p>
    <w:p w14:paraId="25A8BEF5" w14:textId="55B27EDD" w:rsidR="000456FD" w:rsidRDefault="000456FD"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BB9D787" w14:textId="77777777" w:rsidR="000456FD" w:rsidRPr="00004CD4" w:rsidRDefault="000456FD"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FC44517" w14:textId="0DA04168" w:rsidR="00CC0AC9"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
        </w:rPr>
      </w:pPr>
      <w:r>
        <w:rPr>
          <w:rFonts w:ascii="Arial" w:hAnsi="Arial" w:cs="Arial"/>
          <w:b/>
        </w:rPr>
        <w:t>I</w:t>
      </w:r>
      <w:r w:rsidR="00CC0AC9" w:rsidRPr="00843717">
        <w:rPr>
          <w:rFonts w:ascii="Arial" w:hAnsi="Arial" w:cs="Arial"/>
          <w:b/>
        </w:rPr>
        <w:t xml:space="preserve">ndications:  </w:t>
      </w:r>
      <w:r>
        <w:rPr>
          <w:rFonts w:ascii="Arial" w:hAnsi="Arial" w:cs="Arial"/>
          <w:b/>
        </w:rPr>
        <w:tab/>
      </w:r>
    </w:p>
    <w:p w14:paraId="67E0ADD2" w14:textId="77777777"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r w:rsidRPr="000456FD">
        <w:rPr>
          <w:rFonts w:ascii="Arial" w:hAnsi="Arial" w:cs="Arial"/>
          <w:bCs/>
        </w:rPr>
        <w:t xml:space="preserve">Hydroxycarbamide for the treatment of myeloproliferative neoplasms i.e. Polycythaemia vera (PV) and Essential Thrombocythaemia (ET). The adequate trial period for determining the anti-neoplastic effect of hydroxycarbamide is SIX weeks. </w:t>
      </w:r>
    </w:p>
    <w:p w14:paraId="317934B8" w14:textId="77777777"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p>
    <w:p w14:paraId="11E8521C" w14:textId="38729AD2"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r w:rsidRPr="000456FD">
        <w:rPr>
          <w:rFonts w:ascii="Arial" w:hAnsi="Arial" w:cs="Arial"/>
          <w:bCs/>
        </w:rPr>
        <w:t>The protocol applies to adults aged 18 and over</w:t>
      </w:r>
      <w:r w:rsidR="00224301">
        <w:rPr>
          <w:rFonts w:ascii="Arial" w:hAnsi="Arial" w:cs="Arial"/>
          <w:bCs/>
        </w:rPr>
        <w:t xml:space="preserve"> and does not cover hydroxycarbamide for sickle cell. </w:t>
      </w:r>
    </w:p>
    <w:p w14:paraId="57F9DACB" w14:textId="274B7770" w:rsid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7818594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59254B0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 xml:space="preserve">Doses are based on actual or ideal bodyweight of the patient (whichever is the less). Hydroxycarbamide is available and can be supplied as either capsules or as solution for oral administration. </w:t>
      </w:r>
    </w:p>
    <w:p w14:paraId="06BB8CAF"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Cs/>
        </w:rPr>
      </w:pPr>
      <w:r w:rsidRPr="000456FD">
        <w:rPr>
          <w:rFonts w:ascii="Arial" w:hAnsi="Arial" w:cs="Arial"/>
          <w:bCs/>
          <w:iCs/>
        </w:rPr>
        <w:t xml:space="preserve">Lower doses may be required in elderly patients and should be considered in patients with renal impairment. </w:t>
      </w:r>
    </w:p>
    <w:p w14:paraId="6410B9D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0B643A5"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B4E0947"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
          <w:iCs/>
        </w:rPr>
      </w:pPr>
      <w:r w:rsidRPr="000456FD">
        <w:rPr>
          <w:rFonts w:ascii="Arial" w:hAnsi="Arial" w:cs="Arial"/>
          <w:bCs/>
          <w:i/>
          <w:iCs/>
        </w:rPr>
        <w:t>(Note: All dose and formulation adjustments will be the responsibility of the initiating specialist based on clinical response and tolerability unless agreed with the primary care clinician. Termination of treatment is also the responsibility of the specialist).</w:t>
      </w:r>
    </w:p>
    <w:p w14:paraId="1BC6B7D8"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
          <w:iCs/>
        </w:rPr>
      </w:pPr>
    </w:p>
    <w:p w14:paraId="3187A52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In Essential thrombocythaemia, hydroxycarbamide is usually given at starting doses of 15mg/kg/day with doses adjusted to maintain platelet counts below 600 x 10</w:t>
      </w:r>
      <w:r w:rsidRPr="000456FD">
        <w:rPr>
          <w:rFonts w:ascii="Arial" w:hAnsi="Arial" w:cs="Arial"/>
          <w:bCs/>
          <w:vertAlign w:val="superscript"/>
        </w:rPr>
        <w:t>9</w:t>
      </w:r>
      <w:r w:rsidRPr="000456FD">
        <w:rPr>
          <w:rFonts w:ascii="Arial" w:hAnsi="Arial" w:cs="Arial"/>
          <w:bCs/>
        </w:rPr>
        <w:t>/l without lowering white blood cell counts below 4 x 10</w:t>
      </w:r>
      <w:r w:rsidRPr="000456FD">
        <w:rPr>
          <w:rFonts w:ascii="Arial" w:hAnsi="Arial" w:cs="Arial"/>
          <w:bCs/>
          <w:vertAlign w:val="superscript"/>
        </w:rPr>
        <w:t>9</w:t>
      </w:r>
      <w:r w:rsidRPr="000456FD">
        <w:rPr>
          <w:rFonts w:ascii="Arial" w:hAnsi="Arial" w:cs="Arial"/>
          <w:bCs/>
        </w:rPr>
        <w:t>/l.</w:t>
      </w:r>
    </w:p>
    <w:p w14:paraId="3B8340CD" w14:textId="77777777" w:rsidR="00307B2B" w:rsidRPr="000456FD"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53BE40C9"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lastRenderedPageBreak/>
        <w:t>In Polycythaemia vera, hydroxycarbamide should be started at a dose of 15 – 20 mg/kg/day. The hydroxycarbamide dose should be adjusted individually to maintain the haematocrit below 45% and platelet count below 400 x 10</w:t>
      </w:r>
      <w:r w:rsidRPr="000456FD">
        <w:rPr>
          <w:rFonts w:ascii="Arial" w:hAnsi="Arial" w:cs="Arial"/>
          <w:bCs/>
          <w:vertAlign w:val="superscript"/>
        </w:rPr>
        <w:t>9</w:t>
      </w:r>
      <w:r w:rsidRPr="000456FD">
        <w:rPr>
          <w:rFonts w:ascii="Arial" w:hAnsi="Arial" w:cs="Arial"/>
          <w:bCs/>
        </w:rPr>
        <w:t xml:space="preserve">/l. In most patients this can be achieved with hydroxycarbamide given continuously at average daily doses of 500 to 1000mg. </w:t>
      </w:r>
    </w:p>
    <w:p w14:paraId="44C82F45"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4ECA322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 xml:space="preserve">Treatment is continued indefinitely, according to clinical response i.e. if haematocrit and platelet count can be sufficiently controlled. </w:t>
      </w:r>
    </w:p>
    <w:p w14:paraId="3DF2AB9B"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21AE1DF2" w14:textId="77777777" w:rsid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Capsules should be swallowed whole.</w:t>
      </w:r>
    </w:p>
    <w:p w14:paraId="07ED7FFF" w14:textId="77777777" w:rsidR="001C6663" w:rsidRDefault="001C6663" w:rsidP="001C666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bookmarkStart w:id="2" w:name="_Hlk178167891"/>
    </w:p>
    <w:p w14:paraId="0F6BB5F8" w14:textId="11B28037" w:rsidR="001C6663" w:rsidRPr="001C6663" w:rsidRDefault="001C6663" w:rsidP="001C666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1C6663">
        <w:rPr>
          <w:rFonts w:ascii="Arial" w:hAnsi="Arial" w:cs="Arial"/>
          <w:bCs/>
          <w:u w:val="single"/>
        </w:rPr>
        <w:t>Swallowing difficulties</w:t>
      </w:r>
    </w:p>
    <w:p w14:paraId="3230AA2F" w14:textId="77777777" w:rsidR="001C6663" w:rsidRPr="001C6663" w:rsidRDefault="001C6663" w:rsidP="001C666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1C6663">
        <w:rPr>
          <w:rFonts w:ascii="Arial" w:hAnsi="Arial" w:cs="Arial"/>
          <w:bCs/>
        </w:rPr>
        <w:t xml:space="preserve">Please refer to the </w:t>
      </w:r>
      <w:hyperlink r:id="rId17" w:history="1">
        <w:r w:rsidRPr="001C6663">
          <w:rPr>
            <w:rStyle w:val="Hyperlink"/>
            <w:rFonts w:ascii="Arial" w:hAnsi="Arial" w:cs="Arial"/>
            <w:bCs/>
          </w:rPr>
          <w:t>‘specials’ alternative guidance</w:t>
        </w:r>
      </w:hyperlink>
      <w:r w:rsidRPr="001C6663">
        <w:rPr>
          <w:rFonts w:ascii="Arial" w:hAnsi="Arial" w:cs="Arial"/>
          <w:bCs/>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1C6663">
        <w:rPr>
          <w:rFonts w:ascii="Arial" w:hAnsi="Arial" w:cs="Arial"/>
          <w:bCs/>
        </w:rPr>
        <w:t>takes into account</w:t>
      </w:r>
      <w:proofErr w:type="gramEnd"/>
      <w:r w:rsidRPr="001C6663">
        <w:rPr>
          <w:rFonts w:ascii="Arial" w:hAnsi="Arial" w:cs="Arial"/>
          <w:bCs/>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2"/>
    <w:p w14:paraId="62E0B4A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617F41F5" w14:textId="77777777" w:rsidR="000456FD" w:rsidRPr="00551451"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551451">
        <w:rPr>
          <w:rFonts w:ascii="Arial" w:hAnsi="Arial" w:cs="Arial"/>
          <w:bCs/>
          <w:u w:val="single"/>
        </w:rPr>
        <w:t>Haematological toxicity</w:t>
      </w:r>
    </w:p>
    <w:p w14:paraId="74A9B9A3" w14:textId="1B515F4B" w:rsidR="0093166C"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If neutrophils &lt; 1.5 x 1</w:t>
      </w:r>
      <w:r w:rsidRPr="00350D90">
        <w:rPr>
          <w:rFonts w:ascii="Arial" w:hAnsi="Arial" w:cs="Arial"/>
          <w:bCs/>
        </w:rPr>
        <w:t>0</w:t>
      </w:r>
      <w:r w:rsidR="00350D90">
        <w:rPr>
          <w:rFonts w:ascii="Arial" w:hAnsi="Arial" w:cs="Arial"/>
          <w:bCs/>
          <w:vertAlign w:val="superscript"/>
        </w:rPr>
        <w:t>9</w:t>
      </w:r>
      <w:r w:rsidRPr="000456FD">
        <w:rPr>
          <w:rFonts w:ascii="Arial" w:hAnsi="Arial" w:cs="Arial"/>
          <w:bCs/>
        </w:rPr>
        <w:t>/L and/or platelets &lt; 100 x 10</w:t>
      </w:r>
      <w:r w:rsidR="00350D90">
        <w:rPr>
          <w:rFonts w:ascii="Arial" w:hAnsi="Arial" w:cs="Arial"/>
          <w:bCs/>
          <w:vertAlign w:val="superscript"/>
        </w:rPr>
        <w:t>9</w:t>
      </w:r>
      <w:r w:rsidRPr="000456FD">
        <w:rPr>
          <w:rFonts w:ascii="Arial" w:hAnsi="Arial" w:cs="Arial"/>
          <w:bCs/>
        </w:rPr>
        <w:t>/L, interrupt treatment until counts rise above these levels.</w:t>
      </w:r>
    </w:p>
    <w:p w14:paraId="3AC21B43"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439CA697" w14:textId="78B29017" w:rsidR="0093166C" w:rsidRPr="00551451"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551451">
        <w:rPr>
          <w:rFonts w:ascii="Arial" w:hAnsi="Arial" w:cs="Arial"/>
          <w:bCs/>
          <w:u w:val="single"/>
        </w:rPr>
        <w:t>Renal Impairment</w:t>
      </w:r>
    </w:p>
    <w:p w14:paraId="334916BE" w14:textId="60421628" w:rsid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Although in practice the dose will be titrated according to response, impaired renal function may affect clearance</w:t>
      </w:r>
      <w:r w:rsidR="00F70709">
        <w:rPr>
          <w:rFonts w:ascii="Arial" w:hAnsi="Arial" w:cs="Arial"/>
          <w:bCs/>
        </w:rPr>
        <w:t>.</w:t>
      </w:r>
    </w:p>
    <w:p w14:paraId="5FCE4F87" w14:textId="08CDE542" w:rsidR="00543DE2" w:rsidRDefault="00543DE2"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Clinical decision: discuss with specialist consultant</w:t>
      </w:r>
    </w:p>
    <w:p w14:paraId="7D9C3B60" w14:textId="77777777" w:rsidR="00543DE2" w:rsidRPr="0093166C" w:rsidRDefault="00543DE2"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15FA4E05" w14:textId="77777777" w:rsidR="0093166C" w:rsidRPr="00E54FA1"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E54FA1">
        <w:rPr>
          <w:rFonts w:ascii="Arial" w:hAnsi="Arial" w:cs="Arial"/>
          <w:bCs/>
          <w:u w:val="single"/>
        </w:rPr>
        <w:t>Hepatic Impairment</w:t>
      </w:r>
    </w:p>
    <w:p w14:paraId="3E8FC4DF"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Clinical decision: discuss with specialist consultant</w:t>
      </w:r>
    </w:p>
    <w:p w14:paraId="2C807B8D"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729581CE" w14:textId="58109036" w:rsidR="0093166C" w:rsidRPr="000456FD"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Please note that in addition to absolute values for haematological indices, a rapid fall or consistent downward trend in any values should prompt caution and extra vigilance.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3AC89FF" w14:textId="5A81B831" w:rsidR="0093166C" w:rsidRPr="005E2A17" w:rsidRDefault="0093166C" w:rsidP="0093166C">
            <w:pPr>
              <w:pStyle w:val="ListParagraph"/>
              <w:numPr>
                <w:ilvl w:val="0"/>
                <w:numId w:val="15"/>
              </w:numPr>
              <w:rPr>
                <w:rFonts w:ascii="Arial" w:hAnsi="Arial" w:cs="Arial"/>
              </w:rPr>
            </w:pPr>
            <w:r w:rsidRPr="005E2A17">
              <w:rPr>
                <w:rFonts w:ascii="Arial" w:hAnsi="Arial" w:cs="Arial"/>
              </w:rPr>
              <w:t>Assess the patient and provide a diagnosis, within the scope of shared care protocol</w:t>
            </w:r>
            <w:r w:rsidR="00C025B2">
              <w:rPr>
                <w:rFonts w:ascii="Arial" w:hAnsi="Arial" w:cs="Arial"/>
              </w:rPr>
              <w:t xml:space="preserve"> and communicated to primary care</w:t>
            </w:r>
            <w:r w:rsidRPr="005E2A17">
              <w:rPr>
                <w:rFonts w:ascii="Arial" w:hAnsi="Arial" w:cs="Arial"/>
              </w:rPr>
              <w:t>.</w:t>
            </w:r>
          </w:p>
          <w:p w14:paraId="6D36F278" w14:textId="77777777" w:rsidR="0093166C" w:rsidRPr="005E2A17" w:rsidRDefault="0093166C" w:rsidP="0093166C">
            <w:pPr>
              <w:pStyle w:val="ListParagraph"/>
              <w:numPr>
                <w:ilvl w:val="0"/>
                <w:numId w:val="15"/>
              </w:numPr>
              <w:rPr>
                <w:rFonts w:ascii="Arial" w:hAnsi="Arial" w:cs="Arial"/>
              </w:rPr>
            </w:pPr>
            <w:r w:rsidRPr="005E2A17">
              <w:rPr>
                <w:rFonts w:ascii="Arial" w:hAnsi="Arial" w:cs="Arial"/>
              </w:rPr>
              <w:t>Assess for contraindications, interactions and cautions.</w:t>
            </w:r>
          </w:p>
          <w:p w14:paraId="7000E8F1" w14:textId="77777777" w:rsidR="0093166C" w:rsidRPr="005E2A17" w:rsidRDefault="0093166C" w:rsidP="0093166C">
            <w:pPr>
              <w:pStyle w:val="ListParagraph"/>
              <w:numPr>
                <w:ilvl w:val="0"/>
                <w:numId w:val="15"/>
              </w:numPr>
              <w:rPr>
                <w:rFonts w:ascii="Arial" w:hAnsi="Arial" w:cs="Arial"/>
              </w:rPr>
            </w:pPr>
            <w:r w:rsidRPr="005E2A17">
              <w:rPr>
                <w:rStyle w:val="cf01"/>
                <w:rFonts w:ascii="Arial" w:hAnsi="Arial" w:cs="Arial"/>
                <w:sz w:val="22"/>
                <w:szCs w:val="22"/>
              </w:rPr>
              <w:t xml:space="preserve">Use a shared </w:t>
            </w:r>
            <w:proofErr w:type="gramStart"/>
            <w:r w:rsidRPr="005E2A17">
              <w:rPr>
                <w:rStyle w:val="cf01"/>
                <w:rFonts w:ascii="Arial" w:hAnsi="Arial" w:cs="Arial"/>
                <w:sz w:val="22"/>
                <w:szCs w:val="22"/>
              </w:rPr>
              <w:t>decision making</w:t>
            </w:r>
            <w:proofErr w:type="gramEnd"/>
            <w:r w:rsidRPr="005E2A17">
              <w:rPr>
                <w:rStyle w:val="cf01"/>
                <w:rFonts w:ascii="Arial" w:hAnsi="Arial" w:cs="Arial"/>
                <w:sz w:val="22"/>
                <w:szCs w:val="22"/>
              </w:rPr>
              <w:t xml:space="preserve"> approach, </w:t>
            </w:r>
            <w:r w:rsidRPr="005E2A17">
              <w:rPr>
                <w:rFonts w:ascii="Arial" w:hAnsi="Arial" w:cs="Arial"/>
              </w:rPr>
              <w:t xml:space="preserve">provide patient information leaflets illustrating risks and benefits associated with hydroxycarbamide therapy </w:t>
            </w:r>
            <w:r w:rsidRPr="005E2A17">
              <w:rPr>
                <w:rStyle w:val="cf01"/>
                <w:rFonts w:ascii="Arial" w:hAnsi="Arial" w:cs="Arial"/>
                <w:sz w:val="22"/>
                <w:szCs w:val="22"/>
              </w:rPr>
              <w:t>to enable the patient to reach an informed decision</w:t>
            </w:r>
            <w:r w:rsidRPr="005E2A17">
              <w:rPr>
                <w:rFonts w:ascii="Arial" w:hAnsi="Arial" w:cs="Arial"/>
              </w:rPr>
              <w:t>. Explain the requirement for continued blood monitoring and actions to be taken if patients display adverse reactions.</w:t>
            </w:r>
          </w:p>
          <w:p w14:paraId="6DF54F6C" w14:textId="77777777" w:rsidR="0093166C" w:rsidRPr="005E2A17" w:rsidRDefault="0093166C" w:rsidP="0093166C">
            <w:pPr>
              <w:pStyle w:val="ListParagraph"/>
              <w:numPr>
                <w:ilvl w:val="0"/>
                <w:numId w:val="15"/>
              </w:numPr>
              <w:rPr>
                <w:rFonts w:ascii="Arial" w:hAnsi="Arial" w:cs="Arial"/>
              </w:rPr>
            </w:pPr>
            <w:r w:rsidRPr="005E2A17">
              <w:rPr>
                <w:rFonts w:ascii="Arial" w:hAnsi="Arial" w:cs="Arial"/>
              </w:rPr>
              <w:t xml:space="preserve">Ensure pre-chemotherapy counselling completed in line with national safety recommendations and chemotherapy measures. </w:t>
            </w:r>
          </w:p>
          <w:p w14:paraId="29AB8AF0"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Gain consent to initiate treatment and confirm patient understanding regarding therapy.</w:t>
            </w:r>
          </w:p>
          <w:p w14:paraId="34FDEDC8"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Initiate and optimise treatment following baseline blood tests and supply prescriptions for the first 3 months of treatment.</w:t>
            </w:r>
          </w:p>
          <w:p w14:paraId="0C97EE45" w14:textId="77777777" w:rsidR="0093166C" w:rsidRPr="00E54FA1" w:rsidRDefault="0093166C" w:rsidP="0093166C">
            <w:pPr>
              <w:pStyle w:val="Bullets"/>
              <w:numPr>
                <w:ilvl w:val="0"/>
                <w:numId w:val="15"/>
              </w:numPr>
              <w:spacing w:line="240" w:lineRule="auto"/>
              <w:rPr>
                <w:rFonts w:cs="Arial"/>
                <w:szCs w:val="20"/>
              </w:rPr>
            </w:pPr>
            <w:r w:rsidRPr="00E54FA1">
              <w:rPr>
                <w:rFonts w:cs="Arial"/>
                <w:sz w:val="22"/>
                <w:szCs w:val="20"/>
              </w:rPr>
              <w:t>Prescribe sufficient medication to enable transfer to primary care, including where there are unforeseen delays to transfer of care.</w:t>
            </w:r>
          </w:p>
          <w:p w14:paraId="3B9C9406"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To request shared care protocol for patients who have been stabilised on at least 3 months of treatment under the specialist team </w:t>
            </w:r>
            <w:r w:rsidRPr="00786E44">
              <w:rPr>
                <w:rFonts w:ascii="Arial" w:hAnsi="Arial" w:cs="Arial"/>
              </w:rPr>
              <w:t xml:space="preserve">(THIS CANNOT BE REQUESTED FOR PATIENTS WHO ARE NOT STABLE). </w:t>
            </w:r>
            <w:r w:rsidRPr="00E54FA1">
              <w:rPr>
                <w:rFonts w:ascii="Arial" w:hAnsi="Arial" w:cs="Arial"/>
              </w:rPr>
              <w:t xml:space="preserve">Outline the shared care protocol criteria. </w:t>
            </w:r>
          </w:p>
          <w:p w14:paraId="00E7848C"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lastRenderedPageBreak/>
              <w:t xml:space="preserve">Respond to concerns raised regarding accepting shared care and continue prescribing until resolution of such concerns. If no objections are raised within 14 days, shared care will be assumed as accepted and patients with collect the following prescriptions from the GP. </w:t>
            </w:r>
          </w:p>
          <w:p w14:paraId="4CD4A495"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Undertake and review blood tests, monitor responses to treatment, adjust doses when necessary. </w:t>
            </w:r>
          </w:p>
          <w:p w14:paraId="14BACB0A"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Once treatment is optimised, complete the shared care documentation.</w:t>
            </w:r>
          </w:p>
          <w:p w14:paraId="5D0BF494"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Relay information to the GP in a clinic letter/shared care documentation specifying:</w:t>
            </w:r>
          </w:p>
          <w:p w14:paraId="2EB2C994"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Results of blood tests</w:t>
            </w:r>
          </w:p>
          <w:p w14:paraId="1BEBF741"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Dose of hydroxycarbamide to be prescribed</w:t>
            </w:r>
          </w:p>
          <w:p w14:paraId="46792CD7"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Length of hydroxycarbamide prescription</w:t>
            </w:r>
          </w:p>
          <w:p w14:paraId="31B9FEBC"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Date of next blood test</w:t>
            </w:r>
          </w:p>
          <w:p w14:paraId="476E48D7"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Stop date (if treatment is to be stopped)</w:t>
            </w:r>
          </w:p>
          <w:p w14:paraId="6CED3213"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When next monitoring is required</w:t>
            </w:r>
          </w:p>
          <w:p w14:paraId="62A6F82A"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Contact information</w:t>
            </w:r>
          </w:p>
          <w:p w14:paraId="3A8B4770"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Inform the GP if patients fail to attend appointments or blood tests and advise whether prescribing can be continued (and duration of extension) or must be stopped.</w:t>
            </w:r>
          </w:p>
          <w:p w14:paraId="0C4067E9" w14:textId="413D9757" w:rsidR="0093166C" w:rsidRPr="00E54FA1" w:rsidRDefault="0093166C" w:rsidP="0093166C">
            <w:pPr>
              <w:pStyle w:val="ListParagraph"/>
              <w:numPr>
                <w:ilvl w:val="0"/>
                <w:numId w:val="15"/>
              </w:numPr>
              <w:rPr>
                <w:rFonts w:ascii="Arial" w:hAnsi="Arial" w:cs="Arial"/>
              </w:rPr>
            </w:pPr>
            <w:r w:rsidRPr="00E54FA1">
              <w:rPr>
                <w:rFonts w:ascii="Arial" w:hAnsi="Arial" w:cs="Arial"/>
              </w:rPr>
              <w:t>Conduct the required monitoring and communicate the results to primary care. After each review, advise primary care whether treatment should be continued, confirm the ongoing dose, and whether the ongoing monitoring remains appropriate.</w:t>
            </w:r>
          </w:p>
          <w:p w14:paraId="1DDF0F6B"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Stop treatment when no longer appropriate and inform the GP.</w:t>
            </w:r>
          </w:p>
          <w:p w14:paraId="7CF94A46" w14:textId="2BBBC958" w:rsidR="006A2066" w:rsidRPr="0093166C" w:rsidRDefault="0093166C" w:rsidP="0093166C">
            <w:pPr>
              <w:pStyle w:val="ListParagraph"/>
              <w:ind w:left="360"/>
              <w:rPr>
                <w:b/>
                <w:bCs/>
                <w:u w:val="single"/>
              </w:rPr>
            </w:pPr>
            <w:r w:rsidRPr="00E54FA1">
              <w:rPr>
                <w:rFonts w:ascii="Arial" w:hAnsi="Arial" w:cs="Arial"/>
              </w:rPr>
              <w:t>Provide guidance to primary care regarding management of side effects if required</w:t>
            </w:r>
            <w:r>
              <w:t xml:space="preserve">. </w:t>
            </w:r>
          </w:p>
        </w:tc>
      </w:tr>
    </w:tbl>
    <w:p w14:paraId="517031F9" w14:textId="77777777" w:rsidR="005E21BE" w:rsidRDefault="005E21BE" w:rsidP="00004CD4">
      <w:pPr>
        <w:spacing w:after="0" w:line="240" w:lineRule="auto"/>
        <w:rPr>
          <w:rFonts w:ascii="Arial" w:hAnsi="Arial" w:cs="Arial"/>
          <w:b/>
          <w:sz w:val="18"/>
        </w:rPr>
      </w:pPr>
    </w:p>
    <w:p w14:paraId="583A029D" w14:textId="62ADDC04"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w:t>
      </w:r>
      <w:r w:rsidR="00440CE7">
        <w:rPr>
          <w:rFonts w:ascii="Arial" w:eastAsia="Times New Roman" w:hAnsi="Arial" w:cs="Arial"/>
          <w:b/>
          <w:bCs/>
          <w:szCs w:val="24"/>
        </w:rPr>
        <w:t>I</w:t>
      </w:r>
      <w:r w:rsidRPr="00004CD4">
        <w:rPr>
          <w:rFonts w:ascii="Arial" w:eastAsia="Times New Roman" w:hAnsi="Arial" w:cs="Arial"/>
          <w:b/>
          <w:bCs/>
          <w:szCs w:val="24"/>
        </w:rPr>
        <w:t>BILITIES</w:t>
      </w:r>
    </w:p>
    <w:p w14:paraId="448313C2" w14:textId="0B2110B7"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w:t>
      </w:r>
      <w:r w:rsidR="003A03BF">
        <w:rPr>
          <w:rFonts w:ascii="Arial" w:eastAsia="Times New Roman" w:hAnsi="Arial" w:cs="Arial"/>
          <w:bCs/>
          <w:szCs w:val="24"/>
        </w:rPr>
        <w:t xml:space="preserve"> 1</w:t>
      </w:r>
      <w:r w:rsidR="00440CE7">
        <w:rPr>
          <w:rFonts w:ascii="Arial" w:eastAsia="Times New Roman" w:hAnsi="Arial" w:cs="Arial"/>
          <w:bCs/>
          <w:szCs w:val="24"/>
        </w:rPr>
        <w:t>4</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35B78586" w14:textId="2AE72612" w:rsidR="0093166C" w:rsidRDefault="00CA1BB1" w:rsidP="0093166C">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9D4E8B8" w14:textId="77777777" w:rsidR="0020509F" w:rsidRDefault="0020509F" w:rsidP="0020509F">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58F4C972" w14:textId="77777777" w:rsidR="0020509F" w:rsidRDefault="0020509F" w:rsidP="0020509F">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4FF77737" w14:textId="77777777" w:rsidR="00786E44" w:rsidRPr="00786E44" w:rsidRDefault="0093166C" w:rsidP="00786E44">
            <w:pPr>
              <w:pStyle w:val="ListParagraph"/>
              <w:numPr>
                <w:ilvl w:val="0"/>
                <w:numId w:val="15"/>
              </w:numPr>
              <w:rPr>
                <w:rFonts w:ascii="Arial" w:hAnsi="Arial" w:cs="Arial"/>
                <w:b/>
                <w:bCs/>
                <w:u w:val="single"/>
              </w:rPr>
            </w:pPr>
            <w:r w:rsidRPr="00786E44">
              <w:rPr>
                <w:rFonts w:ascii="Arial" w:hAnsi="Arial" w:cs="Arial"/>
              </w:rPr>
              <w:t>Take hydroxycarbamide as prescribed and avoid abrupt withdrawal unless advised by the primary care team or specialist.</w:t>
            </w:r>
          </w:p>
          <w:p w14:paraId="3B668903" w14:textId="3065E463" w:rsidR="0093166C" w:rsidRPr="00786E44" w:rsidRDefault="0093166C" w:rsidP="00786E44">
            <w:pPr>
              <w:pStyle w:val="ListParagraph"/>
              <w:numPr>
                <w:ilvl w:val="0"/>
                <w:numId w:val="15"/>
              </w:numPr>
              <w:rPr>
                <w:rFonts w:ascii="Arial" w:hAnsi="Arial" w:cs="Arial"/>
                <w:b/>
                <w:bCs/>
                <w:u w:val="single"/>
              </w:rPr>
            </w:pPr>
            <w:r w:rsidRPr="00786E44">
              <w:rPr>
                <w:rFonts w:ascii="Arial" w:hAnsi="Arial" w:cs="Arial"/>
              </w:rPr>
              <w:t>Attend appointments regularly for monitoring with primary care and specialist, make sure contact details are up to date.  Be aware that medicines may be stopped if they do not attend.</w:t>
            </w:r>
          </w:p>
          <w:p w14:paraId="67A30171"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 xml:space="preserve">Report adverse effects to their primary care prescriber and seek medical attention if they develop any symptoms as detailed in this SCP. </w:t>
            </w:r>
          </w:p>
          <w:p w14:paraId="737B4595"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Report any use of over-the-counter medication to their prescriber. Discuss use of hydroxycarbamide with their pharmacist before obtaining any OTC medication.</w:t>
            </w:r>
          </w:p>
          <w:p w14:paraId="5B2956CB"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Do not drive or operate heavy machinery if hydroxycarbamide affects their ability to do so.</w:t>
            </w:r>
          </w:p>
          <w:p w14:paraId="19B6562E" w14:textId="21885FEA" w:rsidR="008B71E0" w:rsidRPr="00E54FA1" w:rsidRDefault="0093166C" w:rsidP="00E54FA1">
            <w:pPr>
              <w:pStyle w:val="ListParagraph"/>
              <w:numPr>
                <w:ilvl w:val="0"/>
                <w:numId w:val="15"/>
              </w:numPr>
              <w:rPr>
                <w:rFonts w:ascii="Arial" w:hAnsi="Arial" w:cs="Arial"/>
                <w:b/>
                <w:bCs/>
                <w:u w:val="single"/>
              </w:rPr>
            </w:pPr>
            <w:r w:rsidRPr="00786E44">
              <w:rPr>
                <w:rFonts w:ascii="Arial" w:hAnsi="Arial" w:cs="Arial"/>
              </w:rPr>
              <w:t>Patients should take a pregnancy test if they believe they are pregnant and inform the GP or specialist immediately if they become pregnant or wish to become pregnant.</w:t>
            </w:r>
            <w:r w:rsidR="00F70709" w:rsidRPr="00E54FA1">
              <w:rPr>
                <w:rFonts w:ascii="Arial" w:hAnsi="Arial" w:cs="Arial"/>
              </w:rPr>
              <w:t xml:space="preserve"> Hydroxycarbamide is contraindicated in pregnancy. It is recommended that patients of childbearing potential use effective contraception before starting and during treatment with hydroxycarbamide.</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lastRenderedPageBreak/>
              <w:t>MONITORING AND ACTIONS TO BE TAKEN</w:t>
            </w:r>
          </w:p>
          <w:p w14:paraId="243B6ED4" w14:textId="4B058EFB"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204BB8">
              <w:rPr>
                <w:rFonts w:ascii="Arial" w:eastAsia="Times New Roman" w:hAnsi="Arial" w:cs="Arial"/>
                <w:bCs/>
                <w:lang w:eastAsia="en-GB"/>
              </w:rPr>
              <w:t>-4</w:t>
            </w:r>
            <w:r w:rsidR="00C74787">
              <w:rPr>
                <w:rFonts w:ascii="Arial" w:eastAsia="Times New Roman" w:hAnsi="Arial" w:cs="Arial"/>
                <w:bCs/>
                <w:lang w:eastAsia="en-GB"/>
              </w:rPr>
              <w:t>.</w:t>
            </w:r>
          </w:p>
        </w:tc>
      </w:tr>
    </w:tbl>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CA1BB1" w:rsidRPr="00CA1BB1" w14:paraId="4008C1FA" w14:textId="77777777" w:rsidTr="001C6663">
        <w:trPr>
          <w:trHeight w:val="13475"/>
        </w:trPr>
        <w:tc>
          <w:tcPr>
            <w:tcW w:w="10631"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8"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9"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49D0591" w14:textId="51B7AA82" w:rsidR="00350D90" w:rsidRPr="001C6663" w:rsidRDefault="00D73BA6" w:rsidP="001C6663">
            <w:pPr>
              <w:spacing w:after="0" w:line="240" w:lineRule="auto"/>
              <w:rPr>
                <w:rFonts w:ascii="Arial" w:hAnsi="Arial" w:cs="Arial"/>
                <w:bCs/>
              </w:rPr>
            </w:pPr>
            <w:r w:rsidRPr="00E54FA1">
              <w:rPr>
                <w:rFonts w:ascii="Arial" w:hAnsi="Arial" w:cs="Arial"/>
                <w:bCs/>
              </w:rPr>
              <w:t>GP to liaise with specialist if any side effects are a cause for concern</w:t>
            </w:r>
          </w:p>
          <w:p w14:paraId="32DCCFF9" w14:textId="77777777" w:rsidR="004A2B4D" w:rsidRPr="00E54FA1" w:rsidRDefault="004A2B4D" w:rsidP="00E54FA1">
            <w:pPr>
              <w:spacing w:after="0" w:line="240" w:lineRule="auto"/>
              <w:rPr>
                <w:rFonts w:ascii="Arial" w:hAnsi="Arial" w:cs="Arial"/>
                <w:b/>
                <w:bCs/>
              </w:rPr>
            </w:pPr>
            <w:r w:rsidRPr="00E54FA1">
              <w:rPr>
                <w:rFonts w:ascii="Arial" w:hAnsi="Arial" w:cs="Arial"/>
                <w:b/>
                <w:bCs/>
              </w:rPr>
              <w:t xml:space="preserve">Common: </w:t>
            </w:r>
          </w:p>
          <w:p w14:paraId="4F5DF0B8" w14:textId="07421DAB" w:rsidR="004A2B4D" w:rsidRPr="001C6663" w:rsidRDefault="004A2B4D" w:rsidP="00E54FA1">
            <w:pPr>
              <w:pStyle w:val="ListParagraph"/>
              <w:numPr>
                <w:ilvl w:val="0"/>
                <w:numId w:val="9"/>
              </w:numPr>
              <w:spacing w:after="0" w:line="240" w:lineRule="auto"/>
              <w:ind w:left="357" w:hanging="357"/>
              <w:rPr>
                <w:rFonts w:ascii="Arial" w:hAnsi="Arial" w:cs="Arial"/>
                <w:bCs/>
              </w:rPr>
            </w:pPr>
            <w:r w:rsidRPr="004A2B4D">
              <w:rPr>
                <w:rFonts w:ascii="Arial" w:hAnsi="Arial" w:cs="Arial"/>
                <w:bCs/>
              </w:rPr>
              <w:t xml:space="preserve">Bone marrow depression, leukocytopenia, megablastosis, thrombocytopenia, anaemia, diarrhoea or constipation, nausea and vomiting, rash, fever, chills and malaise. </w:t>
            </w:r>
          </w:p>
          <w:p w14:paraId="61E8982F" w14:textId="77777777" w:rsidR="004A2B4D" w:rsidRPr="00E54FA1" w:rsidRDefault="004A2B4D" w:rsidP="00E54FA1">
            <w:pPr>
              <w:spacing w:after="0" w:line="240" w:lineRule="auto"/>
              <w:rPr>
                <w:rFonts w:ascii="Arial" w:hAnsi="Arial" w:cs="Arial"/>
                <w:b/>
                <w:bCs/>
              </w:rPr>
            </w:pPr>
            <w:r w:rsidRPr="00E54FA1">
              <w:rPr>
                <w:rFonts w:ascii="Arial" w:hAnsi="Arial" w:cs="Arial"/>
                <w:b/>
                <w:bCs/>
              </w:rPr>
              <w:t>Rare:</w:t>
            </w:r>
          </w:p>
          <w:p w14:paraId="6A34F3D6" w14:textId="5C721E94" w:rsidR="004A2B4D" w:rsidRPr="004D18E0" w:rsidRDefault="004A2B4D" w:rsidP="004D18E0">
            <w:pPr>
              <w:pStyle w:val="ListParagraph"/>
              <w:numPr>
                <w:ilvl w:val="0"/>
                <w:numId w:val="9"/>
              </w:numPr>
              <w:spacing w:after="0" w:line="240" w:lineRule="auto"/>
              <w:ind w:left="357" w:hanging="357"/>
              <w:rPr>
                <w:rFonts w:ascii="Arial" w:hAnsi="Arial" w:cs="Arial"/>
                <w:bCs/>
              </w:rPr>
            </w:pPr>
            <w:r w:rsidRPr="004A2B4D">
              <w:rPr>
                <w:rFonts w:ascii="Arial" w:hAnsi="Arial" w:cs="Arial"/>
                <w:bCs/>
              </w:rPr>
              <w:t>Tumour lysis syndrome, gangrene, headache, dizziness, alopecia, dysuria, leg ulcers and cutaneous vasculitis.</w:t>
            </w:r>
          </w:p>
          <w:p w14:paraId="0C7B36DB"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(NOTE: Primary care to seek advice from specialist if patient report any of above side effects)</w:t>
            </w:r>
          </w:p>
          <w:p w14:paraId="6DF4286D" w14:textId="77777777" w:rsidR="004A2B4D" w:rsidRPr="004A2B4D" w:rsidRDefault="004A2B4D" w:rsidP="004A2B4D">
            <w:pPr>
              <w:pStyle w:val="ListParagraph"/>
              <w:numPr>
                <w:ilvl w:val="0"/>
                <w:numId w:val="9"/>
              </w:numPr>
              <w:spacing w:after="0" w:line="240" w:lineRule="auto"/>
              <w:ind w:left="357" w:hanging="357"/>
              <w:rPr>
                <w:rFonts w:ascii="Arial" w:hAnsi="Arial" w:cs="Arial"/>
                <w:bCs/>
                <w:u w:val="single"/>
              </w:rPr>
            </w:pPr>
            <w:r w:rsidRPr="004A2B4D">
              <w:rPr>
                <w:rFonts w:ascii="Arial" w:hAnsi="Arial" w:cs="Arial"/>
                <w:b/>
                <w:bCs/>
              </w:rPr>
              <w:t xml:space="preserve">Any serious adverse reactions should be reported to the MHRA via the Yellow Card scheme. Visit </w:t>
            </w:r>
            <w:hyperlink r:id="rId20" w:tooltip="http://www.mhra.gov.uk/yellowcard" w:history="1">
              <w:r w:rsidRPr="004A2B4D">
                <w:rPr>
                  <w:rStyle w:val="Hyperlink"/>
                  <w:rFonts w:ascii="Arial" w:hAnsi="Arial" w:cs="Arial"/>
                  <w:bCs/>
                </w:rPr>
                <w:t>www.mhra.gov.uk/yellowcard</w:t>
              </w:r>
            </w:hyperlink>
          </w:p>
          <w:p w14:paraId="4ABFD8A1"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u w:val="single"/>
              </w:rPr>
              <w:t>For information on incidence of ADRs see relevant summaries of product characteristics</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241"/>
              <w:gridCol w:w="4245"/>
            </w:tblGrid>
            <w:tr w:rsidR="004A2B4D" w:rsidRPr="004A2B4D" w14:paraId="1626EE66" w14:textId="77777777" w:rsidTr="001C6663">
              <w:trPr>
                <w:trHeight w:val="342"/>
                <w:jc w:val="center"/>
              </w:trPr>
              <w:tc>
                <w:tcPr>
                  <w:tcW w:w="4241" w:type="dxa"/>
                  <w:shd w:val="clear" w:color="auto" w:fill="F2F2F2" w:themeFill="background1" w:themeFillShade="F2"/>
                </w:tcPr>
                <w:p w14:paraId="3CE67C38"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Abnormal Result</w:t>
                  </w:r>
                </w:p>
              </w:tc>
              <w:tc>
                <w:tcPr>
                  <w:tcW w:w="4245" w:type="dxa"/>
                  <w:shd w:val="clear" w:color="auto" w:fill="F2F2F2" w:themeFill="background1" w:themeFillShade="F2"/>
                </w:tcPr>
                <w:p w14:paraId="7138411D"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Action to be taken by GP</w:t>
                  </w:r>
                </w:p>
              </w:tc>
            </w:tr>
            <w:tr w:rsidR="004A2B4D" w:rsidRPr="004A2B4D" w14:paraId="4FE95DDA" w14:textId="77777777" w:rsidTr="001C6663">
              <w:tblPrEx>
                <w:tblCellMar>
                  <w:top w:w="0" w:type="dxa"/>
                  <w:bottom w:w="0" w:type="dxa"/>
                </w:tblCellMar>
              </w:tblPrEx>
              <w:trPr>
                <w:trHeight w:val="566"/>
                <w:jc w:val="center"/>
              </w:trPr>
              <w:tc>
                <w:tcPr>
                  <w:tcW w:w="8486" w:type="dxa"/>
                  <w:gridSpan w:val="2"/>
                  <w:shd w:val="clear" w:color="auto" w:fill="auto"/>
                </w:tcPr>
                <w:p w14:paraId="6E947214"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As well as responding to absolute values in laboratory tests, a rapid change or a consistent trend in any value should prompt caution and extra vigilance</w:t>
                  </w:r>
                </w:p>
              </w:tc>
            </w:tr>
            <w:tr w:rsidR="004A2B4D" w:rsidRPr="004A2B4D" w14:paraId="711596DB" w14:textId="77777777" w:rsidTr="001C6663">
              <w:tblPrEx>
                <w:tblCellMar>
                  <w:top w:w="0" w:type="dxa"/>
                  <w:bottom w:w="0" w:type="dxa"/>
                </w:tblCellMar>
              </w:tblPrEx>
              <w:trPr>
                <w:trHeight w:val="65"/>
                <w:jc w:val="center"/>
              </w:trPr>
              <w:tc>
                <w:tcPr>
                  <w:tcW w:w="4241" w:type="dxa"/>
                  <w:shd w:val="clear" w:color="auto" w:fill="auto"/>
                </w:tcPr>
                <w:p w14:paraId="46C26650" w14:textId="77777777" w:rsidR="004A2B4D" w:rsidRPr="00457162" w:rsidRDefault="004A2B4D" w:rsidP="00786E44">
                  <w:pPr>
                    <w:pStyle w:val="ListParagraph"/>
                    <w:ind w:left="357"/>
                    <w:rPr>
                      <w:rFonts w:ascii="Arial" w:hAnsi="Arial" w:cs="Arial"/>
                      <w:bCs/>
                    </w:rPr>
                  </w:pPr>
                  <w:r w:rsidRPr="00457162">
                    <w:rPr>
                      <w:rFonts w:ascii="Arial" w:hAnsi="Arial" w:cs="Arial"/>
                      <w:b/>
                      <w:bCs/>
                    </w:rPr>
                    <w:t>Full blood count</w:t>
                  </w:r>
                  <w:r w:rsidRPr="00457162">
                    <w:rPr>
                      <w:rFonts w:ascii="Arial" w:hAnsi="Arial" w:cs="Arial"/>
                      <w:bCs/>
                    </w:rPr>
                    <w:t>:</w:t>
                  </w:r>
                </w:p>
                <w:p w14:paraId="2ADBD70B"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Cs/>
                    </w:rPr>
                    <w:t>White blood cells less than 2.5x10</w:t>
                  </w:r>
                  <w:r w:rsidRPr="004A2B4D">
                    <w:rPr>
                      <w:rFonts w:ascii="Arial" w:hAnsi="Arial" w:cs="Arial"/>
                      <w:bCs/>
                      <w:vertAlign w:val="superscript"/>
                    </w:rPr>
                    <w:t>9</w:t>
                  </w:r>
                  <w:r w:rsidRPr="004A2B4D">
                    <w:rPr>
                      <w:rFonts w:ascii="Arial" w:hAnsi="Arial" w:cs="Arial"/>
                      <w:bCs/>
                    </w:rPr>
                    <w:t>/L</w:t>
                  </w:r>
                </w:p>
                <w:p w14:paraId="4ED57B84"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Neutrophils less than 1.5x10</w:t>
                  </w:r>
                  <w:r w:rsidRPr="004A2B4D">
                    <w:rPr>
                      <w:rFonts w:ascii="Arial" w:hAnsi="Arial" w:cs="Arial"/>
                      <w:bCs/>
                      <w:vertAlign w:val="superscript"/>
                    </w:rPr>
                    <w:t>9</w:t>
                  </w:r>
                  <w:r w:rsidRPr="004A2B4D">
                    <w:rPr>
                      <w:rFonts w:ascii="Arial" w:hAnsi="Arial" w:cs="Arial"/>
                      <w:bCs/>
                    </w:rPr>
                    <w:t>/L</w:t>
                  </w:r>
                </w:p>
                <w:p w14:paraId="05177D1A" w14:textId="3129AD09" w:rsidR="004A2B4D" w:rsidRPr="00A82DB2" w:rsidRDefault="004A2B4D" w:rsidP="00A82DB2">
                  <w:pPr>
                    <w:pStyle w:val="ListParagraph"/>
                    <w:numPr>
                      <w:ilvl w:val="0"/>
                      <w:numId w:val="9"/>
                    </w:numPr>
                    <w:ind w:left="357" w:hanging="357"/>
                    <w:rPr>
                      <w:rFonts w:ascii="Arial" w:hAnsi="Arial" w:cs="Arial"/>
                      <w:bCs/>
                    </w:rPr>
                  </w:pPr>
                  <w:r w:rsidRPr="004A2B4D">
                    <w:rPr>
                      <w:rFonts w:ascii="Arial" w:hAnsi="Arial" w:cs="Arial"/>
                      <w:bCs/>
                    </w:rPr>
                    <w:t>Platelets less than 80x10</w:t>
                  </w:r>
                  <w:r w:rsidRPr="004A2B4D">
                    <w:rPr>
                      <w:rFonts w:ascii="Arial" w:hAnsi="Arial" w:cs="Arial"/>
                      <w:bCs/>
                      <w:vertAlign w:val="superscript"/>
                    </w:rPr>
                    <w:t>9</w:t>
                  </w:r>
                  <w:r w:rsidRPr="004A2B4D">
                    <w:rPr>
                      <w:rFonts w:ascii="Arial" w:hAnsi="Arial" w:cs="Arial"/>
                      <w:bCs/>
                    </w:rPr>
                    <w:t>/</w:t>
                  </w:r>
                  <w:r w:rsidR="00A82DB2">
                    <w:rPr>
                      <w:rFonts w:ascii="Arial" w:hAnsi="Arial" w:cs="Arial"/>
                      <w:bCs/>
                    </w:rPr>
                    <w:t>L</w:t>
                  </w:r>
                </w:p>
              </w:tc>
              <w:tc>
                <w:tcPr>
                  <w:tcW w:w="4245" w:type="dxa"/>
                  <w:shd w:val="clear" w:color="auto" w:fill="auto"/>
                </w:tcPr>
                <w:p w14:paraId="71270909"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Consider withholding and discuss urgently with specialist team. </w:t>
                  </w:r>
                </w:p>
                <w:p w14:paraId="0192A020" w14:textId="77777777" w:rsidR="004A2B4D" w:rsidRPr="004A2B4D" w:rsidRDefault="004A2B4D" w:rsidP="00543DE2">
                  <w:pPr>
                    <w:pStyle w:val="ListParagraph"/>
                    <w:spacing w:after="0" w:line="240" w:lineRule="auto"/>
                    <w:ind w:left="357"/>
                    <w:rPr>
                      <w:rFonts w:ascii="Arial" w:hAnsi="Arial" w:cs="Arial"/>
                      <w:bCs/>
                    </w:rPr>
                  </w:pPr>
                </w:p>
              </w:tc>
            </w:tr>
            <w:tr w:rsidR="00350D90" w:rsidRPr="004A2B4D" w14:paraId="1D59ECF5" w14:textId="77777777" w:rsidTr="001C6663">
              <w:tblPrEx>
                <w:tblCellMar>
                  <w:top w:w="0" w:type="dxa"/>
                  <w:bottom w:w="0" w:type="dxa"/>
                </w:tblCellMar>
              </w:tblPrEx>
              <w:trPr>
                <w:trHeight w:val="65"/>
                <w:jc w:val="center"/>
              </w:trPr>
              <w:tc>
                <w:tcPr>
                  <w:tcW w:w="4241" w:type="dxa"/>
                  <w:shd w:val="clear" w:color="auto" w:fill="auto"/>
                </w:tcPr>
                <w:p w14:paraId="503218F1" w14:textId="77777777" w:rsidR="00350D90" w:rsidRPr="00457162" w:rsidRDefault="00350D90" w:rsidP="00786E44">
                  <w:pPr>
                    <w:pStyle w:val="ListParagraph"/>
                    <w:ind w:left="357"/>
                    <w:rPr>
                      <w:rFonts w:ascii="Arial" w:hAnsi="Arial" w:cs="Arial"/>
                      <w:b/>
                      <w:bCs/>
                    </w:rPr>
                  </w:pPr>
                </w:p>
              </w:tc>
              <w:tc>
                <w:tcPr>
                  <w:tcW w:w="4245" w:type="dxa"/>
                  <w:shd w:val="clear" w:color="auto" w:fill="auto"/>
                </w:tcPr>
                <w:p w14:paraId="2CF3BB01" w14:textId="77777777" w:rsidR="00350D90" w:rsidRPr="004A2B4D" w:rsidRDefault="00350D90" w:rsidP="004A2B4D">
                  <w:pPr>
                    <w:pStyle w:val="ListParagraph"/>
                    <w:numPr>
                      <w:ilvl w:val="0"/>
                      <w:numId w:val="9"/>
                    </w:numPr>
                    <w:spacing w:after="0"/>
                    <w:ind w:left="357" w:hanging="357"/>
                    <w:rPr>
                      <w:rFonts w:ascii="Arial" w:hAnsi="Arial" w:cs="Arial"/>
                      <w:bCs/>
                    </w:rPr>
                  </w:pPr>
                </w:p>
              </w:tc>
            </w:tr>
            <w:tr w:rsidR="004A2B4D" w:rsidRPr="004A2B4D" w14:paraId="6143DCE3" w14:textId="77777777" w:rsidTr="001C6663">
              <w:tblPrEx>
                <w:tblCellMar>
                  <w:top w:w="0" w:type="dxa"/>
                  <w:bottom w:w="0" w:type="dxa"/>
                </w:tblCellMar>
              </w:tblPrEx>
              <w:trPr>
                <w:trHeight w:val="65"/>
                <w:jc w:val="center"/>
              </w:trPr>
              <w:tc>
                <w:tcPr>
                  <w:tcW w:w="4241" w:type="dxa"/>
                  <w:shd w:val="clear" w:color="auto" w:fill="auto"/>
                </w:tcPr>
                <w:p w14:paraId="64494858" w14:textId="77777777" w:rsidR="004A2B4D" w:rsidRPr="00457162" w:rsidRDefault="004A2B4D" w:rsidP="004A2B4D">
                  <w:pPr>
                    <w:pStyle w:val="ListParagraph"/>
                    <w:numPr>
                      <w:ilvl w:val="0"/>
                      <w:numId w:val="9"/>
                    </w:numPr>
                    <w:ind w:left="357" w:hanging="357"/>
                    <w:rPr>
                      <w:rFonts w:ascii="Arial" w:hAnsi="Arial" w:cs="Arial"/>
                      <w:bCs/>
                    </w:rPr>
                  </w:pPr>
                  <w:r w:rsidRPr="00457162">
                    <w:rPr>
                      <w:rFonts w:ascii="Arial" w:hAnsi="Arial" w:cs="Arial"/>
                      <w:bCs/>
                    </w:rPr>
                    <w:t>Signs or symptoms of bone marrow suppression, e.g. unexplained bleeding or bruising with or without sore throat or mouth ulcers</w:t>
                  </w:r>
                </w:p>
              </w:tc>
              <w:tc>
                <w:tcPr>
                  <w:tcW w:w="4245" w:type="dxa"/>
                  <w:shd w:val="clear" w:color="auto" w:fill="auto"/>
                </w:tcPr>
                <w:p w14:paraId="6A6935DA"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 xml:space="preserve">Consider withholding. Check FBC immediately and discuss with the specialist team. See haematological monitoring above. </w:t>
                  </w:r>
                </w:p>
              </w:tc>
            </w:tr>
            <w:tr w:rsidR="004A2B4D" w:rsidRPr="004A2B4D" w14:paraId="50973297" w14:textId="77777777" w:rsidTr="001C6663">
              <w:tblPrEx>
                <w:tblCellMar>
                  <w:top w:w="0" w:type="dxa"/>
                  <w:bottom w:w="0" w:type="dxa"/>
                </w:tblCellMar>
              </w:tblPrEx>
              <w:trPr>
                <w:trHeight w:val="65"/>
                <w:jc w:val="center"/>
              </w:trPr>
              <w:tc>
                <w:tcPr>
                  <w:tcW w:w="4241" w:type="dxa"/>
                  <w:shd w:val="clear" w:color="auto" w:fill="auto"/>
                </w:tcPr>
                <w:p w14:paraId="037DD180" w14:textId="77777777" w:rsidR="004A2B4D" w:rsidRPr="00457162" w:rsidRDefault="004A2B4D" w:rsidP="00786E44">
                  <w:pPr>
                    <w:pStyle w:val="ListParagraph"/>
                    <w:ind w:left="357"/>
                    <w:rPr>
                      <w:rFonts w:ascii="Arial" w:hAnsi="Arial" w:cs="Arial"/>
                      <w:b/>
                      <w:bCs/>
                    </w:rPr>
                  </w:pPr>
                  <w:r w:rsidRPr="00457162">
                    <w:rPr>
                      <w:rFonts w:ascii="Arial" w:hAnsi="Arial" w:cs="Arial"/>
                      <w:b/>
                      <w:bCs/>
                    </w:rPr>
                    <w:t>Renal function</w:t>
                  </w:r>
                </w:p>
                <w:p w14:paraId="0CDAD799"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 xml:space="preserve">Serum creatinine greater than 2x upper limit of normal (ULN) or serial rise over </w:t>
                  </w:r>
                  <w:proofErr w:type="gramStart"/>
                  <w:r w:rsidRPr="004A2B4D">
                    <w:rPr>
                      <w:rFonts w:ascii="Arial" w:hAnsi="Arial" w:cs="Arial"/>
                      <w:bCs/>
                    </w:rPr>
                    <w:t>a number of</w:t>
                  </w:r>
                  <w:proofErr w:type="gramEnd"/>
                  <w:r w:rsidRPr="004A2B4D">
                    <w:rPr>
                      <w:rFonts w:ascii="Arial" w:hAnsi="Arial" w:cs="Arial"/>
                      <w:bCs/>
                    </w:rPr>
                    <w:t xml:space="preserve"> visits.</w:t>
                  </w:r>
                </w:p>
              </w:tc>
              <w:tc>
                <w:tcPr>
                  <w:tcW w:w="4245" w:type="dxa"/>
                  <w:shd w:val="clear" w:color="auto" w:fill="auto"/>
                </w:tcPr>
                <w:p w14:paraId="428DAF9F"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3F90B07F" w14:textId="77777777" w:rsidTr="001C6663">
              <w:tblPrEx>
                <w:tblCellMar>
                  <w:top w:w="0" w:type="dxa"/>
                  <w:bottom w:w="0" w:type="dxa"/>
                </w:tblCellMar>
              </w:tblPrEx>
              <w:trPr>
                <w:trHeight w:val="65"/>
                <w:jc w:val="center"/>
              </w:trPr>
              <w:tc>
                <w:tcPr>
                  <w:tcW w:w="4241" w:type="dxa"/>
                  <w:shd w:val="clear" w:color="auto" w:fill="auto"/>
                </w:tcPr>
                <w:p w14:paraId="537C9DCD" w14:textId="77777777" w:rsidR="004A2B4D" w:rsidRPr="00457162" w:rsidRDefault="004A2B4D" w:rsidP="00786E44">
                  <w:pPr>
                    <w:pStyle w:val="ListParagraph"/>
                    <w:spacing w:after="0"/>
                    <w:ind w:left="357"/>
                    <w:rPr>
                      <w:rFonts w:ascii="Arial" w:hAnsi="Arial" w:cs="Arial"/>
                      <w:b/>
                      <w:bCs/>
                    </w:rPr>
                  </w:pPr>
                  <w:r w:rsidRPr="00457162">
                    <w:rPr>
                      <w:rFonts w:ascii="Arial" w:hAnsi="Arial" w:cs="Arial"/>
                      <w:b/>
                      <w:bCs/>
                    </w:rPr>
                    <w:t>Liver function tests:</w:t>
                  </w:r>
                </w:p>
                <w:p w14:paraId="6EBE9E3B"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ALT or AST greater than 3x ULN</w:t>
                  </w:r>
                </w:p>
              </w:tc>
              <w:tc>
                <w:tcPr>
                  <w:tcW w:w="4245" w:type="dxa"/>
                  <w:shd w:val="clear" w:color="auto" w:fill="auto"/>
                </w:tcPr>
                <w:p w14:paraId="21C938B1"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4920FF9F" w14:textId="77777777" w:rsidTr="001C6663">
              <w:tblPrEx>
                <w:tblCellMar>
                  <w:top w:w="0" w:type="dxa"/>
                  <w:bottom w:w="0" w:type="dxa"/>
                </w:tblCellMar>
              </w:tblPrEx>
              <w:trPr>
                <w:trHeight w:val="65"/>
                <w:jc w:val="center"/>
              </w:trPr>
              <w:tc>
                <w:tcPr>
                  <w:tcW w:w="4241" w:type="dxa"/>
                  <w:shd w:val="clear" w:color="auto" w:fill="auto"/>
                </w:tcPr>
                <w:p w14:paraId="2CCFDBF1"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Leg ulcers or cutaneous vasculitic ulcerations</w:t>
                  </w:r>
                </w:p>
              </w:tc>
              <w:tc>
                <w:tcPr>
                  <w:tcW w:w="4245" w:type="dxa"/>
                  <w:shd w:val="clear" w:color="auto" w:fill="auto"/>
                </w:tcPr>
                <w:p w14:paraId="3D35844B"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4701B402" w14:textId="77777777" w:rsidTr="001C6663">
              <w:tblPrEx>
                <w:tblCellMar>
                  <w:top w:w="0" w:type="dxa"/>
                  <w:bottom w:w="0" w:type="dxa"/>
                </w:tblCellMar>
              </w:tblPrEx>
              <w:trPr>
                <w:trHeight w:val="65"/>
                <w:jc w:val="center"/>
              </w:trPr>
              <w:tc>
                <w:tcPr>
                  <w:tcW w:w="4241" w:type="dxa"/>
                  <w:shd w:val="clear" w:color="auto" w:fill="auto"/>
                </w:tcPr>
                <w:p w14:paraId="11FB5074"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GI disturbances </w:t>
                  </w:r>
                  <w:proofErr w:type="gramStart"/>
                  <w:r w:rsidRPr="004A2B4D">
                    <w:rPr>
                      <w:rFonts w:ascii="Arial" w:hAnsi="Arial" w:cs="Arial"/>
                      <w:bCs/>
                    </w:rPr>
                    <w:t>including;</w:t>
                  </w:r>
                  <w:proofErr w:type="gramEnd"/>
                  <w:r w:rsidRPr="004A2B4D">
                    <w:rPr>
                      <w:rFonts w:ascii="Arial" w:hAnsi="Arial" w:cs="Arial"/>
                      <w:bCs/>
                    </w:rPr>
                    <w:t xml:space="preserve"> nausea, vomiting or diarrhoea</w:t>
                  </w:r>
                </w:p>
              </w:tc>
              <w:tc>
                <w:tcPr>
                  <w:tcW w:w="4245" w:type="dxa"/>
                  <w:shd w:val="clear" w:color="auto" w:fill="auto"/>
                </w:tcPr>
                <w:p w14:paraId="714A35E0"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Review for reversible causes. Discuss with specialist team if persistent or severe. </w:t>
                  </w:r>
                </w:p>
              </w:tc>
            </w:tr>
            <w:tr w:rsidR="004A2B4D" w:rsidRPr="004A2B4D" w14:paraId="525C8FA7" w14:textId="77777777" w:rsidTr="001C6663">
              <w:tblPrEx>
                <w:tblCellMar>
                  <w:top w:w="0" w:type="dxa"/>
                  <w:bottom w:w="0" w:type="dxa"/>
                </w:tblCellMar>
              </w:tblPrEx>
              <w:trPr>
                <w:trHeight w:val="65"/>
                <w:jc w:val="center"/>
              </w:trPr>
              <w:tc>
                <w:tcPr>
                  <w:tcW w:w="4241" w:type="dxa"/>
                  <w:shd w:val="clear" w:color="auto" w:fill="auto"/>
                </w:tcPr>
                <w:p w14:paraId="27637E47"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Alopecia, skin rash, or hyperpigmentation of nails.</w:t>
                  </w:r>
                </w:p>
              </w:tc>
              <w:tc>
                <w:tcPr>
                  <w:tcW w:w="4245" w:type="dxa"/>
                  <w:shd w:val="clear" w:color="auto" w:fill="auto"/>
                </w:tcPr>
                <w:p w14:paraId="2EF0438F"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Stop if patient requests and discuss with specialist</w:t>
                  </w:r>
                </w:p>
              </w:tc>
            </w:tr>
            <w:tr w:rsidR="004A2B4D" w:rsidRPr="004A2B4D" w14:paraId="0C50DC97" w14:textId="77777777" w:rsidTr="001C6663">
              <w:tblPrEx>
                <w:tblCellMar>
                  <w:top w:w="0" w:type="dxa"/>
                  <w:bottom w:w="0" w:type="dxa"/>
                </w:tblCellMar>
              </w:tblPrEx>
              <w:trPr>
                <w:trHeight w:val="65"/>
                <w:jc w:val="center"/>
              </w:trPr>
              <w:tc>
                <w:tcPr>
                  <w:tcW w:w="4241" w:type="dxa"/>
                  <w:shd w:val="clear" w:color="auto" w:fill="auto"/>
                </w:tcPr>
                <w:p w14:paraId="43FFD72E"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Development of gout symptoms </w:t>
                  </w:r>
                </w:p>
              </w:tc>
              <w:tc>
                <w:tcPr>
                  <w:tcW w:w="4245" w:type="dxa"/>
                  <w:shd w:val="clear" w:color="auto" w:fill="auto"/>
                </w:tcPr>
                <w:p w14:paraId="48EECD90"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Monitor uric acid levels </w:t>
                  </w:r>
                  <w:proofErr w:type="gramStart"/>
                  <w:r w:rsidRPr="004A2B4D">
                    <w:rPr>
                      <w:rFonts w:ascii="Arial" w:hAnsi="Arial" w:cs="Arial"/>
                      <w:bCs/>
                    </w:rPr>
                    <w:t>regularly, but</w:t>
                  </w:r>
                  <w:proofErr w:type="gramEnd"/>
                  <w:r w:rsidRPr="004A2B4D">
                    <w:rPr>
                      <w:rFonts w:ascii="Arial" w:hAnsi="Arial" w:cs="Arial"/>
                      <w:bCs/>
                    </w:rPr>
                    <w:t xml:space="preserve"> be aware that hydroxycarbamide may affect results. Advise patient to maintain a high fluid intake during treatment. Treat symptoms appropriately. Discuss with specialist for advice if required.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080EA03" w14:textId="77777777" w:rsidR="00350D90" w:rsidRPr="005430C6" w:rsidRDefault="00350D90"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21"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2"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376AC88C"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u w:val="single"/>
        </w:rPr>
      </w:pPr>
    </w:p>
    <w:p w14:paraId="169C82FF"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Please refer to the BNF and SPC for a more comprehensive list.</w:t>
      </w:r>
    </w:p>
    <w:p w14:paraId="0D5A25D7"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p>
    <w:p w14:paraId="566A5B3B"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Contradictions:</w:t>
      </w:r>
    </w:p>
    <w:p w14:paraId="493AD421"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Hypersensitivity to hydroxycarbamide or to any of the excipients in preparation.</w:t>
      </w:r>
    </w:p>
    <w:p w14:paraId="70E8CCD4"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Severe bone marrow depression, leukocytopenia (&lt;2.5 x 10</w:t>
      </w:r>
      <w:r w:rsidRPr="004A2B4D">
        <w:rPr>
          <w:rFonts w:ascii="Arial" w:eastAsia="Times New Roman" w:hAnsi="Arial" w:cs="Arial"/>
          <w:szCs w:val="24"/>
          <w:vertAlign w:val="superscript"/>
        </w:rPr>
        <w:t>9</w:t>
      </w:r>
      <w:r w:rsidRPr="004A2B4D">
        <w:rPr>
          <w:rFonts w:ascii="Arial" w:eastAsia="Times New Roman" w:hAnsi="Arial" w:cs="Arial"/>
          <w:szCs w:val="24"/>
        </w:rPr>
        <w:t>/L), thrombocytopenia (&lt;100 x 10</w:t>
      </w:r>
      <w:r w:rsidRPr="004A2B4D">
        <w:rPr>
          <w:rFonts w:ascii="Arial" w:eastAsia="Times New Roman" w:hAnsi="Arial" w:cs="Arial"/>
          <w:szCs w:val="24"/>
          <w:vertAlign w:val="superscript"/>
        </w:rPr>
        <w:t xml:space="preserve">9 </w:t>
      </w:r>
      <w:r w:rsidRPr="004A2B4D">
        <w:rPr>
          <w:rFonts w:ascii="Arial" w:eastAsia="Times New Roman" w:hAnsi="Arial" w:cs="Arial"/>
          <w:szCs w:val="24"/>
        </w:rPr>
        <w:t xml:space="preserve">platelets/L) or severe anaemia. </w:t>
      </w:r>
    </w:p>
    <w:p w14:paraId="2E06CEDD"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Rare hereditary problems of galactose intolerance, the Lapp lactase deficiency or glucose-galactose malabsorption.</w:t>
      </w:r>
    </w:p>
    <w:p w14:paraId="563AB2D9" w14:textId="77777777" w:rsid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Pregnancy and breastfeeding, or patients who are not using effective contraception during treatment.</w:t>
      </w:r>
    </w:p>
    <w:p w14:paraId="46A37585" w14:textId="10729086" w:rsidR="00786E44" w:rsidRPr="004A2B4D" w:rsidRDefault="00786E44"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Pr>
          <w:rFonts w:ascii="Arial" w:eastAsia="Times New Roman" w:hAnsi="Arial" w:cs="Arial"/>
          <w:szCs w:val="24"/>
        </w:rPr>
        <w:t xml:space="preserve">Concomitant treatment with first generation antiretroviral medicinal products for the treatment of HIV, including didanosine, stavudine and indinavir. </w:t>
      </w:r>
    </w:p>
    <w:p w14:paraId="24EC2260"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p>
    <w:p w14:paraId="11EF73CD"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Cautions:</w:t>
      </w:r>
    </w:p>
    <w:p w14:paraId="2A3A386B"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Live vaccines (e.g. oral typhoid, MMR, BCG, yellow fever) should be avoided in patients taking hydroxycarbamide.</w:t>
      </w:r>
    </w:p>
    <w:p w14:paraId="16933C83" w14:textId="401E1A7C"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Renal impairment </w:t>
      </w:r>
    </w:p>
    <w:p w14:paraId="298526B0" w14:textId="091CF1C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Hepatic impairment </w:t>
      </w:r>
    </w:p>
    <w:p w14:paraId="7429F125" w14:textId="77777777" w:rsid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Skin cancer has been reported in patients receiving long-term hydroxycarbamide. Advise patients to protect from sun exposure, regularly self-inspect skin during and after treatment and screen for secondary malignancies during routine follow-up visits. </w:t>
      </w:r>
    </w:p>
    <w:p w14:paraId="206AE56F" w14:textId="331AA258" w:rsidR="00786E44" w:rsidRPr="004A2B4D" w:rsidRDefault="00786E44"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Pr>
          <w:rFonts w:ascii="Arial" w:eastAsia="Times New Roman" w:hAnsi="Arial" w:cs="Arial"/>
          <w:szCs w:val="24"/>
        </w:rPr>
        <w:t>Secondary leukaemias have been reported in patients taking long-term hydroxycarbamide for myeloproliferat</w:t>
      </w:r>
      <w:r w:rsidR="00DE2745">
        <w:rPr>
          <w:rFonts w:ascii="Arial" w:eastAsia="Times New Roman" w:hAnsi="Arial" w:cs="Arial"/>
          <w:szCs w:val="24"/>
        </w:rPr>
        <w:t>i</w:t>
      </w:r>
      <w:r>
        <w:rPr>
          <w:rFonts w:ascii="Arial" w:eastAsia="Times New Roman" w:hAnsi="Arial" w:cs="Arial"/>
          <w:szCs w:val="24"/>
        </w:rPr>
        <w:t xml:space="preserve">ve disorders. </w:t>
      </w:r>
    </w:p>
    <w:p w14:paraId="08151606"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Patients who have received irradiation therapy in the past may have an exacerbation of post irradiation erythema when hydroxycarbamide is given.</w:t>
      </w:r>
    </w:p>
    <w:p w14:paraId="2BFAA824"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Leg ulcers – review treatment if cutaneous vasculitic ulcerations develop.</w:t>
      </w:r>
    </w:p>
    <w:p w14:paraId="4A113D40"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Hydroxycarbamide treatment may increase serum uric acid concentrations and potentiate gout. Advise patients to maintain a high fluid intake.  </w:t>
      </w:r>
    </w:p>
    <w:p w14:paraId="242F57F5" w14:textId="43ACA1E9" w:rsidR="00B061F6" w:rsidRDefault="004A2B4D" w:rsidP="00B061F6">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Hydroxycarbamide causes macrocytosis, which may mask the incidental development of folic acid and vitamin B</w:t>
      </w:r>
      <w:r w:rsidRPr="004A2B4D">
        <w:rPr>
          <w:rFonts w:ascii="Arial" w:eastAsia="Times New Roman" w:hAnsi="Arial" w:cs="Arial"/>
          <w:szCs w:val="24"/>
          <w:vertAlign w:val="subscript"/>
        </w:rPr>
        <w:t>12</w:t>
      </w:r>
      <w:r w:rsidRPr="004A2B4D">
        <w:rPr>
          <w:rFonts w:ascii="Arial" w:eastAsia="Times New Roman" w:hAnsi="Arial" w:cs="Arial"/>
          <w:szCs w:val="24"/>
        </w:rPr>
        <w:t xml:space="preserve"> deficiency.</w:t>
      </w:r>
    </w:p>
    <w:p w14:paraId="3CCC43D0" w14:textId="0BC0954C" w:rsidR="00350D90" w:rsidRPr="00350D90" w:rsidRDefault="00350D90" w:rsidP="00350D90">
      <w:pPr>
        <w:tabs>
          <w:tab w:val="left" w:pos="3240"/>
        </w:tabs>
        <w:rPr>
          <w:rFonts w:ascii="Arial" w:eastAsia="Times New Roman" w:hAnsi="Arial" w:cs="Arial"/>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lastRenderedPageBreak/>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28AEB682" w:rsidR="00E97C1A" w:rsidRPr="004A2B4D"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Common drug interactions</w:t>
      </w:r>
    </w:p>
    <w:p w14:paraId="519C6F78" w14:textId="796D2B0D" w:rsidR="004A2B4D" w:rsidRPr="004A2B4D" w:rsidRDefault="004A2B4D"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p>
    <w:p w14:paraId="2B148C5D" w14:textId="77777777" w:rsidR="004A2B4D" w:rsidRPr="004A2B4D" w:rsidRDefault="004A2B4D" w:rsidP="004A2B4D">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This list is not exhaustive. Please see BNF and SmPC for comprehensive information and recommended management:</w:t>
      </w:r>
    </w:p>
    <w:p w14:paraId="4E59A77F" w14:textId="77777777" w:rsidR="004A2B4D" w:rsidRPr="004A2B4D" w:rsidRDefault="004A2B4D" w:rsidP="004A2B4D">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p>
    <w:p w14:paraId="607B9990"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Myelosuppressive agents: concurrent use with hydroxycarbamide may increase the risk of bone marrow depression.</w:t>
      </w:r>
    </w:p>
    <w:p w14:paraId="00BF0EC5"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Antiretrovirals: Hydroxycarbamide may potentiate side effects of nucleoside reverse transcriptase inhibitors such as hepatotoxicity, pancreatitis and peripheral neuropathy. Concomitant use should be avoided. </w:t>
      </w:r>
    </w:p>
    <w:p w14:paraId="3CA64CCB"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Live vaccines: There is an increased risk of severe or fatal infections with the concomitant use of live vaccines. Live vaccines are not recommended in immunosuppressed patients. </w:t>
      </w:r>
    </w:p>
    <w:p w14:paraId="52DCEE8C"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Studies have demonstrated the ability of hydroxycarbamide to enhance the cytotoxicity of both cytarabine and fluoropyrimidines (e.g. 5-FU). </w:t>
      </w:r>
    </w:p>
    <w:p w14:paraId="00B85E42" w14:textId="6EB43C61" w:rsidR="004A2B4D" w:rsidRPr="004A2B4D" w:rsidRDefault="00DE2745"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Pr>
          <w:noProof/>
        </w:rPr>
        <mc:AlternateContent>
          <mc:Choice Requires="wps">
            <w:drawing>
              <wp:anchor distT="45720" distB="45720" distL="114300" distR="114300" simplePos="0" relativeHeight="251688960" behindDoc="0" locked="0" layoutInCell="1" allowOverlap="1" wp14:anchorId="5A904E95" wp14:editId="6866D79F">
                <wp:simplePos x="0" y="0"/>
                <wp:positionH relativeFrom="margin">
                  <wp:posOffset>-54610</wp:posOffset>
                </wp:positionH>
                <wp:positionV relativeFrom="paragraph">
                  <wp:posOffset>769620</wp:posOffset>
                </wp:positionV>
                <wp:extent cx="6800850" cy="3308985"/>
                <wp:effectExtent l="0" t="0" r="1905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08985"/>
                        </a:xfrm>
                        <a:prstGeom prst="rect">
                          <a:avLst/>
                        </a:prstGeom>
                        <a:solidFill>
                          <a:srgbClr val="FFFFFF"/>
                        </a:solidFill>
                        <a:ln w="9525">
                          <a:solidFill>
                            <a:srgbClr val="000000"/>
                          </a:solidFill>
                          <a:miter lim="800000"/>
                          <a:headEnd/>
                          <a:tailEnd/>
                        </a:ln>
                      </wps:spPr>
                      <wps:txbx>
                        <w:txbxContent>
                          <w:p w14:paraId="7BA197D8" w14:textId="19D7DD22" w:rsidR="008C721C" w:rsidRPr="00E54FA1" w:rsidRDefault="008C721C" w:rsidP="00E54FA1">
                            <w:pPr>
                              <w:spacing w:after="160" w:line="259" w:lineRule="auto"/>
                              <w:rPr>
                                <w:rFonts w:ascii="Arial" w:hAnsi="Arial" w:cs="Arial"/>
                                <w:b/>
                                <w:bCs/>
                                <w:u w:val="single"/>
                              </w:rPr>
                            </w:pPr>
                            <w:r w:rsidRPr="00E54FA1">
                              <w:rPr>
                                <w:rFonts w:ascii="Arial" w:hAnsi="Arial" w:cs="Arial"/>
                                <w:b/>
                                <w:bCs/>
                                <w:u w:val="single"/>
                              </w:rPr>
                              <w:t>PHARMACEUTICAL ASPECTS</w:t>
                            </w:r>
                          </w:p>
                          <w:p w14:paraId="3F2F5EF4" w14:textId="5560F1FF" w:rsidR="008C721C" w:rsidRPr="00F70709" w:rsidRDefault="008C721C" w:rsidP="008C721C">
                            <w:pPr>
                              <w:rPr>
                                <w:rFonts w:ascii="Arial" w:hAnsi="Arial" w:cs="Arial"/>
                              </w:rPr>
                            </w:pPr>
                            <w:r w:rsidRPr="00E54FA1">
                              <w:rPr>
                                <w:rFonts w:ascii="Arial" w:hAnsi="Arial" w:cs="Arial"/>
                              </w:rPr>
                              <w:t xml:space="preserve">Under this shared care protocol, only the 500mg capsules and the 100mg/ml oral solution are suitable to </w:t>
                            </w:r>
                            <w:r w:rsidRPr="00F70709">
                              <w:rPr>
                                <w:rFonts w:ascii="Arial" w:hAnsi="Arial" w:cs="Arial"/>
                              </w:rPr>
                              <w:t xml:space="preserve">be prescribed due to safety reasons.  </w:t>
                            </w:r>
                          </w:p>
                          <w:p w14:paraId="3E7A235F" w14:textId="17A79B4C" w:rsidR="00F70709" w:rsidRPr="00F70709" w:rsidRDefault="00F70709" w:rsidP="008C721C">
                            <w:pPr>
                              <w:rPr>
                                <w:rFonts w:ascii="Arial" w:hAnsi="Arial" w:cs="Arial"/>
                              </w:rPr>
                            </w:pPr>
                            <w:r w:rsidRPr="00F70709">
                              <w:rPr>
                                <w:rFonts w:ascii="Arial" w:eastAsia="Times New Roman" w:hAnsi="Arial" w:cs="Arial"/>
                                <w:color w:val="000000"/>
                                <w:lang w:eastAsia="en-GB"/>
                              </w:rPr>
                              <w:t>(Hydroxycarbamide 100mg &amp; 1000mg tablets - only preparation licensed for sickle cell disease</w:t>
                            </w:r>
                            <w:r>
                              <w:rPr>
                                <w:rFonts w:ascii="Arial" w:eastAsia="Times New Roman" w:hAnsi="Arial" w:cs="Arial"/>
                                <w:color w:val="000000"/>
                                <w:lang w:eastAsia="en-GB"/>
                              </w:rPr>
                              <w:t xml:space="preserve"> which is excluded from this shared care protocol</w:t>
                            </w:r>
                            <w:r w:rsidRPr="00F70709">
                              <w:rPr>
                                <w:rFonts w:ascii="Arial" w:eastAsia="Times New Roman" w:hAnsi="Arial" w:cs="Arial"/>
                                <w:color w:val="000000"/>
                                <w:lang w:eastAsia="en-GB"/>
                              </w:rPr>
                              <w:t xml:space="preserve">. NB: tablet formulation is more expensive than other solid oral dosage forms). </w:t>
                            </w:r>
                          </w:p>
                          <w:p w14:paraId="051B61B7" w14:textId="4FF2BE28" w:rsidR="008C721C" w:rsidRPr="00E54FA1" w:rsidRDefault="008C721C" w:rsidP="008C721C">
                            <w:pPr>
                              <w:rPr>
                                <w:rFonts w:ascii="Arial" w:hAnsi="Arial" w:cs="Arial"/>
                              </w:rPr>
                            </w:pPr>
                            <w:r w:rsidRPr="00E54FA1">
                              <w:rPr>
                                <w:rFonts w:ascii="Arial" w:hAnsi="Arial" w:cs="Arial"/>
                              </w:rPr>
                              <w:t>For patients with swallowing difficulties, consider prescribing the Hydrea® brand. The manufacturer confirms the suitability of opening capsules and emptying contents to a glass of water for oral administration. The contents should not be inhaled or placed in contact with skin. The opening of capsules is off label and is suitable with and Hydrea® brand.</w:t>
                            </w:r>
                          </w:p>
                          <w:p w14:paraId="58CB3006" w14:textId="403B4F64" w:rsidR="008C721C" w:rsidRPr="00E54FA1" w:rsidRDefault="008C721C" w:rsidP="008C721C">
                            <w:pPr>
                              <w:rPr>
                                <w:rFonts w:ascii="Arial" w:eastAsia="Times New Roman" w:hAnsi="Arial" w:cs="Arial"/>
                                <w:bCs/>
                                <w:iCs/>
                                <w:color w:val="000000"/>
                                <w:lang w:eastAsia="en-GB"/>
                              </w:rPr>
                            </w:pPr>
                            <w:r w:rsidRPr="00E54FA1">
                              <w:rPr>
                                <w:rFonts w:ascii="Arial" w:eastAsia="Times New Roman" w:hAnsi="Arial" w:cs="Arial"/>
                                <w:bCs/>
                                <w:iCs/>
                                <w:color w:val="000000"/>
                                <w:lang w:eastAsia="en-GB"/>
                              </w:rPr>
                              <w:t>To assist accurate and consistent dose delivery to the stomach, water should be taken after each dose of hydroxycarbamide oral solution.</w:t>
                            </w:r>
                          </w:p>
                          <w:p w14:paraId="029DEF9C" w14:textId="25B8B026" w:rsidR="008C721C" w:rsidRPr="00E54FA1" w:rsidRDefault="008C721C">
                            <w:pPr>
                              <w:rPr>
                                <w:rFonts w:ascii="Arial" w:hAnsi="Arial" w:cs="Arial"/>
                              </w:rPr>
                            </w:pPr>
                            <w:r w:rsidRPr="00E54FA1">
                              <w:rPr>
                                <w:rFonts w:ascii="Arial" w:eastAsia="Times New Roman" w:hAnsi="Arial" w:cs="Arial"/>
                                <w:bCs/>
                                <w:iCs/>
                                <w:color w:val="000000"/>
                                <w:lang w:eastAsia="en-GB"/>
                              </w:rPr>
                              <w:t>Hydroxycarbamide should be handled according to local procedures for handling and disposal of cytotoxic agents.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04E95" id="_x0000_t202" coordsize="21600,21600" o:spt="202" path="m,l,21600r21600,l21600,xe">
                <v:stroke joinstyle="miter"/>
                <v:path gradientshapeok="t" o:connecttype="rect"/>
              </v:shapetype>
              <v:shape id="Text Box 2" o:spid="_x0000_s1026" type="#_x0000_t202" style="position:absolute;left:0;text-align:left;margin-left:-4.3pt;margin-top:60.6pt;width:535.5pt;height:260.5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L6FQ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">
                <v:textbox>
                  <w:txbxContent>
                    <w:p w14:paraId="7BA197D8" w14:textId="19D7DD22" w:rsidR="008C721C" w:rsidRPr="00E54FA1" w:rsidRDefault="008C721C" w:rsidP="00E54FA1">
                      <w:pPr>
                        <w:spacing w:after="160" w:line="259" w:lineRule="auto"/>
                        <w:rPr>
                          <w:rFonts w:ascii="Arial" w:hAnsi="Arial" w:cs="Arial"/>
                          <w:b/>
                          <w:bCs/>
                          <w:u w:val="single"/>
                        </w:rPr>
                      </w:pPr>
                      <w:r w:rsidRPr="00E54FA1">
                        <w:rPr>
                          <w:rFonts w:ascii="Arial" w:hAnsi="Arial" w:cs="Arial"/>
                          <w:b/>
                          <w:bCs/>
                          <w:u w:val="single"/>
                        </w:rPr>
                        <w:t>PHARMACEUTICAL ASPECTS</w:t>
                      </w:r>
                    </w:p>
                    <w:p w14:paraId="3F2F5EF4" w14:textId="5560F1FF" w:rsidR="008C721C" w:rsidRPr="00F70709" w:rsidRDefault="008C721C" w:rsidP="008C721C">
                      <w:pPr>
                        <w:rPr>
                          <w:rFonts w:ascii="Arial" w:hAnsi="Arial" w:cs="Arial"/>
                        </w:rPr>
                      </w:pPr>
                      <w:r w:rsidRPr="00E54FA1">
                        <w:rPr>
                          <w:rFonts w:ascii="Arial" w:hAnsi="Arial" w:cs="Arial"/>
                        </w:rPr>
                        <w:t xml:space="preserve">Under this shared care protocol, only the 500mg capsules and the 100mg/ml oral solution are suitable to </w:t>
                      </w:r>
                      <w:r w:rsidRPr="00F70709">
                        <w:rPr>
                          <w:rFonts w:ascii="Arial" w:hAnsi="Arial" w:cs="Arial"/>
                        </w:rPr>
                        <w:t xml:space="preserve">be prescribed due to safety reasons.  </w:t>
                      </w:r>
                    </w:p>
                    <w:p w14:paraId="3E7A235F" w14:textId="17A79B4C" w:rsidR="00F70709" w:rsidRPr="00F70709" w:rsidRDefault="00F70709" w:rsidP="008C721C">
                      <w:pPr>
                        <w:rPr>
                          <w:rFonts w:ascii="Arial" w:hAnsi="Arial" w:cs="Arial"/>
                        </w:rPr>
                      </w:pPr>
                      <w:r w:rsidRPr="00F70709">
                        <w:rPr>
                          <w:rFonts w:ascii="Arial" w:eastAsia="Times New Roman" w:hAnsi="Arial" w:cs="Arial"/>
                          <w:color w:val="000000"/>
                          <w:lang w:eastAsia="en-GB"/>
                        </w:rPr>
                        <w:t>(Hydroxycarbamide 100mg &amp; 1000mg tablets - only preparation licensed for sickle cell disease</w:t>
                      </w:r>
                      <w:r>
                        <w:rPr>
                          <w:rFonts w:ascii="Arial" w:eastAsia="Times New Roman" w:hAnsi="Arial" w:cs="Arial"/>
                          <w:color w:val="000000"/>
                          <w:lang w:eastAsia="en-GB"/>
                        </w:rPr>
                        <w:t xml:space="preserve"> which is excluded from this shared care protocol</w:t>
                      </w:r>
                      <w:r w:rsidRPr="00F70709">
                        <w:rPr>
                          <w:rFonts w:ascii="Arial" w:eastAsia="Times New Roman" w:hAnsi="Arial" w:cs="Arial"/>
                          <w:color w:val="000000"/>
                          <w:lang w:eastAsia="en-GB"/>
                        </w:rPr>
                        <w:t xml:space="preserve">. NB: tablet formulation is more expensive than other solid oral dosage forms). </w:t>
                      </w:r>
                    </w:p>
                    <w:p w14:paraId="051B61B7" w14:textId="4FF2BE28" w:rsidR="008C721C" w:rsidRPr="00E54FA1" w:rsidRDefault="008C721C" w:rsidP="008C721C">
                      <w:pPr>
                        <w:rPr>
                          <w:rFonts w:ascii="Arial" w:hAnsi="Arial" w:cs="Arial"/>
                        </w:rPr>
                      </w:pPr>
                      <w:r w:rsidRPr="00E54FA1">
                        <w:rPr>
                          <w:rFonts w:ascii="Arial" w:hAnsi="Arial" w:cs="Arial"/>
                        </w:rPr>
                        <w:t>For patients with swallowing difficulties, consider prescribing the Hydrea® brand. The manufacturer confirms the suitability of opening capsules and emptying contents to a glass of water for oral administration. The contents should not be inhaled or placed in contact with skin. The opening of capsules is off label and is suitable with and Hydrea® brand.</w:t>
                      </w:r>
                    </w:p>
                    <w:p w14:paraId="58CB3006" w14:textId="403B4F64" w:rsidR="008C721C" w:rsidRPr="00E54FA1" w:rsidRDefault="008C721C" w:rsidP="008C721C">
                      <w:pPr>
                        <w:rPr>
                          <w:rFonts w:ascii="Arial" w:eastAsia="Times New Roman" w:hAnsi="Arial" w:cs="Arial"/>
                          <w:bCs/>
                          <w:iCs/>
                          <w:color w:val="000000"/>
                          <w:lang w:eastAsia="en-GB"/>
                        </w:rPr>
                      </w:pPr>
                      <w:r w:rsidRPr="00E54FA1">
                        <w:rPr>
                          <w:rFonts w:ascii="Arial" w:eastAsia="Times New Roman" w:hAnsi="Arial" w:cs="Arial"/>
                          <w:bCs/>
                          <w:iCs/>
                          <w:color w:val="000000"/>
                          <w:lang w:eastAsia="en-GB"/>
                        </w:rPr>
                        <w:t>To assist accurate and consistent dose delivery to the stomach, water should be taken after each dose of hydroxycarbamide oral solution.</w:t>
                      </w:r>
                    </w:p>
                    <w:p w14:paraId="029DEF9C" w14:textId="25B8B026" w:rsidR="008C721C" w:rsidRPr="00E54FA1" w:rsidRDefault="008C721C">
                      <w:pPr>
                        <w:rPr>
                          <w:rFonts w:ascii="Arial" w:hAnsi="Arial" w:cs="Arial"/>
                        </w:rPr>
                      </w:pPr>
                      <w:r w:rsidRPr="00E54FA1">
                        <w:rPr>
                          <w:rFonts w:ascii="Arial" w:eastAsia="Times New Roman" w:hAnsi="Arial" w:cs="Arial"/>
                          <w:bCs/>
                          <w:iCs/>
                          <w:color w:val="000000"/>
                          <w:lang w:eastAsia="en-GB"/>
                        </w:rPr>
                        <w:t>Hydroxycarbamide should be handled according to local procedures for handling and disposal of cytotoxic agents.</w:t>
                      </w:r>
                    </w:p>
                  </w:txbxContent>
                </v:textbox>
                <w10:wrap type="square" anchorx="margin"/>
              </v:shape>
            </w:pict>
          </mc:Fallback>
        </mc:AlternateContent>
      </w:r>
      <w:r w:rsidR="004A2B4D" w:rsidRPr="004A2B4D">
        <w:rPr>
          <w:rFonts w:ascii="Arial" w:eastAsia="Times New Roman" w:hAnsi="Arial" w:cs="Arial"/>
        </w:rPr>
        <w:t>Studies have shown that there is an analytical interference of hydroxycarbamide with the enzymes (urease, uricase, and lactic dehydrogenase) used in the determination of urea, uric acid and lactic acid, rendering falsely elevated results of these in patients treated with hydroxycarbamide. Caution is advised when interpreting these test results.</w:t>
      </w:r>
    </w:p>
    <w:p w14:paraId="25979828" w14:textId="1DCA232D" w:rsidR="004A2B4D" w:rsidRPr="004A2B4D" w:rsidRDefault="004A2B4D" w:rsidP="004A2B4D">
      <w:pPr>
        <w:spacing w:after="0"/>
        <w:rPr>
          <w:b/>
        </w:rPr>
      </w:pPr>
    </w:p>
    <w:p w14:paraId="307EF76A" w14:textId="37B3BF0C" w:rsidR="004A2B4D" w:rsidRPr="00BE545B" w:rsidRDefault="00DE2745" w:rsidP="00BE545B">
      <w:pPr>
        <w:spacing w:after="0"/>
        <w:rPr>
          <w:b/>
        </w:rPr>
      </w:pPr>
      <w:r>
        <w:rPr>
          <w:noProof/>
        </w:rPr>
        <w:lastRenderedPageBreak/>
        <mc:AlternateContent>
          <mc:Choice Requires="wps">
            <w:drawing>
              <wp:anchor distT="45720" distB="45720" distL="114300" distR="114300" simplePos="0" relativeHeight="251686912" behindDoc="0" locked="0" layoutInCell="1" allowOverlap="1" wp14:anchorId="0697D616" wp14:editId="5CC52E4F">
                <wp:simplePos x="0" y="0"/>
                <wp:positionH relativeFrom="margin">
                  <wp:align>right</wp:align>
                </wp:positionH>
                <wp:positionV relativeFrom="paragraph">
                  <wp:posOffset>0</wp:posOffset>
                </wp:positionV>
                <wp:extent cx="6654800" cy="4912360"/>
                <wp:effectExtent l="0" t="0" r="12700"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4912360"/>
                        </a:xfrm>
                        <a:prstGeom prst="rect">
                          <a:avLst/>
                        </a:prstGeom>
                        <a:solidFill>
                          <a:srgbClr val="FFFFFF"/>
                        </a:solidFill>
                        <a:ln w="9525">
                          <a:solidFill>
                            <a:srgbClr val="000000"/>
                          </a:solidFill>
                          <a:miter lim="800000"/>
                          <a:headEnd/>
                          <a:tailEnd/>
                        </a:ln>
                      </wps:spPr>
                      <wps:txbx>
                        <w:txbxContent>
                          <w:p w14:paraId="50532DFC" w14:textId="77777777" w:rsidR="004A2B4D" w:rsidRPr="00E54FA1" w:rsidRDefault="004A2B4D" w:rsidP="004A2B4D">
                            <w:pPr>
                              <w:numPr>
                                <w:ilvl w:val="0"/>
                                <w:numId w:val="30"/>
                              </w:numPr>
                              <w:rPr>
                                <w:rFonts w:ascii="Arial" w:hAnsi="Arial" w:cs="Arial"/>
                                <w:b/>
                                <w:bCs/>
                                <w:u w:val="single"/>
                              </w:rPr>
                            </w:pPr>
                            <w:r w:rsidRPr="00E54FA1">
                              <w:rPr>
                                <w:rFonts w:ascii="Arial" w:hAnsi="Arial" w:cs="Arial"/>
                                <w:b/>
                                <w:bCs/>
                                <w:u w:val="single"/>
                              </w:rPr>
                              <w:t>PREGNANCY, FERTILITY AND BREAST-FEEDING</w:t>
                            </w:r>
                          </w:p>
                          <w:p w14:paraId="0E790CF0" w14:textId="52B1EB8A" w:rsidR="004A2B4D" w:rsidRPr="00E54FA1" w:rsidRDefault="004A2B4D" w:rsidP="004A2B4D">
                            <w:pPr>
                              <w:rPr>
                                <w:rFonts w:ascii="Arial" w:hAnsi="Arial" w:cs="Arial"/>
                                <w:b/>
                                <w:bCs/>
                                <w:u w:val="single"/>
                              </w:rPr>
                            </w:pPr>
                            <w:r w:rsidRPr="00E54FA1">
                              <w:rPr>
                                <w:rFonts w:ascii="Arial" w:hAnsi="Arial"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54F218B8" w14:textId="77777777" w:rsidR="004A2B4D" w:rsidRPr="00E54FA1" w:rsidRDefault="004A2B4D" w:rsidP="004A2B4D">
                            <w:pPr>
                              <w:rPr>
                                <w:rFonts w:ascii="Arial" w:hAnsi="Arial" w:cs="Arial"/>
                                <w:b/>
                                <w:bCs/>
                              </w:rPr>
                            </w:pPr>
                            <w:r w:rsidRPr="00E54FA1">
                              <w:rPr>
                                <w:rFonts w:ascii="Arial" w:hAnsi="Arial" w:cs="Arial"/>
                                <w:b/>
                                <w:bCs/>
                              </w:rPr>
                              <w:t xml:space="preserve">Pregnancy: </w:t>
                            </w:r>
                          </w:p>
                          <w:p w14:paraId="51E6FA00" w14:textId="0EA5FA62" w:rsidR="004A2B4D" w:rsidRPr="00E54FA1" w:rsidRDefault="004A2B4D" w:rsidP="004A2B4D">
                            <w:pPr>
                              <w:rPr>
                                <w:rFonts w:ascii="Arial" w:hAnsi="Arial" w:cs="Arial"/>
                              </w:rPr>
                            </w:pPr>
                            <w:r w:rsidRPr="00E54FA1">
                              <w:rPr>
                                <w:rFonts w:ascii="Arial" w:hAnsi="Arial" w:cs="Arial"/>
                              </w:rPr>
                              <w:t xml:space="preserve">Hydroxycarbamide is contraindicated in pregnancy. It is recommended that patients of childbearing potential use effective contraception before starting and during treatment with hydroxycarbamide. Hydroxycarbamide should not be administered to patients who are pregnant unless the benefits outweigh the possible risks. </w:t>
                            </w:r>
                          </w:p>
                          <w:p w14:paraId="2511ADCA" w14:textId="77777777" w:rsidR="004A2B4D" w:rsidRPr="00E54FA1" w:rsidRDefault="004A2B4D" w:rsidP="004A2B4D">
                            <w:pPr>
                              <w:rPr>
                                <w:rFonts w:ascii="Arial" w:hAnsi="Arial" w:cs="Arial"/>
                                <w:b/>
                                <w:bCs/>
                              </w:rPr>
                            </w:pPr>
                            <w:r w:rsidRPr="00E54FA1">
                              <w:rPr>
                                <w:rFonts w:ascii="Arial" w:hAnsi="Arial" w:cs="Arial"/>
                                <w:b/>
                                <w:bCs/>
                              </w:rPr>
                              <w:t xml:space="preserve">Fertility: </w:t>
                            </w:r>
                          </w:p>
                          <w:p w14:paraId="1821F4D8" w14:textId="10832EA3" w:rsidR="004A2B4D" w:rsidRPr="00E54FA1" w:rsidRDefault="004A2B4D" w:rsidP="004A2B4D">
                            <w:pPr>
                              <w:rPr>
                                <w:rFonts w:ascii="Arial" w:hAnsi="Arial" w:cs="Arial"/>
                              </w:rPr>
                            </w:pPr>
                            <w:r w:rsidRPr="00E54FA1">
                              <w:rPr>
                                <w:rFonts w:ascii="Arial" w:hAnsi="Arial" w:cs="Arial"/>
                              </w:rPr>
                              <w:t>Hydroxycarbamide may be genotoxic, therefore, genetic consultation is recommended if a patient intends to become pregnant after therapy with hydroxycarbamide. Women of childbearing potential must use effective contraception before the start of, during treatment with hydroxycarbamide and for 6 months following completion. Men are recommended to use effective contraceptive measures and to not father a child while receiving hydroxycarbamide and for 3 months following completion of treatment. Men should be informed about the possibility of sperm conservation before the start of therapy. Fertility in males might be affected by treatment. Reversible oligo- and azoospermia are very commonly observed.</w:t>
                            </w:r>
                          </w:p>
                          <w:p w14:paraId="69BAB412" w14:textId="77777777" w:rsidR="004A2B4D" w:rsidRPr="00E54FA1" w:rsidRDefault="004A2B4D" w:rsidP="004A2B4D">
                            <w:pPr>
                              <w:rPr>
                                <w:rFonts w:ascii="Arial" w:hAnsi="Arial" w:cs="Arial"/>
                                <w:b/>
                                <w:bCs/>
                              </w:rPr>
                            </w:pPr>
                            <w:r w:rsidRPr="00E54FA1">
                              <w:rPr>
                                <w:rFonts w:ascii="Arial" w:hAnsi="Arial" w:cs="Arial"/>
                                <w:b/>
                                <w:bCs/>
                              </w:rPr>
                              <w:t xml:space="preserve">Breast-feeding: </w:t>
                            </w:r>
                          </w:p>
                          <w:p w14:paraId="68CC7FEE" w14:textId="509B225B" w:rsidR="004A2B4D" w:rsidRPr="00E54FA1" w:rsidRDefault="004A2B4D">
                            <w:pPr>
                              <w:rPr>
                                <w:rFonts w:ascii="Arial" w:hAnsi="Arial" w:cs="Arial"/>
                              </w:rPr>
                            </w:pPr>
                            <w:r w:rsidRPr="00E54FA1">
                              <w:rPr>
                                <w:rFonts w:ascii="Arial" w:hAnsi="Arial" w:cs="Arial"/>
                              </w:rPr>
                              <w:t xml:space="preserve">As hydroxycarbamide is excreted into human milk, a decision should be made whether to discontinue nursing or to discontinue </w:t>
                            </w:r>
                            <w:r w:rsidR="00F83E86">
                              <w:rPr>
                                <w:rFonts w:ascii="Arial" w:hAnsi="Arial" w:cs="Arial"/>
                              </w:rPr>
                              <w:t>h</w:t>
                            </w:r>
                            <w:r w:rsidRPr="00E54FA1">
                              <w:rPr>
                                <w:rFonts w:ascii="Arial" w:hAnsi="Arial" w:cs="Arial"/>
                              </w:rPr>
                              <w:t xml:space="preserve">ydroxycarbamide, </w:t>
                            </w:r>
                            <w:proofErr w:type="gramStart"/>
                            <w:r w:rsidRPr="00E54FA1">
                              <w:rPr>
                                <w:rFonts w:ascii="Arial" w:hAnsi="Arial" w:cs="Arial"/>
                              </w:rPr>
                              <w:t>taking into account</w:t>
                            </w:r>
                            <w:proofErr w:type="gramEnd"/>
                            <w:r w:rsidRPr="00E54FA1">
                              <w:rPr>
                                <w:rFonts w:ascii="Arial" w:hAnsi="Arial" w:cs="Arial"/>
                              </w:rPr>
                              <w:t xml:space="preserve"> the importance of the drug to the mother and also the serious adverse reactions in nursing infants from hydroxycarbamide.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7D616" id="Text Box 1" o:spid="_x0000_s1027" type="#_x0000_t202" style="position:absolute;margin-left:472.8pt;margin-top:0;width:524pt;height:386.8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">
                <v:textbox>
                  <w:txbxContent>
                    <w:p w14:paraId="50532DFC" w14:textId="77777777" w:rsidR="004A2B4D" w:rsidRPr="00E54FA1" w:rsidRDefault="004A2B4D" w:rsidP="004A2B4D">
                      <w:pPr>
                        <w:numPr>
                          <w:ilvl w:val="0"/>
                          <w:numId w:val="30"/>
                        </w:numPr>
                        <w:rPr>
                          <w:rFonts w:ascii="Arial" w:hAnsi="Arial" w:cs="Arial"/>
                          <w:b/>
                          <w:bCs/>
                          <w:u w:val="single"/>
                        </w:rPr>
                      </w:pPr>
                      <w:r w:rsidRPr="00E54FA1">
                        <w:rPr>
                          <w:rFonts w:ascii="Arial" w:hAnsi="Arial" w:cs="Arial"/>
                          <w:b/>
                          <w:bCs/>
                          <w:u w:val="single"/>
                        </w:rPr>
                        <w:t>PREGNANCY, FERTILITY AND BREAST-FEEDING</w:t>
                      </w:r>
                    </w:p>
                    <w:p w14:paraId="0E790CF0" w14:textId="52B1EB8A" w:rsidR="004A2B4D" w:rsidRPr="00E54FA1" w:rsidRDefault="004A2B4D" w:rsidP="004A2B4D">
                      <w:pPr>
                        <w:rPr>
                          <w:rFonts w:ascii="Arial" w:hAnsi="Arial" w:cs="Arial"/>
                          <w:b/>
                          <w:bCs/>
                          <w:u w:val="single"/>
                        </w:rPr>
                      </w:pPr>
                      <w:r w:rsidRPr="00E54FA1">
                        <w:rPr>
                          <w:rFonts w:ascii="Arial" w:hAnsi="Arial"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54F218B8" w14:textId="77777777" w:rsidR="004A2B4D" w:rsidRPr="00E54FA1" w:rsidRDefault="004A2B4D" w:rsidP="004A2B4D">
                      <w:pPr>
                        <w:rPr>
                          <w:rFonts w:ascii="Arial" w:hAnsi="Arial" w:cs="Arial"/>
                          <w:b/>
                          <w:bCs/>
                        </w:rPr>
                      </w:pPr>
                      <w:r w:rsidRPr="00E54FA1">
                        <w:rPr>
                          <w:rFonts w:ascii="Arial" w:hAnsi="Arial" w:cs="Arial"/>
                          <w:b/>
                          <w:bCs/>
                        </w:rPr>
                        <w:t xml:space="preserve">Pregnancy: </w:t>
                      </w:r>
                    </w:p>
                    <w:p w14:paraId="51E6FA00" w14:textId="0EA5FA62" w:rsidR="004A2B4D" w:rsidRPr="00E54FA1" w:rsidRDefault="004A2B4D" w:rsidP="004A2B4D">
                      <w:pPr>
                        <w:rPr>
                          <w:rFonts w:ascii="Arial" w:hAnsi="Arial" w:cs="Arial"/>
                        </w:rPr>
                      </w:pPr>
                      <w:r w:rsidRPr="00E54FA1">
                        <w:rPr>
                          <w:rFonts w:ascii="Arial" w:hAnsi="Arial" w:cs="Arial"/>
                        </w:rPr>
                        <w:t xml:space="preserve">Hydroxycarbamide is contraindicated in pregnancy. It is recommended that patients of childbearing potential use effective contraception before starting and during treatment with hydroxycarbamide. Hydroxycarbamide should not be administered to patients who are pregnant unless the benefits outweigh the possible risks. </w:t>
                      </w:r>
                    </w:p>
                    <w:p w14:paraId="2511ADCA" w14:textId="77777777" w:rsidR="004A2B4D" w:rsidRPr="00E54FA1" w:rsidRDefault="004A2B4D" w:rsidP="004A2B4D">
                      <w:pPr>
                        <w:rPr>
                          <w:rFonts w:ascii="Arial" w:hAnsi="Arial" w:cs="Arial"/>
                          <w:b/>
                          <w:bCs/>
                        </w:rPr>
                      </w:pPr>
                      <w:r w:rsidRPr="00E54FA1">
                        <w:rPr>
                          <w:rFonts w:ascii="Arial" w:hAnsi="Arial" w:cs="Arial"/>
                          <w:b/>
                          <w:bCs/>
                        </w:rPr>
                        <w:t xml:space="preserve">Fertility: </w:t>
                      </w:r>
                    </w:p>
                    <w:p w14:paraId="1821F4D8" w14:textId="10832EA3" w:rsidR="004A2B4D" w:rsidRPr="00E54FA1" w:rsidRDefault="004A2B4D" w:rsidP="004A2B4D">
                      <w:pPr>
                        <w:rPr>
                          <w:rFonts w:ascii="Arial" w:hAnsi="Arial" w:cs="Arial"/>
                        </w:rPr>
                      </w:pPr>
                      <w:r w:rsidRPr="00E54FA1">
                        <w:rPr>
                          <w:rFonts w:ascii="Arial" w:hAnsi="Arial" w:cs="Arial"/>
                        </w:rPr>
                        <w:t>Hydroxycarbamide may be genotoxic, therefore, genetic consultation is recommended if a patient intends to become pregnant after therapy with hydroxycarbamide. Women of childbearing potential must use effective contraception before the start of, during treatment with hydroxycarbamide and for 6 months following completion. Men are recommended to use effective contraceptive measures and to not father a child while receiving hydroxycarbamide and for 3 months following completion of treatment. Men should be informed about the possibility of sperm conservation before the start of therapy. Fertility in males might be affected by treatment. Reversible oligo- and azoospermia are very commonly observed.</w:t>
                      </w:r>
                    </w:p>
                    <w:p w14:paraId="69BAB412" w14:textId="77777777" w:rsidR="004A2B4D" w:rsidRPr="00E54FA1" w:rsidRDefault="004A2B4D" w:rsidP="004A2B4D">
                      <w:pPr>
                        <w:rPr>
                          <w:rFonts w:ascii="Arial" w:hAnsi="Arial" w:cs="Arial"/>
                          <w:b/>
                          <w:bCs/>
                        </w:rPr>
                      </w:pPr>
                      <w:r w:rsidRPr="00E54FA1">
                        <w:rPr>
                          <w:rFonts w:ascii="Arial" w:hAnsi="Arial" w:cs="Arial"/>
                          <w:b/>
                          <w:bCs/>
                        </w:rPr>
                        <w:t xml:space="preserve">Breast-feeding: </w:t>
                      </w:r>
                    </w:p>
                    <w:p w14:paraId="68CC7FEE" w14:textId="509B225B" w:rsidR="004A2B4D" w:rsidRPr="00E54FA1" w:rsidRDefault="004A2B4D">
                      <w:pPr>
                        <w:rPr>
                          <w:rFonts w:ascii="Arial" w:hAnsi="Arial" w:cs="Arial"/>
                        </w:rPr>
                      </w:pPr>
                      <w:r w:rsidRPr="00E54FA1">
                        <w:rPr>
                          <w:rFonts w:ascii="Arial" w:hAnsi="Arial" w:cs="Arial"/>
                        </w:rPr>
                        <w:t xml:space="preserve">As hydroxycarbamide is excreted into human milk, a decision should be made whether to discontinue nursing or to discontinue </w:t>
                      </w:r>
                      <w:r w:rsidR="00F83E86">
                        <w:rPr>
                          <w:rFonts w:ascii="Arial" w:hAnsi="Arial" w:cs="Arial"/>
                        </w:rPr>
                        <w:t>h</w:t>
                      </w:r>
                      <w:r w:rsidRPr="00E54FA1">
                        <w:rPr>
                          <w:rFonts w:ascii="Arial" w:hAnsi="Arial" w:cs="Arial"/>
                        </w:rPr>
                        <w:t xml:space="preserve">ydroxycarbamide, </w:t>
                      </w:r>
                      <w:proofErr w:type="gramStart"/>
                      <w:r w:rsidRPr="00E54FA1">
                        <w:rPr>
                          <w:rFonts w:ascii="Arial" w:hAnsi="Arial" w:cs="Arial"/>
                        </w:rPr>
                        <w:t>taking into account</w:t>
                      </w:r>
                      <w:proofErr w:type="gramEnd"/>
                      <w:r w:rsidRPr="00E54FA1">
                        <w:rPr>
                          <w:rFonts w:ascii="Arial" w:hAnsi="Arial" w:cs="Arial"/>
                        </w:rPr>
                        <w:t xml:space="preserve"> the importance of the drug to the mother and also the serious adverse reactions in nursing infants from hydroxycarbamide.</w:t>
                      </w:r>
                    </w:p>
                  </w:txbxContent>
                </v:textbox>
                <w10:wrap type="square" anchorx="margin"/>
              </v:shape>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Default="007819A8" w:rsidP="003F7848">
            <w:pPr>
              <w:spacing w:after="120"/>
              <w:rPr>
                <w:rFonts w:ascii="Arial" w:hAnsi="Arial" w:cs="Arial"/>
                <w:b/>
                <w:bCs/>
              </w:rPr>
            </w:pPr>
            <w:bookmarkStart w:id="3" w:name="_Hlk154071858"/>
            <w:r w:rsidRPr="00307B2B">
              <w:rPr>
                <w:rFonts w:ascii="Arial" w:hAnsi="Arial" w:cs="Arial"/>
                <w:b/>
                <w:bCs/>
              </w:rPr>
              <w:t>ADVICE TO PATIENTS AND CARERS</w:t>
            </w:r>
          </w:p>
          <w:p w14:paraId="31DAE790" w14:textId="0B50A133" w:rsidR="00F83E86" w:rsidRDefault="00F83E86" w:rsidP="00F83E86">
            <w:pPr>
              <w:pStyle w:val="Default"/>
              <w:rPr>
                <w:sz w:val="23"/>
                <w:szCs w:val="23"/>
              </w:rPr>
            </w:pPr>
            <w:r>
              <w:rPr>
                <w:sz w:val="23"/>
                <w:szCs w:val="23"/>
              </w:rPr>
              <w:t xml:space="preserve">The specialist will counsel the patient </w:t>
            </w:r>
            <w:proofErr w:type="gramStart"/>
            <w:r>
              <w:rPr>
                <w:sz w:val="23"/>
                <w:szCs w:val="23"/>
              </w:rPr>
              <w:t>with regard to</w:t>
            </w:r>
            <w:proofErr w:type="gramEnd"/>
            <w:r>
              <w:rPr>
                <w:sz w:val="23"/>
                <w:szCs w:val="23"/>
              </w:rPr>
              <w:t xml:space="preserve"> the benefits and risks of treatment and will provide the patient with any relevant information and advice, including patient information leaflets on individual medicines </w:t>
            </w:r>
          </w:p>
          <w:p w14:paraId="7E647C44" w14:textId="77777777" w:rsidR="00F83E86" w:rsidRPr="00F83E86" w:rsidRDefault="00F83E86" w:rsidP="00F83E86">
            <w:pPr>
              <w:pStyle w:val="Default"/>
              <w:rPr>
                <w:sz w:val="23"/>
                <w:szCs w:val="23"/>
              </w:rPr>
            </w:pPr>
          </w:p>
          <w:p w14:paraId="45A32C35" w14:textId="77777777" w:rsidR="004A2B4D" w:rsidRPr="004A2B4D" w:rsidRDefault="004A2B4D" w:rsidP="004A2B4D">
            <w:pPr>
              <w:pStyle w:val="NoSpacing"/>
              <w:rPr>
                <w:rFonts w:ascii="Arial" w:hAnsi="Arial" w:cs="Arial"/>
              </w:rPr>
            </w:pPr>
            <w:r w:rsidRPr="004A2B4D">
              <w:rPr>
                <w:rFonts w:ascii="Arial" w:hAnsi="Arial" w:cs="Arial"/>
              </w:rPr>
              <w:t xml:space="preserve">Patients should be asked to report: </w:t>
            </w:r>
          </w:p>
          <w:p w14:paraId="1FE3D003"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Signs and symptoms of haematological toxicity, e.g. sore throat, infection, unexplained or abnormal bruising and bleeding.</w:t>
            </w:r>
          </w:p>
          <w:p w14:paraId="01AFC601"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 xml:space="preserve">Signs or symptoms of hepatic toxicity e.g. jaundice. </w:t>
            </w:r>
          </w:p>
          <w:p w14:paraId="4F4BCFB5"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Symptoms of chickenpox or exposure to a person with chickenpox or shingles.</w:t>
            </w:r>
          </w:p>
          <w:p w14:paraId="2A6C2734"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Suspected or confirmed pregnancy.</w:t>
            </w:r>
          </w:p>
          <w:p w14:paraId="1228B535" w14:textId="77777777" w:rsidR="004A2B4D" w:rsidRPr="004A2B4D" w:rsidRDefault="004A2B4D" w:rsidP="004A2B4D">
            <w:pPr>
              <w:pStyle w:val="NoSpacing"/>
              <w:rPr>
                <w:rFonts w:ascii="Arial" w:hAnsi="Arial" w:cs="Arial"/>
              </w:rPr>
            </w:pPr>
          </w:p>
          <w:p w14:paraId="3EBC7863" w14:textId="77777777" w:rsidR="004A2B4D" w:rsidRPr="004A2B4D" w:rsidRDefault="004A2B4D" w:rsidP="004A2B4D">
            <w:pPr>
              <w:pStyle w:val="NoSpacing"/>
              <w:rPr>
                <w:rFonts w:ascii="Arial" w:hAnsi="Arial" w:cs="Arial"/>
              </w:rPr>
            </w:pPr>
            <w:r w:rsidRPr="004A2B4D">
              <w:rPr>
                <w:rFonts w:ascii="Arial" w:hAnsi="Arial" w:cs="Arial"/>
              </w:rPr>
              <w:t>Patients should be advised:</w:t>
            </w:r>
          </w:p>
          <w:p w14:paraId="5F634867"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maintain a high fluid intake due to the possibility of increases in serum uric acid levels.</w:t>
            </w:r>
          </w:p>
          <w:p w14:paraId="7EDD7A78" w14:textId="77777777" w:rsidR="004A2B4D" w:rsidRPr="004A2B4D" w:rsidRDefault="004A2B4D" w:rsidP="004A2B4D">
            <w:pPr>
              <w:pStyle w:val="NoSpacing"/>
              <w:numPr>
                <w:ilvl w:val="0"/>
                <w:numId w:val="28"/>
              </w:numPr>
              <w:rPr>
                <w:rFonts w:ascii="Arial" w:hAnsi="Arial" w:cs="Arial"/>
                <w:bCs/>
                <w:iCs/>
              </w:rPr>
            </w:pPr>
            <w:r w:rsidRPr="004A2B4D">
              <w:rPr>
                <w:rFonts w:ascii="Arial" w:hAnsi="Arial" w:cs="Arial"/>
                <w:bCs/>
                <w:iCs/>
              </w:rPr>
              <w:t>Tell anyone who prescribes them a medicine that they are taking hydroxycarbamide. Always ask a pharmacist before purchasing any medicines over the counter, including herbal remedies, and ask if they are safe.</w:t>
            </w:r>
          </w:p>
          <w:p w14:paraId="11B052BF"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wear high factor sunscreen and to wear a hat and protective clothing when in strong sunshine to protect the skin from sun exposure. Sun beds should be avoided. Patients should be advised to carry out regular self-examination of the skin and report if there are any new lesions and/or changes to skin.</w:t>
            </w:r>
          </w:p>
          <w:p w14:paraId="34631452"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use effective contraception, and to take a pregnancy test if they could be pregnant. Patients should inform the specialist or the GP immediately if they become pregnant. All patients, both male and female, should inform their specialist well in advance if they are planning a pregnancy so that changes can be made to their treatment regime.</w:t>
            </w:r>
          </w:p>
          <w:p w14:paraId="580F6AB3" w14:textId="77777777" w:rsidR="004A2B4D" w:rsidRPr="004A2B4D" w:rsidRDefault="004A2B4D" w:rsidP="004A2B4D">
            <w:pPr>
              <w:pStyle w:val="NoSpacing"/>
              <w:numPr>
                <w:ilvl w:val="0"/>
                <w:numId w:val="28"/>
              </w:numPr>
              <w:rPr>
                <w:rFonts w:ascii="Arial" w:hAnsi="Arial" w:cs="Arial"/>
                <w:bCs/>
                <w:iCs/>
              </w:rPr>
            </w:pPr>
            <w:r w:rsidRPr="004A2B4D">
              <w:rPr>
                <w:rFonts w:ascii="Arial" w:hAnsi="Arial" w:cs="Arial"/>
                <w:bCs/>
                <w:iCs/>
              </w:rPr>
              <w:lastRenderedPageBreak/>
              <w:t>That vaccination in line with current national advice (e.g. for COVID-19, influenza) is safe and recommended.</w:t>
            </w:r>
          </w:p>
          <w:p w14:paraId="627D37DB" w14:textId="77777777" w:rsidR="004A2B4D" w:rsidRPr="004A2B4D" w:rsidRDefault="004A2B4D" w:rsidP="004A2B4D">
            <w:pPr>
              <w:pStyle w:val="NoSpacing"/>
              <w:rPr>
                <w:rFonts w:ascii="Arial" w:hAnsi="Arial" w:cs="Arial"/>
                <w:bCs/>
                <w:iCs/>
              </w:rPr>
            </w:pPr>
          </w:p>
          <w:p w14:paraId="78D4BCCC" w14:textId="77777777" w:rsidR="004A2B4D" w:rsidRPr="004A2B4D" w:rsidRDefault="004A2B4D" w:rsidP="004A2B4D">
            <w:pPr>
              <w:pStyle w:val="NoSpacing"/>
              <w:rPr>
                <w:rFonts w:ascii="Arial" w:hAnsi="Arial" w:cs="Arial"/>
                <w:bCs/>
                <w:iCs/>
                <w:u w:val="single"/>
              </w:rPr>
            </w:pPr>
            <w:r w:rsidRPr="004A2B4D">
              <w:rPr>
                <w:rFonts w:ascii="Arial" w:hAnsi="Arial" w:cs="Arial"/>
                <w:bCs/>
                <w:iCs/>
                <w:u w:val="single"/>
              </w:rPr>
              <w:t>Patient information:</w:t>
            </w:r>
          </w:p>
          <w:p w14:paraId="145BE210" w14:textId="77777777" w:rsidR="004A2B4D" w:rsidRPr="004A2B4D" w:rsidRDefault="009A1A5A" w:rsidP="004A2B4D">
            <w:pPr>
              <w:pStyle w:val="NoSpacing"/>
              <w:rPr>
                <w:rFonts w:ascii="Arial" w:hAnsi="Arial" w:cs="Arial"/>
              </w:rPr>
            </w:pPr>
            <w:hyperlink r:id="rId25" w:history="1">
              <w:r w:rsidR="004A2B4D" w:rsidRPr="004A2B4D">
                <w:rPr>
                  <w:rStyle w:val="Hyperlink"/>
                  <w:rFonts w:ascii="Arial" w:hAnsi="Arial" w:cs="Arial"/>
                </w:rPr>
                <w:t>https://www.mpnvoice.org.uk/about-mpns/treatments/hydroxycarbamide/</w:t>
              </w:r>
            </w:hyperlink>
          </w:p>
          <w:p w14:paraId="23FC2E58" w14:textId="77777777" w:rsidR="004A2B4D" w:rsidRPr="004A2B4D" w:rsidRDefault="004A2B4D" w:rsidP="004A2B4D">
            <w:pPr>
              <w:pStyle w:val="NoSpacing"/>
              <w:rPr>
                <w:rFonts w:ascii="Arial" w:hAnsi="Arial" w:cs="Arial"/>
                <w:u w:val="single"/>
              </w:rPr>
            </w:pPr>
          </w:p>
          <w:p w14:paraId="1C8AB818" w14:textId="05ADB130" w:rsidR="004A2B4D" w:rsidRPr="004A2B4D" w:rsidRDefault="004A2B4D" w:rsidP="004A2B4D">
            <w:pPr>
              <w:pStyle w:val="NoSpacing"/>
              <w:rPr>
                <w:rFonts w:ascii="Arial" w:hAnsi="Arial" w:cs="Arial"/>
              </w:rPr>
            </w:pPr>
            <w:r w:rsidRPr="004A2B4D">
              <w:rPr>
                <w:rFonts w:ascii="Arial" w:hAnsi="Arial" w:cs="Arial"/>
              </w:rPr>
              <w:t xml:space="preserve">Where patient care is transferred from one specialist service or GP practice to another, a new shared care agreement must be completed. Ensure that the specialist is informed in writing of any changes to the patient’s GP or their contact </w:t>
            </w:r>
            <w:r w:rsidR="00E70272" w:rsidRPr="004A2B4D">
              <w:rPr>
                <w:rFonts w:ascii="Arial" w:hAnsi="Arial" w:cs="Arial"/>
              </w:rPr>
              <w:t>details.</w:t>
            </w:r>
          </w:p>
          <w:p w14:paraId="1625F046" w14:textId="2C9E9B24" w:rsidR="003F7848" w:rsidRPr="00307B2B" w:rsidRDefault="003F7848" w:rsidP="004A2B4D">
            <w:pPr>
              <w:pStyle w:val="NoSpacing"/>
              <w:rPr>
                <w:sz w:val="20"/>
                <w:szCs w:val="20"/>
              </w:rPr>
            </w:pPr>
            <w:r w:rsidRPr="00307B2B">
              <w:rPr>
                <w:rFonts w:eastAsia="Times New Roman"/>
                <w:lang w:eastAsia="en-GB"/>
              </w:rPr>
              <w:t xml:space="preserve"> </w:t>
            </w:r>
          </w:p>
        </w:tc>
      </w:tr>
      <w:bookmarkEnd w:id="3"/>
    </w:tbl>
    <w:p w14:paraId="0E2E2971" w14:textId="77777777" w:rsidR="00004CD4" w:rsidRDefault="00004CD4" w:rsidP="00CB147C">
      <w:pPr>
        <w:spacing w:after="0"/>
        <w:rPr>
          <w:b/>
        </w:rPr>
      </w:pPr>
    </w:p>
    <w:p w14:paraId="1F1B208B" w14:textId="5FD77853" w:rsidR="004A2B4D" w:rsidRPr="004A2B4D" w:rsidRDefault="00CB147C" w:rsidP="00F83E86">
      <w:pPr>
        <w:keepNext/>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6F4129">
        <w:rPr>
          <w:rFonts w:ascii="Arial" w:eastAsia="Times New Roman" w:hAnsi="Arial" w:cs="Times New Roman"/>
          <w:b/>
          <w:bCs/>
          <w:szCs w:val="24"/>
        </w:rPr>
        <w:t>REFERENCES</w:t>
      </w:r>
      <w:r w:rsidR="00C62913" w:rsidRPr="00C62913">
        <w:rPr>
          <w:rFonts w:ascii="Arial" w:eastAsia="Times New Roman" w:hAnsi="Arial" w:cstheme="minorHAnsi"/>
          <w:sz w:val="24"/>
          <w:lang w:eastAsia="en-GB"/>
        </w:rPr>
        <w:t xml:space="preserve"> </w:t>
      </w:r>
    </w:p>
    <w:p w14:paraId="4F3DA899" w14:textId="5B0E87CC"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i/>
          <w:iCs/>
          <w:szCs w:val="24"/>
        </w:rPr>
      </w:pPr>
      <w:r w:rsidRPr="004A2B4D">
        <w:rPr>
          <w:rFonts w:ascii="Arial" w:eastAsia="Times New Roman" w:hAnsi="Arial" w:cs="Times New Roman"/>
          <w:bCs/>
          <w:szCs w:val="24"/>
        </w:rPr>
        <w:t xml:space="preserve">Oxford University Hospitals NHS Foundation Trust. </w:t>
      </w:r>
      <w:r w:rsidRPr="004A2B4D">
        <w:rPr>
          <w:rFonts w:ascii="Arial" w:eastAsia="Times New Roman" w:hAnsi="Arial" w:cs="Times New Roman"/>
          <w:bCs/>
          <w:i/>
          <w:iCs/>
          <w:szCs w:val="24"/>
        </w:rPr>
        <w:t xml:space="preserve">Hydroxycarbamide for myeloproliferative neoplasms (polycythaemia vera and essential thrombocythaemia) for patients with adult services Shared Care Protocol. </w:t>
      </w:r>
      <w:r w:rsidRPr="004A2B4D">
        <w:rPr>
          <w:rFonts w:ascii="Arial" w:eastAsia="Times New Roman" w:hAnsi="Arial" w:cs="Times New Roman"/>
          <w:bCs/>
          <w:szCs w:val="24"/>
        </w:rPr>
        <w:t xml:space="preserve">Approved by Area prescribing committee Oxfordshire: May 2022. </w:t>
      </w:r>
    </w:p>
    <w:p w14:paraId="0B79C3BC" w14:textId="54C16401" w:rsidR="004A2B4D" w:rsidRPr="004A2B4D" w:rsidRDefault="00786E44"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i/>
          <w:iCs/>
          <w:szCs w:val="24"/>
        </w:rPr>
      </w:pPr>
      <w:r>
        <w:rPr>
          <w:rFonts w:ascii="Arial" w:eastAsia="Times New Roman" w:hAnsi="Arial" w:cs="Times New Roman"/>
          <w:bCs/>
          <w:szCs w:val="24"/>
        </w:rPr>
        <w:t>Renal drug database, Hydroxycarbamide monograph, accessed 20/03/24</w:t>
      </w:r>
      <w:r w:rsidRPr="00786E44">
        <w:t xml:space="preserve"> </w:t>
      </w:r>
      <w:hyperlink r:id="rId26" w:history="1">
        <w:r w:rsidRPr="00415AEF">
          <w:rPr>
            <w:rStyle w:val="Hyperlink"/>
          </w:rPr>
          <w:t>https://www.renaldrugdatabase.com</w:t>
        </w:r>
      </w:hyperlink>
      <w:r>
        <w:t xml:space="preserve"> </w:t>
      </w:r>
    </w:p>
    <w:p w14:paraId="5956C814" w14:textId="77777777"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4A2B4D">
        <w:rPr>
          <w:rFonts w:ascii="Arial" w:eastAsia="Times New Roman" w:hAnsi="Arial" w:cs="Times New Roman"/>
          <w:bCs/>
          <w:szCs w:val="24"/>
        </w:rPr>
        <w:t xml:space="preserve">Patient information on hydroxycarbamide </w:t>
      </w:r>
      <w:hyperlink r:id="rId27" w:history="1">
        <w:r w:rsidRPr="004A2B4D">
          <w:rPr>
            <w:rStyle w:val="Hyperlink"/>
            <w:rFonts w:ascii="Arial" w:eastAsia="Times New Roman" w:hAnsi="Arial" w:cs="Times New Roman"/>
            <w:bCs/>
            <w:szCs w:val="24"/>
          </w:rPr>
          <w:t>www.cancerresearchuk.org</w:t>
        </w:r>
      </w:hyperlink>
      <w:r w:rsidRPr="004A2B4D">
        <w:rPr>
          <w:rFonts w:ascii="Arial" w:eastAsia="Times New Roman" w:hAnsi="Arial" w:cs="Times New Roman"/>
          <w:bCs/>
          <w:szCs w:val="24"/>
        </w:rPr>
        <w:t>, accessed 18/09/2023</w:t>
      </w:r>
    </w:p>
    <w:p w14:paraId="71469DB9" w14:textId="77777777"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4A2B4D">
        <w:rPr>
          <w:rFonts w:ascii="Arial" w:eastAsia="Times New Roman" w:hAnsi="Arial" w:cs="Times New Roman"/>
          <w:bCs/>
          <w:szCs w:val="24"/>
        </w:rPr>
        <w:t xml:space="preserve">Summary of Product Characteristics. </w:t>
      </w:r>
      <w:r w:rsidRPr="004A2B4D">
        <w:rPr>
          <w:rFonts w:ascii="Arial" w:eastAsia="Times New Roman" w:hAnsi="Arial" w:cs="Times New Roman"/>
          <w:bCs/>
          <w:i/>
          <w:szCs w:val="24"/>
        </w:rPr>
        <w:t xml:space="preserve">Hydroxycarbamide medac 500mg capsule, hard. </w:t>
      </w:r>
      <w:r w:rsidRPr="004A2B4D">
        <w:rPr>
          <w:rFonts w:ascii="Arial" w:eastAsia="Times New Roman" w:hAnsi="Arial" w:cs="Times New Roman"/>
          <w:bCs/>
          <w:szCs w:val="24"/>
        </w:rPr>
        <w:t xml:space="preserve">Medac GmBH. Last updated on 17/05/2023. Accessed online via </w:t>
      </w:r>
      <w:hyperlink r:id="rId28" w:history="1">
        <w:r w:rsidRPr="004A2B4D">
          <w:rPr>
            <w:rStyle w:val="Hyperlink"/>
            <w:rFonts w:ascii="Arial" w:eastAsia="Times New Roman" w:hAnsi="Arial" w:cs="Times New Roman"/>
            <w:bCs/>
            <w:szCs w:val="24"/>
          </w:rPr>
          <w:t>www.medicines.org.uk</w:t>
        </w:r>
      </w:hyperlink>
      <w:r w:rsidRPr="004A2B4D">
        <w:rPr>
          <w:rFonts w:ascii="Arial" w:eastAsia="Times New Roman" w:hAnsi="Arial" w:cs="Times New Roman"/>
          <w:bCs/>
          <w:szCs w:val="24"/>
        </w:rPr>
        <w:t xml:space="preserve"> on 18/09/2023</w:t>
      </w:r>
    </w:p>
    <w:p w14:paraId="5A949854" w14:textId="6EE6C27E" w:rsidR="00350D90" w:rsidRPr="00350D90" w:rsidRDefault="004A2B4D" w:rsidP="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Style w:val="Hyperlink"/>
          <w:rFonts w:ascii="Arial" w:eastAsia="Times New Roman" w:hAnsi="Arial" w:cs="Times New Roman"/>
          <w:bCs/>
          <w:color w:val="auto"/>
          <w:szCs w:val="24"/>
          <w:u w:val="none"/>
        </w:rPr>
      </w:pPr>
      <w:r w:rsidRPr="004A2B4D">
        <w:rPr>
          <w:rFonts w:ascii="Arial" w:eastAsia="Times New Roman" w:hAnsi="Arial" w:cs="Times New Roman"/>
          <w:bCs/>
          <w:szCs w:val="24"/>
        </w:rPr>
        <w:t xml:space="preserve">National shared care protocol: Hydroxycarbamide for myeloproliferative disorders and sickle cell disease for patients within adult services. Accessed online via </w:t>
      </w:r>
      <w:hyperlink r:id="rId29" w:history="1">
        <w:r w:rsidRPr="004A2B4D">
          <w:rPr>
            <w:rStyle w:val="Hyperlink"/>
            <w:rFonts w:ascii="Arial" w:eastAsia="Times New Roman" w:hAnsi="Arial" w:cs="Times New Roman"/>
            <w:bCs/>
            <w:szCs w:val="24"/>
          </w:rPr>
          <w:t>https://www.england.nhs.uk/wp-content/uploads/2022/07/B1621_xi_Hydroxycarbamide-for-myeloproliferative-disorders-and-sickle-cell-disease-for-patients-within-adult-s.docx</w:t>
        </w:r>
      </w:hyperlink>
      <w:r w:rsidRPr="004A2B4D">
        <w:rPr>
          <w:rFonts w:ascii="Arial" w:eastAsia="Times New Roman" w:hAnsi="Arial" w:cs="Times New Roman"/>
          <w:bCs/>
          <w:szCs w:val="24"/>
        </w:rPr>
        <w:t xml:space="preserve"> Accessed on 27/11/2023</w:t>
      </w:r>
    </w:p>
    <w:p w14:paraId="0F79F1F3" w14:textId="77777777" w:rsidR="00350D90" w:rsidRDefault="00350D90" w:rsidP="00350D90">
      <w:pPr>
        <w:rPr>
          <w:rFonts w:ascii="Arial" w:eastAsia="Times New Roman" w:hAnsi="Arial" w:cs="Times New Roman"/>
          <w:szCs w:val="24"/>
        </w:rPr>
      </w:pPr>
    </w:p>
    <w:p w14:paraId="4436B18F" w14:textId="77777777" w:rsidR="00350D90" w:rsidRDefault="00350D90" w:rsidP="00350D90">
      <w:pPr>
        <w:rPr>
          <w:rFonts w:ascii="Arial" w:eastAsia="Times New Roman" w:hAnsi="Arial" w:cs="Times New Roman"/>
          <w:szCs w:val="24"/>
        </w:rPr>
      </w:pPr>
    </w:p>
    <w:p w14:paraId="0CC3CFAD" w14:textId="77777777" w:rsidR="00350D90" w:rsidRDefault="00350D90" w:rsidP="00350D90">
      <w:pPr>
        <w:rPr>
          <w:rFonts w:ascii="Arial" w:eastAsia="Times New Roman" w:hAnsi="Arial" w:cs="Times New Roman"/>
          <w:szCs w:val="24"/>
        </w:rPr>
      </w:pPr>
    </w:p>
    <w:p w14:paraId="3D8590E4" w14:textId="77777777" w:rsidR="00350D90" w:rsidRDefault="00350D90" w:rsidP="00350D90">
      <w:pPr>
        <w:rPr>
          <w:rFonts w:ascii="Arial" w:eastAsia="Times New Roman" w:hAnsi="Arial" w:cs="Times New Roman"/>
          <w:szCs w:val="24"/>
        </w:rPr>
      </w:pPr>
    </w:p>
    <w:p w14:paraId="4EA21A0F" w14:textId="77777777" w:rsidR="00350D90" w:rsidRDefault="00350D90" w:rsidP="00350D90">
      <w:pPr>
        <w:rPr>
          <w:rFonts w:ascii="Arial" w:eastAsia="Times New Roman" w:hAnsi="Arial" w:cs="Times New Roman"/>
          <w:szCs w:val="24"/>
        </w:rPr>
      </w:pPr>
    </w:p>
    <w:p w14:paraId="00D32441" w14:textId="77777777" w:rsidR="00350D90" w:rsidRDefault="00350D90" w:rsidP="00350D90">
      <w:pPr>
        <w:rPr>
          <w:rFonts w:ascii="Arial" w:eastAsia="Times New Roman" w:hAnsi="Arial" w:cs="Times New Roman"/>
          <w:szCs w:val="24"/>
        </w:rPr>
      </w:pPr>
    </w:p>
    <w:p w14:paraId="28674B67" w14:textId="77777777" w:rsidR="00350D90" w:rsidRDefault="00350D90" w:rsidP="00350D90">
      <w:pPr>
        <w:rPr>
          <w:rFonts w:ascii="Arial" w:eastAsia="Times New Roman" w:hAnsi="Arial" w:cs="Times New Roman"/>
          <w:szCs w:val="24"/>
        </w:rPr>
      </w:pPr>
    </w:p>
    <w:p w14:paraId="16EE6630" w14:textId="77777777" w:rsidR="00350D90" w:rsidRDefault="00350D90" w:rsidP="00350D90">
      <w:pPr>
        <w:rPr>
          <w:rFonts w:ascii="Arial" w:eastAsia="Times New Roman" w:hAnsi="Arial" w:cs="Times New Roman"/>
          <w:szCs w:val="24"/>
        </w:rPr>
      </w:pPr>
    </w:p>
    <w:p w14:paraId="0230C783" w14:textId="77777777" w:rsidR="00350D90" w:rsidRDefault="00350D90" w:rsidP="00350D90">
      <w:pPr>
        <w:rPr>
          <w:rFonts w:ascii="Arial" w:eastAsia="Times New Roman" w:hAnsi="Arial" w:cs="Times New Roman"/>
          <w:szCs w:val="24"/>
        </w:rPr>
      </w:pPr>
    </w:p>
    <w:p w14:paraId="74DD5248" w14:textId="77777777" w:rsidR="00350D90" w:rsidRDefault="00350D90" w:rsidP="00350D90">
      <w:pPr>
        <w:rPr>
          <w:rFonts w:ascii="Arial" w:eastAsia="Times New Roman" w:hAnsi="Arial" w:cs="Times New Roman"/>
          <w:szCs w:val="24"/>
        </w:rPr>
      </w:pPr>
    </w:p>
    <w:p w14:paraId="4D839C57" w14:textId="77777777" w:rsidR="00350D90" w:rsidRDefault="00350D90" w:rsidP="00350D90">
      <w:pPr>
        <w:rPr>
          <w:rFonts w:ascii="Arial" w:eastAsia="Times New Roman" w:hAnsi="Arial" w:cs="Times New Roman"/>
          <w:szCs w:val="24"/>
        </w:rPr>
      </w:pPr>
    </w:p>
    <w:p w14:paraId="38B8578F" w14:textId="77777777" w:rsidR="00350D90" w:rsidRDefault="00350D90" w:rsidP="00350D90">
      <w:pPr>
        <w:rPr>
          <w:rFonts w:ascii="Arial" w:eastAsia="Times New Roman" w:hAnsi="Arial" w:cs="Times New Roman"/>
          <w:szCs w:val="24"/>
        </w:rPr>
      </w:pPr>
    </w:p>
    <w:p w14:paraId="1323BEF8" w14:textId="77777777" w:rsidR="00350D90" w:rsidRDefault="00350D90" w:rsidP="00350D90">
      <w:pPr>
        <w:rPr>
          <w:rFonts w:ascii="Arial" w:eastAsia="Times New Roman" w:hAnsi="Arial" w:cs="Times New Roman"/>
          <w:szCs w:val="24"/>
        </w:rPr>
      </w:pPr>
    </w:p>
    <w:p w14:paraId="10194191" w14:textId="77777777" w:rsidR="00350D90" w:rsidRDefault="00350D90" w:rsidP="00350D90">
      <w:pPr>
        <w:rPr>
          <w:rFonts w:ascii="Arial" w:eastAsia="Times New Roman" w:hAnsi="Arial" w:cs="Times New Roman"/>
          <w:szCs w:val="24"/>
        </w:rPr>
      </w:pPr>
    </w:p>
    <w:p w14:paraId="5BFE7A39" w14:textId="77777777" w:rsidR="00350D90" w:rsidRDefault="00350D90" w:rsidP="00350D90">
      <w:pPr>
        <w:rPr>
          <w:rFonts w:ascii="Arial" w:eastAsia="Times New Roman" w:hAnsi="Arial" w:cs="Times New Roman"/>
          <w:szCs w:val="24"/>
        </w:rPr>
      </w:pPr>
    </w:p>
    <w:p w14:paraId="44815246" w14:textId="77777777" w:rsidR="00350D90" w:rsidRDefault="00350D90" w:rsidP="00350D90">
      <w:pPr>
        <w:rPr>
          <w:rFonts w:ascii="Arial" w:eastAsia="Times New Roman" w:hAnsi="Arial" w:cs="Times New Roman"/>
          <w:szCs w:val="24"/>
        </w:rPr>
      </w:pPr>
    </w:p>
    <w:p w14:paraId="29F209D7" w14:textId="77777777" w:rsidR="00350D90" w:rsidRPr="00350D90" w:rsidRDefault="00350D90" w:rsidP="00350D90">
      <w:pPr>
        <w:rPr>
          <w:rFonts w:ascii="Arial" w:eastAsia="Times New Roman" w:hAnsi="Arial" w:cs="Times New Roman"/>
          <w:szCs w:val="24"/>
        </w:rPr>
      </w:pPr>
    </w:p>
    <w:tbl>
      <w:tblPr>
        <w:tblpPr w:leftFromText="180" w:rightFromText="180" w:vertAnchor="text" w:horzAnchor="margin" w:tblpY="58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E2745" w:rsidRPr="008C60E5" w14:paraId="7CFEF998" w14:textId="77777777" w:rsidTr="00350D90">
        <w:trPr>
          <w:trHeight w:val="632"/>
        </w:trPr>
        <w:tc>
          <w:tcPr>
            <w:tcW w:w="10774" w:type="dxa"/>
            <w:shd w:val="clear" w:color="auto" w:fill="auto"/>
          </w:tcPr>
          <w:p w14:paraId="68815446" w14:textId="77777777" w:rsidR="00DE2745" w:rsidRPr="008C60E5" w:rsidRDefault="00DE2745" w:rsidP="00350D90">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lastRenderedPageBreak/>
              <w:t xml:space="preserve">CONTACT DETAILS for BACK-UP INFORMATION / ADVICE </w:t>
            </w:r>
          </w:p>
          <w:p w14:paraId="448AE66F" w14:textId="77777777" w:rsidR="00DE2745" w:rsidRDefault="00DE2745" w:rsidP="00350D90">
            <w:pPr>
              <w:spacing w:after="0" w:line="240" w:lineRule="auto"/>
              <w:rPr>
                <w:rFonts w:ascii="Arial" w:eastAsia="Times New Roman" w:hAnsi="Arial" w:cs="Arial"/>
                <w:b/>
                <w:bCs/>
                <w:lang w:eastAsia="en-GB"/>
              </w:rPr>
            </w:pPr>
          </w:p>
          <w:p w14:paraId="1FB70479" w14:textId="77777777" w:rsidR="00DE2745" w:rsidRPr="00D43187" w:rsidRDefault="00DE2745" w:rsidP="00350D90">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DE2745" w:rsidRPr="000A391E" w14:paraId="329E1AC2" w14:textId="77777777" w:rsidTr="006A2450">
              <w:trPr>
                <w:trHeight w:val="932"/>
              </w:trPr>
              <w:tc>
                <w:tcPr>
                  <w:tcW w:w="1883" w:type="dxa"/>
                  <w:tcBorders>
                    <w:top w:val="single" w:sz="4" w:space="0" w:color="auto"/>
                    <w:left w:val="single" w:sz="4" w:space="0" w:color="auto"/>
                    <w:bottom w:val="single" w:sz="4" w:space="0" w:color="auto"/>
                    <w:right w:val="single" w:sz="4" w:space="0" w:color="auto"/>
                  </w:tcBorders>
                  <w:hideMark/>
                </w:tcPr>
                <w:p w14:paraId="4B3348C2"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097B1A2A"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52A76F02"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7C5A90F1" w14:textId="77777777" w:rsidR="00DE2745" w:rsidRPr="000A391E" w:rsidRDefault="00DE2745" w:rsidP="009A1A5A">
                  <w:pPr>
                    <w:framePr w:hSpace="180" w:wrap="around" w:vAnchor="text" w:hAnchor="margin" w:y="581"/>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39775900" w14:textId="77777777" w:rsidR="00DE2745" w:rsidRPr="000A391E" w:rsidRDefault="00DE2745" w:rsidP="009A1A5A">
                  <w:pPr>
                    <w:framePr w:hSpace="180" w:wrap="around" w:vAnchor="text" w:hAnchor="margin" w:y="581"/>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E214F9" w:rsidRPr="000A391E" w14:paraId="2232400E" w14:textId="77777777" w:rsidTr="00015501">
              <w:trPr>
                <w:trHeight w:val="424"/>
              </w:trPr>
              <w:tc>
                <w:tcPr>
                  <w:tcW w:w="1883" w:type="dxa"/>
                  <w:tcBorders>
                    <w:top w:val="single" w:sz="4" w:space="0" w:color="auto"/>
                    <w:left w:val="single" w:sz="4" w:space="0" w:color="auto"/>
                    <w:right w:val="single" w:sz="4" w:space="0" w:color="auto"/>
                  </w:tcBorders>
                </w:tcPr>
                <w:p w14:paraId="7675626F" w14:textId="38640645" w:rsidR="00E214F9" w:rsidRPr="00E214F9" w:rsidRDefault="00E214F9" w:rsidP="009A1A5A">
                  <w:pPr>
                    <w:framePr w:hSpace="180" w:wrap="around" w:vAnchor="text" w:hAnchor="margin" w:y="581"/>
                    <w:rPr>
                      <w:rFonts w:ascii="Arial" w:eastAsia="Times New Roman" w:hAnsi="Arial" w:cs="Arial"/>
                      <w:color w:val="000000"/>
                      <w:sz w:val="20"/>
                      <w:szCs w:val="20"/>
                    </w:rPr>
                  </w:pPr>
                  <w:r w:rsidRPr="00E214F9">
                    <w:rPr>
                      <w:rFonts w:ascii="Arial" w:eastAsia="Times New Roman" w:hAnsi="Arial" w:cs="Arial"/>
                      <w:b/>
                      <w:bCs/>
                      <w:color w:val="000000"/>
                      <w:sz w:val="20"/>
                      <w:szCs w:val="20"/>
                    </w:rPr>
                    <w:t> Haematology CNS</w:t>
                  </w:r>
                </w:p>
              </w:tc>
              <w:tc>
                <w:tcPr>
                  <w:tcW w:w="1690" w:type="dxa"/>
                  <w:tcBorders>
                    <w:top w:val="single" w:sz="4" w:space="0" w:color="auto"/>
                    <w:left w:val="single" w:sz="4" w:space="0" w:color="auto"/>
                    <w:right w:val="single" w:sz="4" w:space="0" w:color="auto"/>
                  </w:tcBorders>
                </w:tcPr>
                <w:p w14:paraId="104E33FD" w14:textId="70515038" w:rsidR="00E214F9" w:rsidRPr="00E214F9" w:rsidRDefault="00E214F9" w:rsidP="009A1A5A">
                  <w:pPr>
                    <w:framePr w:hSpace="180" w:wrap="around" w:vAnchor="text" w:hAnchor="margin" w:y="581"/>
                    <w:rPr>
                      <w:rFonts w:ascii="Arial" w:eastAsia="Times New Roman" w:hAnsi="Arial" w:cs="Arial"/>
                      <w:color w:val="000000"/>
                      <w:sz w:val="20"/>
                      <w:szCs w:val="20"/>
                    </w:rPr>
                  </w:pPr>
                  <w:r w:rsidRPr="00E214F9">
                    <w:rPr>
                      <w:rFonts w:ascii="Arial" w:eastAsia="Times New Roman" w:hAnsi="Arial" w:cs="Arial"/>
                      <w:color w:val="000000"/>
                      <w:sz w:val="20"/>
                      <w:szCs w:val="20"/>
                    </w:rPr>
                    <w:t> 07818 588 764</w:t>
                  </w:r>
                </w:p>
              </w:tc>
              <w:tc>
                <w:tcPr>
                  <w:tcW w:w="2573" w:type="dxa"/>
                  <w:tcBorders>
                    <w:top w:val="single" w:sz="4" w:space="0" w:color="auto"/>
                    <w:left w:val="single" w:sz="4" w:space="0" w:color="auto"/>
                    <w:right w:val="single" w:sz="4" w:space="0" w:color="auto"/>
                  </w:tcBorders>
                </w:tcPr>
                <w:p w14:paraId="232D2789" w14:textId="4EBC816F" w:rsidR="00E214F9" w:rsidRPr="00E214F9" w:rsidRDefault="009A1A5A" w:rsidP="009A1A5A">
                  <w:pPr>
                    <w:framePr w:hSpace="180" w:wrap="around" w:vAnchor="text" w:hAnchor="margin" w:y="581"/>
                    <w:spacing w:after="40"/>
                    <w:rPr>
                      <w:rFonts w:ascii="Arial" w:eastAsia="Calibri" w:hAnsi="Arial" w:cs="Arial"/>
                      <w:sz w:val="20"/>
                      <w:szCs w:val="20"/>
                    </w:rPr>
                  </w:pPr>
                  <w:hyperlink r:id="rId30" w:history="1">
                    <w:r w:rsidR="00E214F9" w:rsidRPr="00592A9C">
                      <w:rPr>
                        <w:rStyle w:val="Hyperlink"/>
                        <w:rFonts w:ascii="Arial" w:eastAsia="Times New Roman" w:hAnsi="Arial" w:cs="Arial"/>
                        <w:sz w:val="20"/>
                        <w:szCs w:val="20"/>
                      </w:rPr>
                      <w:t>enh-tr.haemato-oncologycns@nhs.net</w:t>
                    </w:r>
                  </w:hyperlink>
                </w:p>
              </w:tc>
              <w:tc>
                <w:tcPr>
                  <w:tcW w:w="2814" w:type="dxa"/>
                  <w:tcBorders>
                    <w:top w:val="single" w:sz="4" w:space="0" w:color="auto"/>
                    <w:left w:val="single" w:sz="4" w:space="0" w:color="auto"/>
                    <w:bottom w:val="single" w:sz="4" w:space="0" w:color="auto"/>
                    <w:right w:val="single" w:sz="4" w:space="0" w:color="auto"/>
                  </w:tcBorders>
                </w:tcPr>
                <w:p w14:paraId="748D9502" w14:textId="6D85815E" w:rsidR="00E214F9" w:rsidRPr="00E214F9" w:rsidRDefault="009A1A5A" w:rsidP="009A1A5A">
                  <w:pPr>
                    <w:framePr w:hSpace="180" w:wrap="around" w:vAnchor="text" w:hAnchor="margin" w:y="581"/>
                    <w:spacing w:after="40"/>
                    <w:rPr>
                      <w:rFonts w:ascii="Arial" w:eastAsia="Times New Roman" w:hAnsi="Arial" w:cs="Arial"/>
                      <w:bCs/>
                      <w:sz w:val="20"/>
                      <w:szCs w:val="20"/>
                      <w:lang w:eastAsia="en-GB"/>
                    </w:rPr>
                  </w:pPr>
                  <w:hyperlink r:id="rId31" w:history="1">
                    <w:r w:rsidR="00E214F9" w:rsidRPr="00E214F9">
                      <w:rPr>
                        <w:rStyle w:val="Hyperlink"/>
                        <w:rFonts w:ascii="Arial" w:eastAsia="Times New Roman" w:hAnsi="Arial" w:cs="Arial"/>
                        <w:bCs/>
                        <w:sz w:val="20"/>
                        <w:szCs w:val="20"/>
                        <w:lang w:eastAsia="en-GB"/>
                      </w:rPr>
                      <w:t>sharedcare.enh-tr@nhs.net</w:t>
                    </w:r>
                  </w:hyperlink>
                  <w:r w:rsidR="00E214F9" w:rsidRPr="00E214F9">
                    <w:rPr>
                      <w:rFonts w:ascii="Arial" w:eastAsia="Times New Roman" w:hAnsi="Arial" w:cs="Arial"/>
                      <w:bCs/>
                      <w:sz w:val="20"/>
                      <w:szCs w:val="20"/>
                      <w:lang w:eastAsia="en-GB"/>
                    </w:rPr>
                    <w:t xml:space="preserve"> </w:t>
                  </w:r>
                </w:p>
                <w:p w14:paraId="769A720C" w14:textId="77777777" w:rsidR="00E214F9" w:rsidRPr="00E214F9" w:rsidRDefault="00E214F9" w:rsidP="009A1A5A">
                  <w:pPr>
                    <w:framePr w:hSpace="180" w:wrap="around" w:vAnchor="text" w:hAnchor="margin" w:y="581"/>
                    <w:rPr>
                      <w:rFonts w:ascii="Arial" w:eastAsia="Times New Roman" w:hAnsi="Arial" w:cs="Arial"/>
                      <w:bCs/>
                      <w:sz w:val="20"/>
                      <w:szCs w:val="20"/>
                      <w:lang w:eastAsia="en-GB"/>
                    </w:rPr>
                  </w:pPr>
                  <w:r w:rsidRPr="00E214F9">
                    <w:rPr>
                      <w:rFonts w:ascii="Arial" w:eastAsia="Times New Roman" w:hAnsi="Arial" w:cs="Arial"/>
                      <w:bCs/>
                      <w:sz w:val="20"/>
                      <w:szCs w:val="20"/>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53F6128B" w14:textId="77777777" w:rsidR="00E214F9" w:rsidRPr="00E214F9" w:rsidRDefault="00E214F9" w:rsidP="009A1A5A">
                  <w:pPr>
                    <w:framePr w:hSpace="180" w:wrap="around" w:vAnchor="text" w:hAnchor="margin" w:y="581"/>
                    <w:rPr>
                      <w:rFonts w:ascii="Arial" w:eastAsia="Times New Roman" w:hAnsi="Arial" w:cs="Arial"/>
                      <w:bCs/>
                      <w:sz w:val="20"/>
                      <w:szCs w:val="20"/>
                      <w:lang w:eastAsia="en-GB"/>
                    </w:rPr>
                  </w:pPr>
                  <w:r w:rsidRPr="00E214F9">
                    <w:rPr>
                      <w:rFonts w:ascii="Arial" w:eastAsia="Times New Roman" w:hAnsi="Arial" w:cs="Arial"/>
                      <w:bCs/>
                      <w:sz w:val="20"/>
                      <w:szCs w:val="20"/>
                      <w:lang w:eastAsia="en-GB"/>
                    </w:rPr>
                    <w:t xml:space="preserve">01438 314333  </w:t>
                  </w:r>
                </w:p>
              </w:tc>
            </w:tr>
          </w:tbl>
          <w:p w14:paraId="7CD01F97" w14:textId="77777777" w:rsidR="00DE2745" w:rsidRDefault="00DE2745" w:rsidP="00350D90">
            <w:pPr>
              <w:spacing w:after="0" w:line="240" w:lineRule="auto"/>
              <w:rPr>
                <w:rFonts w:ascii="Arial" w:eastAsia="Times New Roman" w:hAnsi="Arial" w:cs="Arial"/>
                <w:b/>
                <w:bCs/>
                <w:lang w:eastAsia="en-GB"/>
              </w:rPr>
            </w:pPr>
          </w:p>
          <w:p w14:paraId="5758E122" w14:textId="77777777" w:rsidR="00DE2745" w:rsidRPr="00D43187" w:rsidRDefault="00DE2745" w:rsidP="00350D90">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8"/>
              <w:gridCol w:w="1514"/>
              <w:gridCol w:w="5331"/>
              <w:gridCol w:w="1811"/>
            </w:tblGrid>
            <w:tr w:rsidR="00DE2745" w:rsidRPr="000A391E" w14:paraId="4BBFE98A" w14:textId="77777777" w:rsidTr="00350D90">
              <w:trPr>
                <w:trHeight w:val="572"/>
              </w:trPr>
              <w:tc>
                <w:tcPr>
                  <w:tcW w:w="1888" w:type="dxa"/>
                </w:tcPr>
                <w:p w14:paraId="07C1CA2B"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bookmarkStart w:id="4" w:name="_Hlk161827857"/>
                  <w:r w:rsidRPr="000A391E">
                    <w:rPr>
                      <w:rFonts w:ascii="Arial" w:eastAsia="Times New Roman" w:hAnsi="Arial" w:cs="Arial"/>
                      <w:b/>
                      <w:bCs/>
                      <w:sz w:val="20"/>
                      <w:szCs w:val="20"/>
                      <w:lang w:eastAsia="en-GB"/>
                    </w:rPr>
                    <w:t>Department</w:t>
                  </w:r>
                </w:p>
              </w:tc>
              <w:tc>
                <w:tcPr>
                  <w:tcW w:w="1514" w:type="dxa"/>
                </w:tcPr>
                <w:p w14:paraId="30758DEB"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5331" w:type="dxa"/>
                </w:tcPr>
                <w:p w14:paraId="28D22FFD"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1811" w:type="dxa"/>
                </w:tcPr>
                <w:p w14:paraId="2287B88E" w14:textId="77777777" w:rsidR="00DE2745" w:rsidRPr="000A391E" w:rsidRDefault="00DE2745" w:rsidP="009A1A5A">
                  <w:pPr>
                    <w:framePr w:hSpace="180" w:wrap="around" w:vAnchor="text" w:hAnchor="margin" w:y="581"/>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DE2745" w:rsidRPr="000A391E" w14:paraId="39A882C0" w14:textId="77777777" w:rsidTr="00350D90">
              <w:trPr>
                <w:trHeight w:val="819"/>
              </w:trPr>
              <w:tc>
                <w:tcPr>
                  <w:tcW w:w="1888" w:type="dxa"/>
                </w:tcPr>
                <w:p w14:paraId="1C6F37B0" w14:textId="4719EF8B" w:rsidR="00DE2745" w:rsidRPr="000A391E" w:rsidRDefault="00976CFD" w:rsidP="009A1A5A">
                  <w:pPr>
                    <w:framePr w:hSpace="180" w:wrap="around" w:vAnchor="text" w:hAnchor="margin" w:y="581"/>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Haematology</w:t>
                  </w:r>
                </w:p>
              </w:tc>
              <w:tc>
                <w:tcPr>
                  <w:tcW w:w="1514" w:type="dxa"/>
                </w:tcPr>
                <w:p w14:paraId="296D8597" w14:textId="77777777" w:rsidR="00976CFD" w:rsidRDefault="00976CFD" w:rsidP="009A1A5A">
                  <w:pPr>
                    <w:framePr w:hSpace="180" w:wrap="around" w:vAnchor="text" w:hAnchor="margin" w:y="581"/>
                    <w:spacing w:after="40"/>
                    <w:rPr>
                      <w:rFonts w:ascii="Arial" w:hAnsi="Arial" w:cs="Arial"/>
                      <w:color w:val="000000"/>
                      <w:sz w:val="20"/>
                      <w:szCs w:val="20"/>
                    </w:rPr>
                  </w:pPr>
                  <w:r>
                    <w:rPr>
                      <w:rFonts w:ascii="Arial" w:hAnsi="Arial" w:cs="Arial"/>
                      <w:color w:val="000000"/>
                      <w:sz w:val="20"/>
                      <w:szCs w:val="20"/>
                    </w:rPr>
                    <w:t>01279 827035/ 01279 444455 Ext 2891</w:t>
                  </w:r>
                </w:p>
                <w:p w14:paraId="71B82BA2" w14:textId="7A7F1C15" w:rsidR="00DE2745" w:rsidRPr="000A391E" w:rsidRDefault="00976CFD" w:rsidP="009A1A5A">
                  <w:pPr>
                    <w:framePr w:hSpace="180" w:wrap="around" w:vAnchor="text" w:hAnchor="margin" w:y="581"/>
                    <w:spacing w:after="40"/>
                    <w:rPr>
                      <w:rFonts w:ascii="Arial" w:eastAsia="Times New Roman" w:hAnsi="Arial" w:cs="Arial"/>
                      <w:bCs/>
                      <w:sz w:val="20"/>
                      <w:szCs w:val="20"/>
                      <w:lang w:eastAsia="en-GB"/>
                    </w:rPr>
                  </w:pPr>
                  <w:r>
                    <w:rPr>
                      <w:rFonts w:ascii="Arial" w:hAnsi="Arial" w:cs="Arial"/>
                      <w:color w:val="000000"/>
                      <w:sz w:val="20"/>
                      <w:szCs w:val="20"/>
                    </w:rPr>
                    <w:t>MI: 01279 82705</w:t>
                  </w:r>
                  <w:r w:rsidR="000F27CA">
                    <w:rPr>
                      <w:rFonts w:ascii="Arial" w:hAnsi="Arial" w:cs="Arial"/>
                      <w:color w:val="000000"/>
                      <w:sz w:val="20"/>
                      <w:szCs w:val="20"/>
                    </w:rPr>
                    <w:t>2</w:t>
                  </w:r>
                </w:p>
              </w:tc>
              <w:tc>
                <w:tcPr>
                  <w:tcW w:w="5331" w:type="dxa"/>
                </w:tcPr>
                <w:p w14:paraId="416ED7BE" w14:textId="4AA192C1" w:rsidR="00DE2745" w:rsidRPr="000A391E" w:rsidRDefault="00976CFD" w:rsidP="009A1A5A">
                  <w:pPr>
                    <w:framePr w:hSpace="180" w:wrap="around" w:vAnchor="text" w:hAnchor="margin" w:y="581"/>
                    <w:spacing w:after="40"/>
                    <w:rPr>
                      <w:rFonts w:ascii="Arial" w:hAnsi="Arial" w:cs="Arial"/>
                      <w:sz w:val="20"/>
                      <w:szCs w:val="20"/>
                    </w:rPr>
                  </w:pPr>
                  <w:r w:rsidRPr="00976CFD">
                    <w:rPr>
                      <w:rFonts w:ascii="Arial" w:hAnsi="Arial" w:cs="Arial"/>
                      <w:sz w:val="20"/>
                      <w:szCs w:val="20"/>
                    </w:rPr>
                    <w:t>paht.pahhaematologyconsultants@nhs.net</w:t>
                  </w:r>
                </w:p>
              </w:tc>
              <w:tc>
                <w:tcPr>
                  <w:tcW w:w="1811" w:type="dxa"/>
                </w:tcPr>
                <w:p w14:paraId="54577175" w14:textId="0B4857DD" w:rsidR="00DE2745" w:rsidRPr="000A391E" w:rsidRDefault="00976CFD" w:rsidP="009A1A5A">
                  <w:pPr>
                    <w:framePr w:hSpace="180" w:wrap="around" w:vAnchor="text" w:hAnchor="margin" w:y="581"/>
                    <w:shd w:val="clear" w:color="auto" w:fill="FFFFFF"/>
                    <w:outlineLvl w:val="2"/>
                    <w:rPr>
                      <w:rFonts w:ascii="Arial" w:eastAsia="Times New Roman" w:hAnsi="Arial" w:cs="Arial"/>
                      <w:sz w:val="20"/>
                      <w:szCs w:val="20"/>
                      <w:lang w:eastAsia="en-GB"/>
                    </w:rPr>
                  </w:pPr>
                  <w:r w:rsidRPr="00976CFD">
                    <w:rPr>
                      <w:rFonts w:ascii="Arial" w:hAnsi="Arial" w:cs="Arial"/>
                      <w:color w:val="444444"/>
                      <w:shd w:val="clear" w:color="auto" w:fill="FFFFFF"/>
                    </w:rPr>
                    <w:t>01279 444 455</w:t>
                  </w:r>
                </w:p>
              </w:tc>
            </w:tr>
            <w:bookmarkEnd w:id="4"/>
          </w:tbl>
          <w:p w14:paraId="512D12A6" w14:textId="77777777" w:rsidR="00DE2745" w:rsidRPr="00D43187" w:rsidRDefault="00DE2745" w:rsidP="00350D90">
            <w:pPr>
              <w:spacing w:after="0" w:line="240" w:lineRule="auto"/>
              <w:rPr>
                <w:rFonts w:ascii="Arial" w:eastAsia="Times New Roman" w:hAnsi="Arial" w:cs="Arial"/>
                <w:b/>
                <w:bCs/>
                <w:lang w:eastAsia="en-GB"/>
              </w:rPr>
            </w:pPr>
          </w:p>
          <w:p w14:paraId="49314CD6" w14:textId="77777777" w:rsidR="00DE2745" w:rsidRPr="00D43187" w:rsidRDefault="00DE2745" w:rsidP="00350D90">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1510"/>
              <w:gridCol w:w="3577"/>
              <w:gridCol w:w="3545"/>
            </w:tblGrid>
            <w:tr w:rsidR="00DE2745" w:rsidRPr="000A391E" w14:paraId="527F8868" w14:textId="77777777" w:rsidTr="006A2450">
              <w:tc>
                <w:tcPr>
                  <w:tcW w:w="1883" w:type="dxa"/>
                </w:tcPr>
                <w:p w14:paraId="035D821E"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510" w:type="dxa"/>
                </w:tcPr>
                <w:p w14:paraId="35555A3E"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3577" w:type="dxa"/>
                </w:tcPr>
                <w:p w14:paraId="2673CFD8" w14:textId="77777777" w:rsidR="00DE2745" w:rsidRPr="000A391E" w:rsidRDefault="00DE2745" w:rsidP="009A1A5A">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3545" w:type="dxa"/>
                </w:tcPr>
                <w:p w14:paraId="43F96AB5" w14:textId="77777777" w:rsidR="00DE2745" w:rsidRPr="000A391E" w:rsidRDefault="00DE2745" w:rsidP="009A1A5A">
                  <w:pPr>
                    <w:framePr w:hSpace="180" w:wrap="around" w:vAnchor="text" w:hAnchor="margin" w:y="581"/>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E91350" w:rsidRPr="000A391E" w14:paraId="537CEDD6" w14:textId="77777777" w:rsidTr="006A2450">
              <w:trPr>
                <w:trHeight w:val="190"/>
              </w:trPr>
              <w:tc>
                <w:tcPr>
                  <w:tcW w:w="1883" w:type="dxa"/>
                </w:tcPr>
                <w:p w14:paraId="01A0D1C8" w14:textId="6F88013F" w:rsidR="00E91350" w:rsidRPr="000A391E" w:rsidRDefault="00E91350" w:rsidP="009A1A5A">
                  <w:pPr>
                    <w:framePr w:hSpace="180" w:wrap="around" w:vAnchor="text" w:hAnchor="margin" w:y="581"/>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Haematology</w:t>
                  </w:r>
                </w:p>
              </w:tc>
              <w:tc>
                <w:tcPr>
                  <w:tcW w:w="1510" w:type="dxa"/>
                </w:tcPr>
                <w:p w14:paraId="119C8A86" w14:textId="4FA4C3C0" w:rsidR="00E91350" w:rsidRPr="000A391E" w:rsidRDefault="00E91350" w:rsidP="009A1A5A">
                  <w:pPr>
                    <w:framePr w:hSpace="180" w:wrap="around" w:vAnchor="text" w:hAnchor="margin" w:y="581"/>
                    <w:spacing w:after="40"/>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01923 217628/ 01923 217571/ 01923 217084 </w:t>
                  </w:r>
                </w:p>
              </w:tc>
              <w:tc>
                <w:tcPr>
                  <w:tcW w:w="3577" w:type="dxa"/>
                </w:tcPr>
                <w:p w14:paraId="3D7AF83E" w14:textId="67E50BB8" w:rsidR="00E91350" w:rsidRPr="000A391E" w:rsidRDefault="003A03BF" w:rsidP="009A1A5A">
                  <w:pPr>
                    <w:framePr w:hSpace="180" w:wrap="around" w:vAnchor="text" w:hAnchor="margin" w:y="581"/>
                    <w:spacing w:after="40"/>
                    <w:rPr>
                      <w:rFonts w:ascii="Arial" w:hAnsi="Arial" w:cs="Arial"/>
                      <w:sz w:val="20"/>
                      <w:szCs w:val="20"/>
                    </w:rPr>
                  </w:pPr>
                  <w:r w:rsidRPr="00194721">
                    <w:rPr>
                      <w:rFonts w:ascii="Arial" w:hAnsi="Arial" w:cs="Arial"/>
                      <w:sz w:val="20"/>
                      <w:szCs w:val="20"/>
                    </w:rPr>
                    <w:t>westherts.haematology@nhs.net</w:t>
                  </w:r>
                </w:p>
              </w:tc>
              <w:tc>
                <w:tcPr>
                  <w:tcW w:w="3545" w:type="dxa"/>
                </w:tcPr>
                <w:p w14:paraId="31924564" w14:textId="4E9822E4" w:rsidR="00E91350" w:rsidRPr="000A391E" w:rsidRDefault="00E91350" w:rsidP="009A1A5A">
                  <w:pPr>
                    <w:framePr w:hSpace="180" w:wrap="around" w:vAnchor="text" w:hAnchor="margin" w:y="581"/>
                    <w:shd w:val="clear" w:color="auto" w:fill="FFFFFF"/>
                    <w:outlineLvl w:val="2"/>
                    <w:rPr>
                      <w:rFonts w:ascii="Arial" w:eastAsia="Times New Roman" w:hAnsi="Arial" w:cs="Arial"/>
                      <w:sz w:val="20"/>
                      <w:szCs w:val="20"/>
                      <w:lang w:eastAsia="en-GB"/>
                    </w:rPr>
                  </w:pPr>
                  <w:r>
                    <w:rPr>
                      <w:rFonts w:ascii="Arial" w:eastAsia="Times New Roman" w:hAnsi="Arial" w:cs="Arial"/>
                      <w:sz w:val="20"/>
                      <w:szCs w:val="20"/>
                      <w:lang w:eastAsia="en-GB"/>
                    </w:rPr>
                    <w:t>Ext 7628, 7751, 7084</w:t>
                  </w:r>
                </w:p>
              </w:tc>
            </w:tr>
          </w:tbl>
          <w:p w14:paraId="3E3039A3" w14:textId="77777777" w:rsidR="00DE2745" w:rsidRPr="004767F4" w:rsidRDefault="00DE2745" w:rsidP="00350D90">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5B1FF562" w14:textId="77777777" w:rsidR="00DE2745" w:rsidRPr="004767F4" w:rsidRDefault="00DE2745" w:rsidP="00350D90">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For any queries relating to a patient’s treatment with</w:t>
            </w:r>
            <w:r>
              <w:rPr>
                <w:rFonts w:ascii="Arial" w:eastAsia="Times New Roman" w:hAnsi="Arial" w:cs="Arial"/>
                <w:bCs/>
                <w:sz w:val="20"/>
                <w:szCs w:val="20"/>
                <w:lang w:eastAsia="en-GB"/>
              </w:rPr>
              <w:t xml:space="preserve"> hydroxycarbamide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r>
              <w:rPr>
                <w:rFonts w:ascii="Arial" w:eastAsia="Times New Roman" w:hAnsi="Arial" w:cs="Arial"/>
                <w:bCs/>
                <w:sz w:val="20"/>
                <w:szCs w:val="20"/>
                <w:lang w:eastAsia="en-GB"/>
              </w:rPr>
              <w:t>HWE APC</w:t>
            </w:r>
            <w:r w:rsidRPr="00423C36">
              <w:rPr>
                <w:rFonts w:ascii="Arial" w:eastAsia="Times New Roman" w:hAnsi="Arial" w:cs="Arial"/>
                <w:bCs/>
                <w:sz w:val="20"/>
                <w:szCs w:val="20"/>
                <w:lang w:eastAsia="en-GB"/>
              </w:rPr>
              <w:t xml:space="preserve"> shared care principles document</w:t>
            </w:r>
            <w:r>
              <w:rPr>
                <w:rFonts w:ascii="Arial" w:eastAsia="Times New Roman" w:hAnsi="Arial" w:cs="Arial"/>
                <w:bCs/>
                <w:sz w:val="20"/>
                <w:szCs w:val="20"/>
                <w:lang w:eastAsia="en-GB"/>
              </w:rPr>
              <w:t>.</w:t>
            </w:r>
          </w:p>
          <w:p w14:paraId="7415A244" w14:textId="77777777" w:rsidR="00DE2745" w:rsidRPr="008C60E5" w:rsidRDefault="00DE2745" w:rsidP="00350D90">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128DCDA1" w14:textId="77777777" w:rsidR="00FD5D06" w:rsidRDefault="00FD5D06" w:rsidP="00FD5D06">
      <w:pPr>
        <w:rPr>
          <w:rFonts w:ascii="Arial" w:hAnsi="Arial" w:cs="Arial"/>
          <w:b/>
          <w:sz w:val="28"/>
          <w:u w:val="single"/>
        </w:rPr>
      </w:pPr>
    </w:p>
    <w:p w14:paraId="2B2FFE24" w14:textId="77777777" w:rsidR="00350D90" w:rsidRDefault="00350D90" w:rsidP="003E1D2D">
      <w:pPr>
        <w:rPr>
          <w:rFonts w:ascii="Arial" w:hAnsi="Arial" w:cs="Arial"/>
          <w:b/>
          <w:sz w:val="28"/>
          <w:u w:val="single"/>
        </w:rPr>
      </w:pPr>
    </w:p>
    <w:p w14:paraId="77D38FD7" w14:textId="77777777" w:rsidR="003E1D2D" w:rsidRDefault="003E1D2D" w:rsidP="003E1D2D">
      <w:pPr>
        <w:rPr>
          <w:rFonts w:ascii="Arial" w:hAnsi="Arial" w:cs="Arial"/>
          <w:b/>
          <w:sz w:val="28"/>
          <w:u w:val="single"/>
        </w:rPr>
      </w:pPr>
    </w:p>
    <w:p w14:paraId="28C918C2" w14:textId="77777777" w:rsidR="003E1D2D" w:rsidRDefault="003E1D2D" w:rsidP="003E1D2D">
      <w:pPr>
        <w:rPr>
          <w:rFonts w:ascii="Arial" w:hAnsi="Arial" w:cs="Arial"/>
          <w:b/>
          <w:sz w:val="28"/>
          <w:u w:val="single"/>
        </w:rPr>
      </w:pPr>
    </w:p>
    <w:p w14:paraId="161A330F" w14:textId="77777777" w:rsidR="003E1D2D" w:rsidRDefault="003E1D2D" w:rsidP="003E1D2D">
      <w:pPr>
        <w:rPr>
          <w:rFonts w:ascii="Arial" w:hAnsi="Arial" w:cs="Arial"/>
          <w:b/>
          <w:sz w:val="28"/>
          <w:u w:val="single"/>
        </w:rPr>
      </w:pPr>
    </w:p>
    <w:p w14:paraId="68419991" w14:textId="77777777" w:rsidR="003E1D2D" w:rsidRDefault="003E1D2D" w:rsidP="003E1D2D">
      <w:pPr>
        <w:rPr>
          <w:rFonts w:ascii="Arial" w:hAnsi="Arial" w:cs="Arial"/>
          <w:b/>
          <w:sz w:val="28"/>
          <w:u w:val="single"/>
        </w:rPr>
      </w:pPr>
    </w:p>
    <w:p w14:paraId="0D267033" w14:textId="77777777" w:rsidR="003E1D2D" w:rsidRDefault="003E1D2D" w:rsidP="003E1D2D">
      <w:pPr>
        <w:rPr>
          <w:rFonts w:ascii="Arial" w:hAnsi="Arial" w:cs="Arial"/>
          <w:b/>
          <w:sz w:val="28"/>
          <w:u w:val="single"/>
        </w:rPr>
      </w:pPr>
    </w:p>
    <w:p w14:paraId="3CCEA3F9" w14:textId="77777777" w:rsidR="003E1D2D" w:rsidRDefault="003E1D2D" w:rsidP="003E1D2D">
      <w:pPr>
        <w:rPr>
          <w:rFonts w:ascii="Arial" w:hAnsi="Arial" w:cs="Arial"/>
          <w:b/>
          <w:sz w:val="28"/>
          <w:u w:val="single"/>
        </w:rPr>
      </w:pPr>
    </w:p>
    <w:p w14:paraId="5648279E" w14:textId="77777777" w:rsidR="003E1D2D" w:rsidRDefault="003E1D2D" w:rsidP="003E1D2D">
      <w:pPr>
        <w:rPr>
          <w:rFonts w:ascii="Arial" w:hAnsi="Arial" w:cs="Arial"/>
          <w:b/>
          <w:sz w:val="28"/>
          <w:u w:val="single"/>
        </w:rPr>
      </w:pPr>
    </w:p>
    <w:p w14:paraId="03EFD0A2" w14:textId="77777777" w:rsidR="003E1D2D" w:rsidRDefault="003E1D2D" w:rsidP="003E1D2D">
      <w:pPr>
        <w:rPr>
          <w:rFonts w:ascii="Arial" w:hAnsi="Arial" w:cs="Arial"/>
          <w:b/>
          <w:sz w:val="28"/>
          <w:u w:val="single"/>
        </w:rPr>
      </w:pPr>
    </w:p>
    <w:p w14:paraId="22ECC23D" w14:textId="0C40C0C5" w:rsidR="00CB147C" w:rsidRPr="00CB147C" w:rsidRDefault="00CB147C" w:rsidP="00FD5D06">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202EBC62" w14:textId="77777777" w:rsidR="00015501" w:rsidRDefault="00015501"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9C1F5E8" w14:textId="21D5BFE0" w:rsidR="000F0B54"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2DA9FFA4"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tbl>
      <w:tblPr>
        <w:tblStyle w:val="TableGrid"/>
        <w:tblW w:w="10485" w:type="dxa"/>
        <w:tblLook w:val="04A0" w:firstRow="1" w:lastRow="0" w:firstColumn="1" w:lastColumn="0" w:noHBand="0" w:noVBand="1"/>
      </w:tblPr>
      <w:tblGrid>
        <w:gridCol w:w="1976"/>
        <w:gridCol w:w="8509"/>
      </w:tblGrid>
      <w:tr w:rsidR="0046176D" w:rsidRPr="00BE665A" w14:paraId="5CBDF4B8" w14:textId="77777777" w:rsidTr="002C2D2A">
        <w:tc>
          <w:tcPr>
            <w:tcW w:w="1976" w:type="dxa"/>
            <w:shd w:val="clear" w:color="auto" w:fill="auto"/>
          </w:tcPr>
          <w:p w14:paraId="40C8685B" w14:textId="77777777" w:rsidR="0046176D" w:rsidRPr="00BE665A" w:rsidRDefault="0046176D" w:rsidP="002C2D2A">
            <w:pPr>
              <w:rPr>
                <w:rFonts w:ascii="Arial" w:eastAsia="Arial" w:hAnsi="Arial" w:cs="Arial"/>
                <w:color w:val="000000"/>
                <w:sz w:val="15"/>
                <w:szCs w:val="15"/>
              </w:rPr>
            </w:pPr>
            <w:bookmarkStart w:id="5" w:name="_Hlk151990468"/>
            <w:r w:rsidRPr="00BE665A">
              <w:rPr>
                <w:rFonts w:ascii="Arial" w:eastAsia="Arial" w:hAnsi="Arial" w:cs="Arial"/>
                <w:color w:val="000000"/>
                <w:sz w:val="15"/>
                <w:szCs w:val="15"/>
              </w:rPr>
              <w:t xml:space="preserve">Version </w:t>
            </w:r>
          </w:p>
        </w:tc>
        <w:tc>
          <w:tcPr>
            <w:tcW w:w="8509" w:type="dxa"/>
          </w:tcPr>
          <w:p w14:paraId="0651D715" w14:textId="17C8EF2C" w:rsidR="00440CE7" w:rsidRDefault="00440CE7" w:rsidP="002C2D2A">
            <w:pPr>
              <w:rPr>
                <w:rFonts w:ascii="Arial" w:eastAsia="Arial" w:hAnsi="Arial" w:cs="Arial"/>
                <w:sz w:val="15"/>
                <w:szCs w:val="15"/>
              </w:rPr>
            </w:pPr>
            <w:r>
              <w:rPr>
                <w:rFonts w:ascii="Arial" w:eastAsia="Arial" w:hAnsi="Arial" w:cs="Arial"/>
                <w:sz w:val="15"/>
                <w:szCs w:val="15"/>
              </w:rPr>
              <w:t>1.2 Updated in</w:t>
            </w:r>
            <w:r w:rsidR="009A1A5A">
              <w:rPr>
                <w:rFonts w:ascii="Arial" w:eastAsia="Arial" w:hAnsi="Arial" w:cs="Arial"/>
                <w:sz w:val="15"/>
                <w:szCs w:val="15"/>
              </w:rPr>
              <w:t xml:space="preserve"> line with</w:t>
            </w:r>
            <w:r>
              <w:rPr>
                <w:rFonts w:ascii="Arial" w:eastAsia="Arial" w:hAnsi="Arial" w:cs="Arial"/>
                <w:sz w:val="15"/>
                <w:szCs w:val="15"/>
              </w:rPr>
              <w:t xml:space="preserve"> new shared care protocol template May 2025</w:t>
            </w:r>
          </w:p>
          <w:p w14:paraId="1FFDB1CF" w14:textId="0E8B052A" w:rsidR="001C6663" w:rsidRDefault="001C6663" w:rsidP="002C2D2A">
            <w:pPr>
              <w:rPr>
                <w:rFonts w:ascii="Arial" w:eastAsia="Arial" w:hAnsi="Arial" w:cs="Arial"/>
                <w:sz w:val="15"/>
                <w:szCs w:val="15"/>
              </w:rPr>
            </w:pPr>
            <w:r>
              <w:rPr>
                <w:rFonts w:ascii="Arial" w:eastAsia="Arial" w:hAnsi="Arial" w:cs="Arial"/>
                <w:sz w:val="15"/>
                <w:szCs w:val="15"/>
              </w:rPr>
              <w:t>1.1 Updating wording on swallowing difficulties September 2024</w:t>
            </w:r>
          </w:p>
          <w:p w14:paraId="63584B0A" w14:textId="732650FB" w:rsidR="0046176D" w:rsidRPr="00BE665A" w:rsidRDefault="0046176D" w:rsidP="002C2D2A">
            <w:pPr>
              <w:rPr>
                <w:rFonts w:ascii="Arial" w:eastAsia="Arial" w:hAnsi="Arial" w:cs="Arial"/>
                <w:sz w:val="15"/>
                <w:szCs w:val="15"/>
              </w:rPr>
            </w:pPr>
            <w:r>
              <w:rPr>
                <w:rFonts w:ascii="Arial" w:eastAsia="Arial" w:hAnsi="Arial" w:cs="Arial"/>
                <w:sz w:val="15"/>
                <w:szCs w:val="15"/>
              </w:rPr>
              <w:t xml:space="preserve">1.0 </w:t>
            </w:r>
            <w:r w:rsidRPr="00820C02">
              <w:rPr>
                <w:rFonts w:ascii="Arial" w:eastAsia="Arial" w:hAnsi="Arial" w:cs="Arial"/>
                <w:sz w:val="15"/>
                <w:szCs w:val="15"/>
              </w:rPr>
              <w:t>Harmonisation of Hertfordshire Medicines Management Committee (HMMC) guidance and West Essex Medicines Optimisation Programme Board (WEMOPB) guidance updates include:</w:t>
            </w:r>
          </w:p>
          <w:p w14:paraId="4D43B29F" w14:textId="1685A299" w:rsidR="0046176D" w:rsidRPr="00BE665A" w:rsidRDefault="0046176D" w:rsidP="0046176D">
            <w:pPr>
              <w:numPr>
                <w:ilvl w:val="0"/>
                <w:numId w:val="31"/>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w:t>
            </w:r>
          </w:p>
          <w:p w14:paraId="39285E7F" w14:textId="77777777" w:rsidR="0046176D" w:rsidRPr="00BE665A" w:rsidRDefault="0046176D" w:rsidP="0046176D">
            <w:pPr>
              <w:numPr>
                <w:ilvl w:val="0"/>
                <w:numId w:val="31"/>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46176D" w:rsidRPr="00BE665A" w14:paraId="17902F60" w14:textId="77777777" w:rsidTr="002C2D2A">
        <w:tc>
          <w:tcPr>
            <w:tcW w:w="1976" w:type="dxa"/>
            <w:shd w:val="clear" w:color="auto" w:fill="auto"/>
          </w:tcPr>
          <w:p w14:paraId="7E6214BA" w14:textId="77777777" w:rsidR="0046176D" w:rsidRDefault="0046176D" w:rsidP="002C2D2A">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13C21444" w14:textId="6DCE7491" w:rsidR="0046176D" w:rsidRPr="00923C69" w:rsidRDefault="0046176D" w:rsidP="002C2D2A">
            <w:pPr>
              <w:rPr>
                <w:rFonts w:ascii="Arial" w:eastAsia="Arial" w:hAnsi="Arial" w:cs="Arial"/>
                <w:sz w:val="15"/>
                <w:szCs w:val="15"/>
              </w:rPr>
            </w:pPr>
            <w:r>
              <w:rPr>
                <w:rFonts w:ascii="Arial" w:eastAsia="Arial" w:hAnsi="Arial" w:cs="Arial"/>
                <w:sz w:val="15"/>
                <w:szCs w:val="15"/>
              </w:rPr>
              <w:t>Pharmacy and Medicines Optimisation Team, Hertfordshire and West Essex (HWE) ICB with relevant HWE ICS stakeholders.</w:t>
            </w:r>
          </w:p>
        </w:tc>
      </w:tr>
      <w:tr w:rsidR="0046176D" w:rsidRPr="00BE665A" w14:paraId="6DEA07F6" w14:textId="77777777" w:rsidTr="002C2D2A">
        <w:tc>
          <w:tcPr>
            <w:tcW w:w="1976" w:type="dxa"/>
            <w:shd w:val="clear" w:color="auto" w:fill="auto"/>
          </w:tcPr>
          <w:p w14:paraId="117631F8" w14:textId="77777777" w:rsidR="0046176D" w:rsidRPr="00BE665A" w:rsidRDefault="0046176D" w:rsidP="0046176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7E67C47E" w14:textId="6A335994" w:rsidR="0046176D" w:rsidRPr="00BE665A" w:rsidRDefault="0046176D" w:rsidP="0046176D">
            <w:pPr>
              <w:rPr>
                <w:rFonts w:ascii="Arial" w:eastAsia="Arial" w:hAnsi="Arial" w:cs="Arial"/>
                <w:sz w:val="15"/>
                <w:szCs w:val="15"/>
              </w:rPr>
            </w:pPr>
            <w:r>
              <w:rPr>
                <w:rFonts w:ascii="Arial" w:eastAsia="Arial" w:hAnsi="Arial" w:cs="Arial"/>
                <w:sz w:val="15"/>
                <w:szCs w:val="15"/>
              </w:rPr>
              <w:t>Hertfordshire &amp; West Essex Area Prescribing Committee</w:t>
            </w:r>
          </w:p>
        </w:tc>
      </w:tr>
      <w:tr w:rsidR="0046176D" w:rsidRPr="00BE665A" w14:paraId="493D4370" w14:textId="77777777" w:rsidTr="002C2D2A">
        <w:tc>
          <w:tcPr>
            <w:tcW w:w="1976" w:type="dxa"/>
            <w:shd w:val="clear" w:color="auto" w:fill="auto"/>
          </w:tcPr>
          <w:p w14:paraId="464061AD" w14:textId="77777777" w:rsidR="0046176D" w:rsidRPr="00BE665A" w:rsidRDefault="0046176D" w:rsidP="0046176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2EF006AF" w14:textId="34F4D0C2" w:rsidR="0046176D" w:rsidRPr="00BE665A" w:rsidRDefault="00440CE7" w:rsidP="0046176D">
            <w:pPr>
              <w:rPr>
                <w:rFonts w:ascii="Arial" w:eastAsia="Arial" w:hAnsi="Arial" w:cs="Arial"/>
                <w:sz w:val="15"/>
                <w:szCs w:val="15"/>
              </w:rPr>
            </w:pPr>
            <w:r>
              <w:rPr>
                <w:rFonts w:ascii="Arial" w:eastAsia="Arial" w:hAnsi="Arial" w:cs="Arial"/>
                <w:sz w:val="15"/>
                <w:szCs w:val="15"/>
              </w:rPr>
              <w:t>May 2025</w:t>
            </w:r>
          </w:p>
        </w:tc>
      </w:tr>
      <w:tr w:rsidR="0046176D" w:rsidRPr="00BE665A" w14:paraId="5AE4C825" w14:textId="77777777" w:rsidTr="002C2D2A">
        <w:tc>
          <w:tcPr>
            <w:tcW w:w="1976" w:type="dxa"/>
            <w:shd w:val="clear" w:color="auto" w:fill="auto"/>
          </w:tcPr>
          <w:p w14:paraId="4E50EDB0" w14:textId="77777777" w:rsidR="0046176D" w:rsidRPr="00BE665A" w:rsidRDefault="0046176D" w:rsidP="002C2D2A">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11BB5627" w14:textId="77777777" w:rsidR="0046176D" w:rsidRPr="00BE665A" w:rsidRDefault="0046176D" w:rsidP="002C2D2A">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46176D" w:rsidRPr="00BE665A" w14:paraId="0736CFC5" w14:textId="77777777" w:rsidTr="002C2D2A">
        <w:tc>
          <w:tcPr>
            <w:tcW w:w="1976" w:type="dxa"/>
            <w:shd w:val="clear" w:color="auto" w:fill="auto"/>
          </w:tcPr>
          <w:p w14:paraId="15DF1334" w14:textId="77777777" w:rsidR="0046176D" w:rsidRPr="00BE665A" w:rsidRDefault="0046176D" w:rsidP="002C2D2A">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9F06A9D" w14:textId="67CA6321" w:rsidR="0046176D" w:rsidRPr="00BE665A" w:rsidRDefault="0046176D" w:rsidP="002C2D2A">
            <w:pPr>
              <w:rPr>
                <w:rFonts w:ascii="Arial" w:eastAsia="Arial" w:hAnsi="Arial" w:cs="Arial"/>
                <w:sz w:val="15"/>
                <w:szCs w:val="15"/>
              </w:rPr>
            </w:pPr>
            <w:r>
              <w:rPr>
                <w:rFonts w:ascii="Arial" w:eastAsia="Arial" w:hAnsi="Arial" w:cs="Arial"/>
                <w:sz w:val="15"/>
                <w:szCs w:val="15"/>
              </w:rPr>
              <w:t>Hydroxycarbamide shared care agreement – West Essex CCG, MOPB</w:t>
            </w:r>
            <w:r w:rsidR="007A22B7">
              <w:rPr>
                <w:rFonts w:ascii="Arial" w:eastAsia="Arial" w:hAnsi="Arial" w:cs="Arial"/>
                <w:sz w:val="15"/>
                <w:szCs w:val="15"/>
              </w:rPr>
              <w:t>, Nov 2016</w:t>
            </w:r>
          </w:p>
        </w:tc>
      </w:tr>
      <w:bookmarkEnd w:id="5"/>
    </w:tbl>
    <w:p w14:paraId="50D61AA1"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20B157CB"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3251F1E"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65A5EA3"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sectPr w:rsidR="0046176D" w:rsidSect="00EA0CBA">
      <w:headerReference w:type="default" r:id="rId32"/>
      <w:footerReference w:type="default" r:id="rId33"/>
      <w:headerReference w:type="first" r:id="rId34"/>
      <w:footerReference w:type="first" r:id="rId35"/>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DE06" w14:textId="77777777" w:rsidR="00667027" w:rsidRDefault="00667027" w:rsidP="006F4129">
      <w:pPr>
        <w:spacing w:after="0" w:line="240" w:lineRule="auto"/>
      </w:pPr>
      <w:r>
        <w:separator/>
      </w:r>
    </w:p>
  </w:endnote>
  <w:endnote w:type="continuationSeparator" w:id="0">
    <w:p w14:paraId="7FCA5B08" w14:textId="77777777" w:rsidR="00667027" w:rsidRDefault="00667027"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0D040A7B" w:rsidR="00D95A4B" w:rsidRPr="001A6B58" w:rsidRDefault="001C6663">
    <w:pPr>
      <w:pStyle w:val="Footer"/>
      <w:rPr>
        <w:rFonts w:ascii="Arial" w:hAnsi="Arial" w:cs="Arial"/>
        <w:sz w:val="18"/>
      </w:rPr>
    </w:pPr>
    <w:r>
      <w:rPr>
        <w:rFonts w:ascii="Arial" w:eastAsia="Times New Roman" w:hAnsi="Arial" w:cs="Times New Roman"/>
        <w:b/>
        <w:bCs/>
        <w:sz w:val="16"/>
        <w:szCs w:val="28"/>
      </w:rPr>
      <w:t>Hydroxycarbamide</w:t>
    </w:r>
    <w:r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 xml:space="preserve">d Care Protocol </w:t>
    </w:r>
    <w:r w:rsidR="00440CE7">
      <w:rPr>
        <w:rFonts w:ascii="Arial" w:eastAsia="Times New Roman" w:hAnsi="Arial" w:cs="Times New Roman"/>
        <w:b/>
        <w:bCs/>
        <w:sz w:val="16"/>
        <w:szCs w:val="28"/>
      </w:rPr>
      <w:t>May 2025</w:t>
    </w:r>
    <w:r>
      <w:rPr>
        <w:rFonts w:ascii="Arial" w:eastAsia="Times New Roman" w:hAnsi="Arial" w:cs="Times New Roman"/>
        <w:b/>
        <w:bCs/>
        <w:sz w:val="16"/>
        <w:szCs w:val="28"/>
      </w:rPr>
      <w:t xml:space="preserve"> final v1.</w:t>
    </w:r>
    <w:r w:rsidR="00440CE7">
      <w:rPr>
        <w:rFonts w:ascii="Arial" w:eastAsia="Times New Roman" w:hAnsi="Arial" w:cs="Times New Roman"/>
        <w:b/>
        <w:bCs/>
        <w:sz w:val="16"/>
        <w:szCs w:val="28"/>
      </w:rPr>
      <w:t>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F610461" w:rsidR="00D95A4B" w:rsidRDefault="00E4106C"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Hydroxycarbamide</w:t>
    </w:r>
    <w:r w:rsidR="00D95A4B" w:rsidRPr="00AC724B">
      <w:rPr>
        <w:rFonts w:ascii="Arial" w:eastAsia="Times New Roman" w:hAnsi="Arial" w:cs="Times New Roman"/>
        <w:b/>
        <w:bCs/>
        <w:sz w:val="16"/>
        <w:szCs w:val="28"/>
      </w:rPr>
      <w:t xml:space="preserve"> Share</w:t>
    </w:r>
    <w:r w:rsidR="00D95A4B">
      <w:rPr>
        <w:rFonts w:ascii="Arial" w:eastAsia="Times New Roman" w:hAnsi="Arial" w:cs="Times New Roman"/>
        <w:b/>
        <w:bCs/>
        <w:sz w:val="16"/>
        <w:szCs w:val="28"/>
      </w:rPr>
      <w:t xml:space="preserve">d Care Protocol </w:t>
    </w:r>
    <w:r w:rsidR="00440CE7">
      <w:rPr>
        <w:rFonts w:ascii="Arial" w:eastAsia="Times New Roman" w:hAnsi="Arial" w:cs="Times New Roman"/>
        <w:b/>
        <w:bCs/>
        <w:sz w:val="16"/>
        <w:szCs w:val="28"/>
      </w:rPr>
      <w:t>May 2025</w:t>
    </w:r>
    <w:r w:rsidR="00D95A4B">
      <w:rPr>
        <w:rFonts w:ascii="Arial" w:eastAsia="Times New Roman" w:hAnsi="Arial" w:cs="Times New Roman"/>
        <w:b/>
        <w:bCs/>
        <w:sz w:val="16"/>
        <w:szCs w:val="28"/>
      </w:rPr>
      <w:t xml:space="preserve"> final v1</w:t>
    </w:r>
    <w:r w:rsidR="001C6663">
      <w:rPr>
        <w:rFonts w:ascii="Arial" w:eastAsia="Times New Roman" w:hAnsi="Arial" w:cs="Times New Roman"/>
        <w:b/>
        <w:bCs/>
        <w:sz w:val="16"/>
        <w:szCs w:val="28"/>
      </w:rPr>
      <w:t>.</w:t>
    </w:r>
    <w:r w:rsidR="00440CE7">
      <w:rPr>
        <w:rFonts w:ascii="Arial" w:eastAsia="Times New Roman" w:hAnsi="Arial" w:cs="Times New Roman"/>
        <w:b/>
        <w:bCs/>
        <w:sz w:val="16"/>
        <w:szCs w:val="28"/>
      </w:rPr>
      <w:t xml:space="preserve">2 </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6290" w14:textId="77777777" w:rsidR="00667027" w:rsidRDefault="00667027" w:rsidP="006F4129">
      <w:pPr>
        <w:spacing w:after="0" w:line="240" w:lineRule="auto"/>
      </w:pPr>
      <w:r>
        <w:separator/>
      </w:r>
    </w:p>
  </w:footnote>
  <w:footnote w:type="continuationSeparator" w:id="0">
    <w:p w14:paraId="7A93653C" w14:textId="77777777" w:rsidR="00667027" w:rsidRDefault="00667027"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6FEE40DA" w:rsidR="00F31F41" w:rsidRDefault="00F31F41" w:rsidP="00F31F4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33C404F4" w:rsidR="00D95A4B" w:rsidRPr="00F31F41" w:rsidRDefault="00D95A4B"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07E8B212"/>
    <w:lvl w:ilvl="0" w:tplc="D1DC977C">
      <w:start w:val="1"/>
      <w:numFmt w:val="bullet"/>
      <w:pStyle w:val="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238A9"/>
    <w:multiLevelType w:val="hybridMultilevel"/>
    <w:tmpl w:val="BA501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E1BF9"/>
    <w:multiLevelType w:val="hybridMultilevel"/>
    <w:tmpl w:val="C5608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C1200"/>
    <w:multiLevelType w:val="hybridMultilevel"/>
    <w:tmpl w:val="9C7EF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7B2690"/>
    <w:multiLevelType w:val="hybridMultilevel"/>
    <w:tmpl w:val="39305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F7F46"/>
    <w:multiLevelType w:val="hybridMultilevel"/>
    <w:tmpl w:val="AD623DB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8911A2"/>
    <w:multiLevelType w:val="hybridMultilevel"/>
    <w:tmpl w:val="3608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8E79AE"/>
    <w:multiLevelType w:val="hybridMultilevel"/>
    <w:tmpl w:val="C2F4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854ACD"/>
    <w:multiLevelType w:val="hybridMultilevel"/>
    <w:tmpl w:val="E8603D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7E15A0"/>
    <w:multiLevelType w:val="hybridMultilevel"/>
    <w:tmpl w:val="A08EF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B02142"/>
    <w:multiLevelType w:val="hybridMultilevel"/>
    <w:tmpl w:val="2532360A"/>
    <w:lvl w:ilvl="0" w:tplc="6E66C5C8">
      <w:start w:val="1"/>
      <w:numFmt w:val="decimal"/>
      <w:pStyle w:val="Heading1"/>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34323F5"/>
    <w:multiLevelType w:val="hybridMultilevel"/>
    <w:tmpl w:val="A404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8"/>
  </w:num>
  <w:num w:numId="3" w16cid:durableId="1577058697">
    <w:abstractNumId w:val="21"/>
  </w:num>
  <w:num w:numId="4" w16cid:durableId="1067260621">
    <w:abstractNumId w:val="19"/>
  </w:num>
  <w:num w:numId="5" w16cid:durableId="180434222">
    <w:abstractNumId w:val="2"/>
  </w:num>
  <w:num w:numId="6" w16cid:durableId="2135056906">
    <w:abstractNumId w:val="28"/>
  </w:num>
  <w:num w:numId="7" w16cid:durableId="745223915">
    <w:abstractNumId w:val="20"/>
  </w:num>
  <w:num w:numId="8" w16cid:durableId="1518233034">
    <w:abstractNumId w:val="6"/>
  </w:num>
  <w:num w:numId="9" w16cid:durableId="1882550741">
    <w:abstractNumId w:val="12"/>
  </w:num>
  <w:num w:numId="10" w16cid:durableId="767316337">
    <w:abstractNumId w:val="22"/>
  </w:num>
  <w:num w:numId="11" w16cid:durableId="35280706">
    <w:abstractNumId w:val="23"/>
  </w:num>
  <w:num w:numId="12" w16cid:durableId="1485585190">
    <w:abstractNumId w:val="15"/>
  </w:num>
  <w:num w:numId="13" w16cid:durableId="47269412">
    <w:abstractNumId w:val="8"/>
  </w:num>
  <w:num w:numId="14" w16cid:durableId="103578256">
    <w:abstractNumId w:val="26"/>
  </w:num>
  <w:num w:numId="15" w16cid:durableId="625311297">
    <w:abstractNumId w:val="3"/>
  </w:num>
  <w:num w:numId="16" w16cid:durableId="1172064704">
    <w:abstractNumId w:val="0"/>
  </w:num>
  <w:num w:numId="17" w16cid:durableId="1685857910">
    <w:abstractNumId w:val="17"/>
  </w:num>
  <w:num w:numId="18" w16cid:durableId="996417714">
    <w:abstractNumId w:val="16"/>
  </w:num>
  <w:num w:numId="19" w16cid:durableId="2087726855">
    <w:abstractNumId w:val="14"/>
  </w:num>
  <w:num w:numId="20" w16cid:durableId="1617056855">
    <w:abstractNumId w:val="30"/>
  </w:num>
  <w:num w:numId="21" w16cid:durableId="1138037961">
    <w:abstractNumId w:val="25"/>
  </w:num>
  <w:num w:numId="22" w16cid:durableId="207646122">
    <w:abstractNumId w:val="5"/>
  </w:num>
  <w:num w:numId="23" w16cid:durableId="580528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7766759">
    <w:abstractNumId w:val="10"/>
  </w:num>
  <w:num w:numId="25" w16cid:durableId="1092163165">
    <w:abstractNumId w:val="29"/>
  </w:num>
  <w:num w:numId="26" w16cid:durableId="1709598067">
    <w:abstractNumId w:val="7"/>
  </w:num>
  <w:num w:numId="27" w16cid:durableId="1144813174">
    <w:abstractNumId w:val="4"/>
  </w:num>
  <w:num w:numId="28" w16cid:durableId="2144342118">
    <w:abstractNumId w:val="13"/>
  </w:num>
  <w:num w:numId="29" w16cid:durableId="470833279">
    <w:abstractNumId w:val="1"/>
  </w:num>
  <w:num w:numId="30" w16cid:durableId="1120954078">
    <w:abstractNumId w:val="9"/>
  </w:num>
  <w:num w:numId="31" w16cid:durableId="126203139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kuPYRiN/yGUxrVFK41GeNhbHBBvSIOJLCczH+uLynKBeZbQIPova1p9TsqdPH0Yyb70/G9hha90Dkrx8gSoBBQ==" w:salt="eZAxIE/g5UaVdqjsM1fKaQ=="/>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5501"/>
    <w:rsid w:val="0001635D"/>
    <w:rsid w:val="00020DF8"/>
    <w:rsid w:val="00033131"/>
    <w:rsid w:val="000349CF"/>
    <w:rsid w:val="00040BCE"/>
    <w:rsid w:val="000456FD"/>
    <w:rsid w:val="00051449"/>
    <w:rsid w:val="00056F0B"/>
    <w:rsid w:val="00061E36"/>
    <w:rsid w:val="000678AD"/>
    <w:rsid w:val="00081B1B"/>
    <w:rsid w:val="000833DA"/>
    <w:rsid w:val="000902EE"/>
    <w:rsid w:val="00090C38"/>
    <w:rsid w:val="000A3722"/>
    <w:rsid w:val="000C2DB5"/>
    <w:rsid w:val="000C7F57"/>
    <w:rsid w:val="000D455C"/>
    <w:rsid w:val="000D7991"/>
    <w:rsid w:val="000E1FD2"/>
    <w:rsid w:val="000F0B54"/>
    <w:rsid w:val="000F27CA"/>
    <w:rsid w:val="00116B64"/>
    <w:rsid w:val="00121068"/>
    <w:rsid w:val="00122599"/>
    <w:rsid w:val="00141F69"/>
    <w:rsid w:val="0015736E"/>
    <w:rsid w:val="00181294"/>
    <w:rsid w:val="00187C06"/>
    <w:rsid w:val="001A17F5"/>
    <w:rsid w:val="001A3040"/>
    <w:rsid w:val="001A6B58"/>
    <w:rsid w:val="001B4F65"/>
    <w:rsid w:val="001B6917"/>
    <w:rsid w:val="001B7240"/>
    <w:rsid w:val="001C5D73"/>
    <w:rsid w:val="001C6663"/>
    <w:rsid w:val="001C72F0"/>
    <w:rsid w:val="001D735A"/>
    <w:rsid w:val="001D75EA"/>
    <w:rsid w:val="002006A3"/>
    <w:rsid w:val="002026D4"/>
    <w:rsid w:val="00204BB8"/>
    <w:rsid w:val="0020509F"/>
    <w:rsid w:val="00212AAB"/>
    <w:rsid w:val="00216557"/>
    <w:rsid w:val="00224301"/>
    <w:rsid w:val="0022594E"/>
    <w:rsid w:val="0024538F"/>
    <w:rsid w:val="00261D49"/>
    <w:rsid w:val="0026584D"/>
    <w:rsid w:val="00274684"/>
    <w:rsid w:val="00277960"/>
    <w:rsid w:val="00281A3C"/>
    <w:rsid w:val="002926D9"/>
    <w:rsid w:val="002954B6"/>
    <w:rsid w:val="002A009B"/>
    <w:rsid w:val="002B0C19"/>
    <w:rsid w:val="002C0A08"/>
    <w:rsid w:val="002C6064"/>
    <w:rsid w:val="002D2570"/>
    <w:rsid w:val="002D3CB5"/>
    <w:rsid w:val="002E2E2D"/>
    <w:rsid w:val="002E5B12"/>
    <w:rsid w:val="002F0C6D"/>
    <w:rsid w:val="002F4544"/>
    <w:rsid w:val="0030088E"/>
    <w:rsid w:val="0030269A"/>
    <w:rsid w:val="00307B2B"/>
    <w:rsid w:val="00311575"/>
    <w:rsid w:val="00324400"/>
    <w:rsid w:val="00325769"/>
    <w:rsid w:val="003268D2"/>
    <w:rsid w:val="003301DF"/>
    <w:rsid w:val="003447C1"/>
    <w:rsid w:val="003452C5"/>
    <w:rsid w:val="00350D90"/>
    <w:rsid w:val="003540B3"/>
    <w:rsid w:val="003559D9"/>
    <w:rsid w:val="003711DA"/>
    <w:rsid w:val="00376393"/>
    <w:rsid w:val="003763B3"/>
    <w:rsid w:val="00382843"/>
    <w:rsid w:val="00384379"/>
    <w:rsid w:val="0039285C"/>
    <w:rsid w:val="003A03BF"/>
    <w:rsid w:val="003B6537"/>
    <w:rsid w:val="003D1B74"/>
    <w:rsid w:val="003D6F3B"/>
    <w:rsid w:val="003E1D2D"/>
    <w:rsid w:val="003F2A47"/>
    <w:rsid w:val="003F3B33"/>
    <w:rsid w:val="003F7848"/>
    <w:rsid w:val="004052E9"/>
    <w:rsid w:val="00406BF2"/>
    <w:rsid w:val="00415A65"/>
    <w:rsid w:val="00420744"/>
    <w:rsid w:val="00430FE1"/>
    <w:rsid w:val="00440CE7"/>
    <w:rsid w:val="00442D9B"/>
    <w:rsid w:val="00453CB7"/>
    <w:rsid w:val="00454560"/>
    <w:rsid w:val="00455A6A"/>
    <w:rsid w:val="00456D4B"/>
    <w:rsid w:val="00457162"/>
    <w:rsid w:val="004579C4"/>
    <w:rsid w:val="0046176D"/>
    <w:rsid w:val="00472785"/>
    <w:rsid w:val="00473A3C"/>
    <w:rsid w:val="00474C2D"/>
    <w:rsid w:val="00480A01"/>
    <w:rsid w:val="004A2B4D"/>
    <w:rsid w:val="004A4384"/>
    <w:rsid w:val="004B177D"/>
    <w:rsid w:val="004B3E41"/>
    <w:rsid w:val="004D0D25"/>
    <w:rsid w:val="004D18E0"/>
    <w:rsid w:val="004D45B6"/>
    <w:rsid w:val="004D5DB4"/>
    <w:rsid w:val="00500E2E"/>
    <w:rsid w:val="005026B1"/>
    <w:rsid w:val="0052755D"/>
    <w:rsid w:val="00541195"/>
    <w:rsid w:val="005430C6"/>
    <w:rsid w:val="00543DE2"/>
    <w:rsid w:val="005476BB"/>
    <w:rsid w:val="00551451"/>
    <w:rsid w:val="005578FA"/>
    <w:rsid w:val="00561381"/>
    <w:rsid w:val="00564F68"/>
    <w:rsid w:val="0057501A"/>
    <w:rsid w:val="00593B38"/>
    <w:rsid w:val="005C309C"/>
    <w:rsid w:val="005C6D32"/>
    <w:rsid w:val="005C7885"/>
    <w:rsid w:val="005D1B7A"/>
    <w:rsid w:val="005D3C00"/>
    <w:rsid w:val="005D5FCA"/>
    <w:rsid w:val="005E05B8"/>
    <w:rsid w:val="005E176B"/>
    <w:rsid w:val="005E21BE"/>
    <w:rsid w:val="005E2A17"/>
    <w:rsid w:val="005F2CB7"/>
    <w:rsid w:val="005F4854"/>
    <w:rsid w:val="005F76F3"/>
    <w:rsid w:val="00603355"/>
    <w:rsid w:val="00603489"/>
    <w:rsid w:val="00610905"/>
    <w:rsid w:val="00615509"/>
    <w:rsid w:val="00631DFD"/>
    <w:rsid w:val="00637FC7"/>
    <w:rsid w:val="00642D93"/>
    <w:rsid w:val="006442CC"/>
    <w:rsid w:val="00655FB4"/>
    <w:rsid w:val="00663031"/>
    <w:rsid w:val="00667027"/>
    <w:rsid w:val="00672B57"/>
    <w:rsid w:val="00673DDC"/>
    <w:rsid w:val="00682308"/>
    <w:rsid w:val="00682980"/>
    <w:rsid w:val="006832A6"/>
    <w:rsid w:val="00687289"/>
    <w:rsid w:val="00696C80"/>
    <w:rsid w:val="006A2066"/>
    <w:rsid w:val="006A351A"/>
    <w:rsid w:val="006A5E49"/>
    <w:rsid w:val="006A7081"/>
    <w:rsid w:val="006C3ABA"/>
    <w:rsid w:val="006C5A53"/>
    <w:rsid w:val="006D2CF8"/>
    <w:rsid w:val="006F31C8"/>
    <w:rsid w:val="006F4129"/>
    <w:rsid w:val="00707545"/>
    <w:rsid w:val="00710AA9"/>
    <w:rsid w:val="00723203"/>
    <w:rsid w:val="00725343"/>
    <w:rsid w:val="007312FD"/>
    <w:rsid w:val="0073239C"/>
    <w:rsid w:val="00755258"/>
    <w:rsid w:val="00755AEA"/>
    <w:rsid w:val="007615C2"/>
    <w:rsid w:val="0076494F"/>
    <w:rsid w:val="00773102"/>
    <w:rsid w:val="007733C3"/>
    <w:rsid w:val="007819A8"/>
    <w:rsid w:val="0078393A"/>
    <w:rsid w:val="00785ADF"/>
    <w:rsid w:val="00786E44"/>
    <w:rsid w:val="0079718D"/>
    <w:rsid w:val="007A20CB"/>
    <w:rsid w:val="007A22B7"/>
    <w:rsid w:val="007B555D"/>
    <w:rsid w:val="007B5CB4"/>
    <w:rsid w:val="007B6A6A"/>
    <w:rsid w:val="007C2271"/>
    <w:rsid w:val="007C7176"/>
    <w:rsid w:val="007F4CA5"/>
    <w:rsid w:val="00804862"/>
    <w:rsid w:val="0080613F"/>
    <w:rsid w:val="00814A87"/>
    <w:rsid w:val="00824646"/>
    <w:rsid w:val="0083196E"/>
    <w:rsid w:val="00832A16"/>
    <w:rsid w:val="00843717"/>
    <w:rsid w:val="00845757"/>
    <w:rsid w:val="00852110"/>
    <w:rsid w:val="008522DD"/>
    <w:rsid w:val="008551E2"/>
    <w:rsid w:val="00870BC7"/>
    <w:rsid w:val="00877DBD"/>
    <w:rsid w:val="00880A02"/>
    <w:rsid w:val="008B71E0"/>
    <w:rsid w:val="008C0C66"/>
    <w:rsid w:val="008C34F3"/>
    <w:rsid w:val="008C60DC"/>
    <w:rsid w:val="008C60E5"/>
    <w:rsid w:val="008C721C"/>
    <w:rsid w:val="008D03D1"/>
    <w:rsid w:val="008D1EAF"/>
    <w:rsid w:val="008D3443"/>
    <w:rsid w:val="008E51B6"/>
    <w:rsid w:val="008E77E6"/>
    <w:rsid w:val="0091151D"/>
    <w:rsid w:val="00924742"/>
    <w:rsid w:val="00926B59"/>
    <w:rsid w:val="0093166C"/>
    <w:rsid w:val="00941CD1"/>
    <w:rsid w:val="00947492"/>
    <w:rsid w:val="00976CFD"/>
    <w:rsid w:val="009A1A5A"/>
    <w:rsid w:val="009A2881"/>
    <w:rsid w:val="009A6FA9"/>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1B09"/>
    <w:rsid w:val="00A82DB2"/>
    <w:rsid w:val="00A82E66"/>
    <w:rsid w:val="00A9295F"/>
    <w:rsid w:val="00AA442F"/>
    <w:rsid w:val="00AB4A9C"/>
    <w:rsid w:val="00AC724B"/>
    <w:rsid w:val="00AD5982"/>
    <w:rsid w:val="00AD742E"/>
    <w:rsid w:val="00AE31E5"/>
    <w:rsid w:val="00AE599B"/>
    <w:rsid w:val="00AF076D"/>
    <w:rsid w:val="00AF6D3E"/>
    <w:rsid w:val="00B061F6"/>
    <w:rsid w:val="00B10C94"/>
    <w:rsid w:val="00B11148"/>
    <w:rsid w:val="00B11AF0"/>
    <w:rsid w:val="00B127EC"/>
    <w:rsid w:val="00B1737A"/>
    <w:rsid w:val="00B22900"/>
    <w:rsid w:val="00B25274"/>
    <w:rsid w:val="00B30881"/>
    <w:rsid w:val="00B51190"/>
    <w:rsid w:val="00B62EE0"/>
    <w:rsid w:val="00B6540B"/>
    <w:rsid w:val="00B773CE"/>
    <w:rsid w:val="00B91E12"/>
    <w:rsid w:val="00B920C0"/>
    <w:rsid w:val="00B94E30"/>
    <w:rsid w:val="00BA3B1F"/>
    <w:rsid w:val="00BA7759"/>
    <w:rsid w:val="00BA785B"/>
    <w:rsid w:val="00BB233D"/>
    <w:rsid w:val="00BE545B"/>
    <w:rsid w:val="00BE6D65"/>
    <w:rsid w:val="00BF055C"/>
    <w:rsid w:val="00BF5868"/>
    <w:rsid w:val="00BF6AE5"/>
    <w:rsid w:val="00C024F4"/>
    <w:rsid w:val="00C025B2"/>
    <w:rsid w:val="00C026A3"/>
    <w:rsid w:val="00C07AEA"/>
    <w:rsid w:val="00C10F60"/>
    <w:rsid w:val="00C126A4"/>
    <w:rsid w:val="00C17474"/>
    <w:rsid w:val="00C2364E"/>
    <w:rsid w:val="00C27AA3"/>
    <w:rsid w:val="00C37C6F"/>
    <w:rsid w:val="00C463EE"/>
    <w:rsid w:val="00C5145D"/>
    <w:rsid w:val="00C528C5"/>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40180"/>
    <w:rsid w:val="00D41804"/>
    <w:rsid w:val="00D43187"/>
    <w:rsid w:val="00D435E7"/>
    <w:rsid w:val="00D50868"/>
    <w:rsid w:val="00D52138"/>
    <w:rsid w:val="00D73BA6"/>
    <w:rsid w:val="00D7496C"/>
    <w:rsid w:val="00D7516C"/>
    <w:rsid w:val="00D763E4"/>
    <w:rsid w:val="00D7659F"/>
    <w:rsid w:val="00D91D06"/>
    <w:rsid w:val="00D95A4B"/>
    <w:rsid w:val="00DC2E68"/>
    <w:rsid w:val="00DD1664"/>
    <w:rsid w:val="00DD4907"/>
    <w:rsid w:val="00DE2745"/>
    <w:rsid w:val="00DF7444"/>
    <w:rsid w:val="00E06022"/>
    <w:rsid w:val="00E17CCB"/>
    <w:rsid w:val="00E214F9"/>
    <w:rsid w:val="00E40BE6"/>
    <w:rsid w:val="00E4106C"/>
    <w:rsid w:val="00E5109D"/>
    <w:rsid w:val="00E51326"/>
    <w:rsid w:val="00E519D5"/>
    <w:rsid w:val="00E54FA1"/>
    <w:rsid w:val="00E5635C"/>
    <w:rsid w:val="00E5707A"/>
    <w:rsid w:val="00E60DF5"/>
    <w:rsid w:val="00E70272"/>
    <w:rsid w:val="00E71F1A"/>
    <w:rsid w:val="00E75D40"/>
    <w:rsid w:val="00E82597"/>
    <w:rsid w:val="00E827BB"/>
    <w:rsid w:val="00E85B9D"/>
    <w:rsid w:val="00E91350"/>
    <w:rsid w:val="00E95BC7"/>
    <w:rsid w:val="00E97C1A"/>
    <w:rsid w:val="00EA0CBA"/>
    <w:rsid w:val="00EA3D76"/>
    <w:rsid w:val="00EA56B7"/>
    <w:rsid w:val="00EF3E34"/>
    <w:rsid w:val="00EF65C0"/>
    <w:rsid w:val="00F076D6"/>
    <w:rsid w:val="00F12528"/>
    <w:rsid w:val="00F12CB2"/>
    <w:rsid w:val="00F243D6"/>
    <w:rsid w:val="00F31F41"/>
    <w:rsid w:val="00F32762"/>
    <w:rsid w:val="00F62092"/>
    <w:rsid w:val="00F6322C"/>
    <w:rsid w:val="00F675C7"/>
    <w:rsid w:val="00F700A3"/>
    <w:rsid w:val="00F70709"/>
    <w:rsid w:val="00F83CD2"/>
    <w:rsid w:val="00F83E86"/>
    <w:rsid w:val="00F85EC9"/>
    <w:rsid w:val="00F976BC"/>
    <w:rsid w:val="00FA3389"/>
    <w:rsid w:val="00FA5965"/>
    <w:rsid w:val="00FB0EA6"/>
    <w:rsid w:val="00FB6469"/>
    <w:rsid w:val="00FD5D06"/>
    <w:rsid w:val="00FD6BFE"/>
    <w:rsid w:val="00FF4596"/>
    <w:rsid w:val="00FF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B7D8C05B-0B67-4810-9320-903A7BAF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paragraph" w:styleId="Heading1">
    <w:name w:val="heading 1"/>
    <w:basedOn w:val="Normal"/>
    <w:next w:val="Normal"/>
    <w:link w:val="Heading1Char"/>
    <w:uiPriority w:val="9"/>
    <w:qFormat/>
    <w:rsid w:val="00F83CD2"/>
    <w:pPr>
      <w:keepNext/>
      <w:numPr>
        <w:numId w:val="23"/>
      </w:numPr>
      <w:spacing w:after="120" w:line="240" w:lineRule="auto"/>
      <w:ind w:left="357" w:hanging="357"/>
      <w:outlineLvl w:val="0"/>
    </w:pPr>
    <w:rPr>
      <w:rFonts w:ascii="Arial" w:eastAsia="Times New Roman" w:hAnsi="Arial" w:cstheme="minorHAnsi"/>
      <w:b/>
      <w:bCs/>
      <w:color w:val="005EB8"/>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Bullets">
    <w:name w:val="Bullets"/>
    <w:basedOn w:val="Normal"/>
    <w:link w:val="BulletsChar"/>
    <w:qFormat/>
    <w:rsid w:val="00F62092"/>
    <w:pPr>
      <w:numPr>
        <w:numId w:val="16"/>
      </w:numPr>
      <w:spacing w:after="0" w:line="360" w:lineRule="atLeast"/>
      <w:ind w:left="357" w:hanging="357"/>
    </w:pPr>
    <w:rPr>
      <w:rFonts w:ascii="Arial" w:eastAsia="Times New Roman" w:hAnsi="Arial" w:cstheme="minorHAnsi"/>
      <w:iCs/>
      <w:color w:val="000000"/>
      <w:sz w:val="24"/>
      <w:lang w:eastAsia="en-GB"/>
    </w:rPr>
  </w:style>
  <w:style w:type="character" w:customStyle="1" w:styleId="BulletsChar">
    <w:name w:val="Bullets Char"/>
    <w:basedOn w:val="DefaultParagraphFont"/>
    <w:link w:val="Bullets"/>
    <w:rsid w:val="00F62092"/>
    <w:rPr>
      <w:rFonts w:ascii="Arial" w:eastAsia="Times New Roman" w:hAnsi="Arial" w:cstheme="minorHAnsi"/>
      <w:iCs/>
      <w:color w:val="000000"/>
      <w:sz w:val="24"/>
      <w:lang w:eastAsia="en-GB"/>
    </w:rPr>
  </w:style>
  <w:style w:type="character" w:customStyle="1" w:styleId="Heading1Char">
    <w:name w:val="Heading 1 Char"/>
    <w:basedOn w:val="DefaultParagraphFont"/>
    <w:link w:val="Heading1"/>
    <w:uiPriority w:val="9"/>
    <w:rsid w:val="00F83CD2"/>
    <w:rPr>
      <w:rFonts w:ascii="Arial" w:eastAsia="Times New Roman" w:hAnsi="Arial" w:cstheme="minorHAnsi"/>
      <w:b/>
      <w:bCs/>
      <w:color w:val="005EB8"/>
      <w:sz w:val="32"/>
    </w:rPr>
  </w:style>
  <w:style w:type="character" w:customStyle="1" w:styleId="cf01">
    <w:name w:val="cf01"/>
    <w:basedOn w:val="DefaultParagraphFont"/>
    <w:rsid w:val="0093166C"/>
    <w:rPr>
      <w:rFonts w:ascii="Segoe UI" w:hAnsi="Segoe UI" w:cs="Segoe UI" w:hint="default"/>
      <w:sz w:val="18"/>
      <w:szCs w:val="18"/>
    </w:rPr>
  </w:style>
  <w:style w:type="paragraph" w:customStyle="1" w:styleId="xmsonormal">
    <w:name w:val="x_msonormal"/>
    <w:basedOn w:val="Normal"/>
    <w:rsid w:val="0024538F"/>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3E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5515">
      <w:bodyDiv w:val="1"/>
      <w:marLeft w:val="0"/>
      <w:marRight w:val="0"/>
      <w:marTop w:val="0"/>
      <w:marBottom w:val="0"/>
      <w:divBdr>
        <w:top w:val="none" w:sz="0" w:space="0" w:color="auto"/>
        <w:left w:val="none" w:sz="0" w:space="0" w:color="auto"/>
        <w:bottom w:val="none" w:sz="0" w:space="0" w:color="auto"/>
        <w:right w:val="none" w:sz="0" w:space="0" w:color="auto"/>
      </w:divBdr>
    </w:div>
    <w:div w:id="79325395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the-green-book-chapter-14a" TargetMode="External"/><Relationship Id="rId18" Type="http://schemas.openxmlformats.org/officeDocument/2006/relationships/hyperlink" Target="http://www.bnf.org/bnf/index.htm" TargetMode="External"/><Relationship Id="rId26" Type="http://schemas.openxmlformats.org/officeDocument/2006/relationships/hyperlink" Target="https://www.renaldrugdatabase.com" TargetMode="External"/><Relationship Id="rId21" Type="http://schemas.openxmlformats.org/officeDocument/2006/relationships/hyperlink" Target="http://www.bnf.org/bnf/index.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influenza-the-green-book-chapter-19" TargetMode="External"/><Relationship Id="rId17"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5" Type="http://schemas.openxmlformats.org/officeDocument/2006/relationships/hyperlink" Target="https://www.mpnvoice.org.uk/about-mpns/treatments/hydroxycarbamid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www.mhra.gov.uk/yellowcard" TargetMode="External"/><Relationship Id="rId29" Type="http://schemas.openxmlformats.org/officeDocument/2006/relationships/hyperlink" Target="https://www.england.nhs.uk/wp-content/uploads/2022/07/B1621_xi_Hydroxycarbamide-for-myeloproliferative-disorders-and-sickle-cell-disease-for-patients-within-adult-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hingles-herpes-zoster-the-green-book-chapter-28a" TargetMode="External"/><Relationship Id="rId24" Type="http://schemas.openxmlformats.org/officeDocument/2006/relationships/hyperlink" Target="http://www.medicines.org.uk/emc"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www.bnf.org/bnf/index.htm" TargetMode="External"/><Relationship Id="rId28" Type="http://schemas.openxmlformats.org/officeDocument/2006/relationships/hyperlink" Target="http://www.medicines.org.uk" TargetMode="External"/><Relationship Id="rId36" Type="http://schemas.openxmlformats.org/officeDocument/2006/relationships/fontTable" Target="fontTable.xml"/><Relationship Id="rId10" Type="http://schemas.openxmlformats.org/officeDocument/2006/relationships/hyperlink" Target="https://www.gov.uk/government/publications/contraindications-and-special-considerations-the-green-book-chapter-6" TargetMode="External"/><Relationship Id="rId19" Type="http://schemas.openxmlformats.org/officeDocument/2006/relationships/hyperlink" Target="http://www.medicines.org.uk/emc" TargetMode="External"/><Relationship Id="rId31"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www.gov.uk/government/publications/pneumococcal-the-green-book-chapter-25" TargetMode="External"/><Relationship Id="rId22" Type="http://schemas.openxmlformats.org/officeDocument/2006/relationships/hyperlink" Target="http://www.medicines.org.uk/emc" TargetMode="External"/><Relationship Id="rId27" Type="http://schemas.openxmlformats.org/officeDocument/2006/relationships/hyperlink" Target="http://www.cancerresearchuk.org" TargetMode="External"/><Relationship Id="rId30" Type="http://schemas.openxmlformats.org/officeDocument/2006/relationships/hyperlink" Target="mailto:enh-tr.haemato-oncologycns@nhs.net" TargetMode="External"/><Relationship Id="rId35" Type="http://schemas.openxmlformats.org/officeDocument/2006/relationships/footer" Target="footer2.xml"/><Relationship Id="rId8" Type="http://schemas.openxmlformats.org/officeDocument/2006/relationships/hyperlink" Target="https://www.hweclinicalguidance.nhs.uk/all-clinical-areas-documents/download?cid=1739&amp;checksum=752d25a1f8dbfb2d656bac3094bfb81c"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5139</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Tailor</dc:creator>
  <cp:keywords/>
  <dc:description/>
  <cp:lastModifiedBy>MEHTA, Heerna (NHS HERTFORDSHIRE AND WEST ESSEX ICB - 06K)</cp:lastModifiedBy>
  <cp:revision>3</cp:revision>
  <cp:lastPrinted>2024-04-04T09:50:00Z</cp:lastPrinted>
  <dcterms:created xsi:type="dcterms:W3CDTF">2025-05-01T10:07:00Z</dcterms:created>
  <dcterms:modified xsi:type="dcterms:W3CDTF">2025-05-01T13:02:00Z</dcterms:modified>
</cp:coreProperties>
</file>