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2763" w14:textId="24C17F35" w:rsidR="00643492" w:rsidRDefault="009A6641" w:rsidP="009A6641">
      <w:pPr>
        <w:rPr>
          <w:b/>
          <w:bCs/>
          <w:noProof/>
        </w:rPr>
      </w:pPr>
      <w:r w:rsidRPr="009A6641">
        <w:rPr>
          <w:b/>
          <w:bCs/>
          <w:noProof/>
        </w:rPr>
        <w:drawing>
          <wp:inline distT="0" distB="0" distL="0" distR="0" wp14:anchorId="6E025BC7" wp14:editId="27FBE479">
            <wp:extent cx="815340" cy="8153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5411" cy="815411"/>
                    </a:xfrm>
                    <a:prstGeom prst="rect">
                      <a:avLst/>
                    </a:prstGeom>
                  </pic:spPr>
                </pic:pic>
              </a:graphicData>
            </a:graphic>
          </wp:inline>
        </w:drawing>
      </w:r>
      <w:r>
        <w:rPr>
          <w:b/>
          <w:bCs/>
          <w:noProof/>
        </w:rPr>
        <w:t xml:space="preserve">                                                                                                                      </w:t>
      </w:r>
      <w:r w:rsidR="00643492" w:rsidRPr="00643492">
        <w:rPr>
          <w:b/>
          <w:bCs/>
          <w:noProof/>
        </w:rPr>
        <w:drawing>
          <wp:inline distT="0" distB="0" distL="0" distR="0" wp14:anchorId="1C81128A" wp14:editId="25CAFE02">
            <wp:extent cx="1176115" cy="685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052" cy="686930"/>
                    </a:xfrm>
                    <a:prstGeom prst="rect">
                      <a:avLst/>
                    </a:prstGeom>
                    <a:noFill/>
                    <a:ln>
                      <a:noFill/>
                    </a:ln>
                  </pic:spPr>
                </pic:pic>
              </a:graphicData>
            </a:graphic>
          </wp:inline>
        </w:drawing>
      </w:r>
    </w:p>
    <w:p w14:paraId="3B3A0DD1" w14:textId="77777777" w:rsidR="00BD601D" w:rsidRPr="009D431C" w:rsidRDefault="00BD601D" w:rsidP="009D431C">
      <w:pPr>
        <w:jc w:val="center"/>
        <w:rPr>
          <w:b/>
          <w:bCs/>
          <w:noProof/>
          <w:sz w:val="24"/>
          <w:szCs w:val="24"/>
        </w:rPr>
      </w:pPr>
    </w:p>
    <w:p w14:paraId="6EF553A0" w14:textId="0C20FF0E" w:rsidR="00744C5B" w:rsidRPr="009D431C" w:rsidRDefault="005C362D" w:rsidP="009D431C">
      <w:pPr>
        <w:jc w:val="center"/>
        <w:rPr>
          <w:rFonts w:ascii="Arial" w:hAnsi="Arial" w:cs="Arial"/>
          <w:b/>
          <w:bCs/>
          <w:sz w:val="24"/>
          <w:szCs w:val="24"/>
          <w:u w:val="single"/>
        </w:rPr>
      </w:pPr>
      <w:r w:rsidRPr="009D431C">
        <w:rPr>
          <w:rFonts w:ascii="Arial" w:hAnsi="Arial" w:cs="Arial"/>
          <w:b/>
          <w:bCs/>
          <w:sz w:val="24"/>
          <w:szCs w:val="24"/>
          <w:u w:val="single"/>
        </w:rPr>
        <w:t xml:space="preserve">Q&amp;A </w:t>
      </w:r>
      <w:r w:rsidR="00DD30DF">
        <w:rPr>
          <w:rFonts w:ascii="Arial" w:hAnsi="Arial" w:cs="Arial"/>
          <w:b/>
          <w:bCs/>
          <w:sz w:val="24"/>
          <w:szCs w:val="24"/>
          <w:u w:val="single"/>
        </w:rPr>
        <w:t xml:space="preserve">for </w:t>
      </w:r>
      <w:r w:rsidR="00677038" w:rsidRPr="009D431C">
        <w:rPr>
          <w:rFonts w:ascii="Arial" w:hAnsi="Arial" w:cs="Arial"/>
          <w:b/>
          <w:bCs/>
          <w:sz w:val="24"/>
          <w:szCs w:val="24"/>
          <w:u w:val="single"/>
        </w:rPr>
        <w:t xml:space="preserve">Appropriate </w:t>
      </w:r>
      <w:r w:rsidR="00DD30DF">
        <w:rPr>
          <w:rFonts w:ascii="Arial" w:hAnsi="Arial" w:cs="Arial"/>
          <w:b/>
          <w:bCs/>
          <w:sz w:val="24"/>
          <w:szCs w:val="24"/>
          <w:u w:val="single"/>
        </w:rPr>
        <w:t>P</w:t>
      </w:r>
      <w:r w:rsidR="00677038" w:rsidRPr="009D431C">
        <w:rPr>
          <w:rFonts w:ascii="Arial" w:hAnsi="Arial" w:cs="Arial"/>
          <w:b/>
          <w:bCs/>
          <w:sz w:val="24"/>
          <w:szCs w:val="24"/>
          <w:u w:val="single"/>
        </w:rPr>
        <w:t>rescribing and</w:t>
      </w:r>
      <w:r w:rsidR="00744C5B" w:rsidRPr="009D431C">
        <w:rPr>
          <w:rFonts w:ascii="Arial" w:hAnsi="Arial" w:cs="Arial"/>
          <w:b/>
          <w:bCs/>
          <w:sz w:val="24"/>
          <w:szCs w:val="24"/>
          <w:u w:val="single"/>
        </w:rPr>
        <w:t xml:space="preserve"> </w:t>
      </w:r>
      <w:r w:rsidR="00DD30DF">
        <w:rPr>
          <w:rFonts w:ascii="Arial" w:hAnsi="Arial" w:cs="Arial"/>
          <w:b/>
          <w:bCs/>
          <w:sz w:val="24"/>
          <w:szCs w:val="24"/>
          <w:u w:val="single"/>
        </w:rPr>
        <w:t>D</w:t>
      </w:r>
      <w:r w:rsidR="00744C5B" w:rsidRPr="009D431C">
        <w:rPr>
          <w:rFonts w:ascii="Arial" w:hAnsi="Arial" w:cs="Arial"/>
          <w:b/>
          <w:bCs/>
          <w:sz w:val="24"/>
          <w:szCs w:val="24"/>
          <w:u w:val="single"/>
        </w:rPr>
        <w:t xml:space="preserve">eprescribing </w:t>
      </w:r>
      <w:r w:rsidR="00DD30DF">
        <w:rPr>
          <w:rFonts w:ascii="Arial" w:hAnsi="Arial" w:cs="Arial"/>
          <w:b/>
          <w:bCs/>
          <w:sz w:val="24"/>
          <w:szCs w:val="24"/>
          <w:u w:val="single"/>
        </w:rPr>
        <w:t>o</w:t>
      </w:r>
      <w:r w:rsidR="00744C5B" w:rsidRPr="009D431C">
        <w:rPr>
          <w:rFonts w:ascii="Arial" w:hAnsi="Arial" w:cs="Arial"/>
          <w:b/>
          <w:bCs/>
          <w:sz w:val="24"/>
          <w:szCs w:val="24"/>
          <w:u w:val="single"/>
        </w:rPr>
        <w:t xml:space="preserve">f Proton Pump </w:t>
      </w:r>
      <w:r w:rsidR="00DD30DF">
        <w:rPr>
          <w:rFonts w:ascii="Arial" w:hAnsi="Arial" w:cs="Arial"/>
          <w:b/>
          <w:bCs/>
          <w:sz w:val="24"/>
          <w:szCs w:val="24"/>
          <w:u w:val="single"/>
        </w:rPr>
        <w:t>I</w:t>
      </w:r>
      <w:r w:rsidR="00744C5B" w:rsidRPr="009D431C">
        <w:rPr>
          <w:rFonts w:ascii="Arial" w:hAnsi="Arial" w:cs="Arial"/>
          <w:b/>
          <w:bCs/>
          <w:sz w:val="24"/>
          <w:szCs w:val="24"/>
          <w:u w:val="single"/>
        </w:rPr>
        <w:t>nhibitors (PPIs)</w:t>
      </w:r>
    </w:p>
    <w:p w14:paraId="3AEF49B0" w14:textId="77777777" w:rsidR="00482903" w:rsidRPr="009D431C" w:rsidRDefault="00482903" w:rsidP="00482903">
      <w:pPr>
        <w:rPr>
          <w:rFonts w:ascii="Arial" w:hAnsi="Arial" w:cs="Arial"/>
          <w:b/>
          <w:bCs/>
          <w:sz w:val="28"/>
          <w:szCs w:val="28"/>
        </w:rPr>
      </w:pPr>
    </w:p>
    <w:p w14:paraId="22210D72" w14:textId="3F6A84C4" w:rsidR="001D4DBE" w:rsidRPr="009D431C" w:rsidRDefault="00D84168" w:rsidP="009A6641">
      <w:pPr>
        <w:pBdr>
          <w:top w:val="single" w:sz="4" w:space="1" w:color="auto"/>
          <w:left w:val="single" w:sz="4" w:space="4" w:color="auto"/>
          <w:bottom w:val="single" w:sz="4" w:space="1" w:color="auto"/>
          <w:right w:val="single" w:sz="4" w:space="4" w:color="auto"/>
        </w:pBdr>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677038"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does the GP Enhanced Care Framework (ECF) include relating to PPIs in 25/26</w:t>
      </w:r>
      <w:r w:rsidR="00E435E5"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CEBD8A4" w14:textId="07BFE1C1" w:rsidR="001D4DBE" w:rsidRPr="009D431C" w:rsidRDefault="001D4DBE" w:rsidP="001D4DBE">
      <w:pPr>
        <w:rPr>
          <w:rFonts w:ascii="Arial" w:hAnsi="Arial" w:cs="Arial"/>
          <w:b/>
          <w:bCs/>
        </w:rPr>
      </w:pPr>
      <w:r w:rsidRPr="009D431C">
        <w:rPr>
          <w:rFonts w:ascii="Arial" w:hAnsi="Arial" w:cs="Arial"/>
          <w:b/>
          <w:bCs/>
        </w:rPr>
        <w:t xml:space="preserve">Section </w:t>
      </w:r>
      <w:r w:rsidR="00B40D7E" w:rsidRPr="009D431C">
        <w:rPr>
          <w:rFonts w:ascii="Arial" w:hAnsi="Arial" w:cs="Arial"/>
          <w:b/>
          <w:bCs/>
        </w:rPr>
        <w:t>A2.1</w:t>
      </w:r>
      <w:r w:rsidRPr="009D431C">
        <w:rPr>
          <w:rFonts w:ascii="Arial" w:hAnsi="Arial" w:cs="Arial"/>
          <w:b/>
          <w:bCs/>
        </w:rPr>
        <w:t xml:space="preserve">B Clinical </w:t>
      </w:r>
      <w:r w:rsidR="009A6641" w:rsidRPr="009D431C">
        <w:rPr>
          <w:rFonts w:ascii="Arial" w:hAnsi="Arial" w:cs="Arial"/>
          <w:b/>
          <w:bCs/>
        </w:rPr>
        <w:t>Transformation</w:t>
      </w:r>
      <w:r w:rsidRPr="009D431C">
        <w:rPr>
          <w:rFonts w:ascii="Arial" w:hAnsi="Arial" w:cs="Arial"/>
          <w:b/>
          <w:bCs/>
        </w:rPr>
        <w:t>-Reducing over-prescribing:</w:t>
      </w:r>
    </w:p>
    <w:p w14:paraId="205417B0" w14:textId="47799C04" w:rsidR="001D4DBE" w:rsidRPr="009D431C" w:rsidRDefault="00D84168" w:rsidP="001D4DBE">
      <w:pPr>
        <w:rPr>
          <w:rFonts w:ascii="Arial" w:hAnsi="Arial" w:cs="Arial"/>
          <w:bCs/>
        </w:rPr>
      </w:pPr>
      <w:r w:rsidRPr="009D431C">
        <w:rPr>
          <w:rFonts w:ascii="Arial" w:hAnsi="Arial" w:cs="Arial"/>
          <w:b/>
        </w:rPr>
        <w:t>A</w:t>
      </w:r>
      <w:r w:rsidRPr="009D431C">
        <w:rPr>
          <w:rFonts w:ascii="Arial" w:hAnsi="Arial" w:cs="Arial"/>
          <w:bCs/>
        </w:rPr>
        <w:t>: To</w:t>
      </w:r>
      <w:r w:rsidR="001D4DBE" w:rsidRPr="009D431C">
        <w:rPr>
          <w:rFonts w:ascii="Arial" w:hAnsi="Arial" w:cs="Arial"/>
          <w:bCs/>
        </w:rPr>
        <w:t xml:space="preserve"> help mitigate the risk of prolonged prescribing of </w:t>
      </w:r>
      <w:r w:rsidR="00803F3A" w:rsidRPr="009D431C">
        <w:rPr>
          <w:rFonts w:ascii="Arial" w:hAnsi="Arial" w:cs="Arial"/>
          <w:bCs/>
        </w:rPr>
        <w:t>PPIs</w:t>
      </w:r>
      <w:r w:rsidR="00F24AFC" w:rsidRPr="009D431C">
        <w:rPr>
          <w:rFonts w:ascii="Arial" w:hAnsi="Arial" w:cs="Arial"/>
          <w:bCs/>
        </w:rPr>
        <w:t xml:space="preserve">, </w:t>
      </w:r>
      <w:r w:rsidR="001D4DBE" w:rsidRPr="009D431C">
        <w:rPr>
          <w:rFonts w:ascii="Arial" w:hAnsi="Arial" w:cs="Arial"/>
          <w:bCs/>
        </w:rPr>
        <w:t xml:space="preserve">practices will </w:t>
      </w:r>
      <w:r w:rsidR="001D4DBE" w:rsidRPr="009D431C">
        <w:rPr>
          <w:rFonts w:ascii="Arial" w:hAnsi="Arial" w:cs="Arial"/>
        </w:rPr>
        <w:t>work with the medicines optimisation team to adopt a shared approach for initiating, reviewing and deprescribing PPIs, in line with national guidance. Practices should implement strategies to reduce the risk of unintentional prolonged prescribing of PPIs by setting clear guidelines on initiation, establishing agreed durations for prescribing</w:t>
      </w:r>
      <w:r w:rsidR="001420DA" w:rsidRPr="009D431C">
        <w:rPr>
          <w:rFonts w:ascii="Arial" w:hAnsi="Arial" w:cs="Arial"/>
        </w:rPr>
        <w:t xml:space="preserve"> and review</w:t>
      </w:r>
      <w:r w:rsidR="001D4DBE" w:rsidRPr="009D431C">
        <w:rPr>
          <w:rFonts w:ascii="Arial" w:hAnsi="Arial" w:cs="Arial"/>
        </w:rPr>
        <w:t xml:space="preserve">, and specifying when and how to discontinue use. Each practice or PCN’s nominated </w:t>
      </w:r>
      <w:r w:rsidR="003D58D2" w:rsidRPr="009D431C">
        <w:rPr>
          <w:rFonts w:ascii="Arial" w:hAnsi="Arial" w:cs="Arial"/>
        </w:rPr>
        <w:t>‘</w:t>
      </w:r>
      <w:r w:rsidR="00DD30DF">
        <w:rPr>
          <w:rFonts w:ascii="Arial" w:hAnsi="Arial" w:cs="Arial"/>
        </w:rPr>
        <w:t>r</w:t>
      </w:r>
      <w:r w:rsidR="005818D7" w:rsidRPr="009D431C">
        <w:rPr>
          <w:rFonts w:ascii="Arial" w:hAnsi="Arial" w:cs="Arial"/>
        </w:rPr>
        <w:t xml:space="preserve">educing </w:t>
      </w:r>
      <w:r w:rsidR="003D58D2" w:rsidRPr="009D431C">
        <w:rPr>
          <w:rFonts w:ascii="Arial" w:hAnsi="Arial" w:cs="Arial"/>
        </w:rPr>
        <w:t>h</w:t>
      </w:r>
      <w:r w:rsidR="005818D7" w:rsidRPr="009D431C">
        <w:rPr>
          <w:rFonts w:ascii="Arial" w:hAnsi="Arial" w:cs="Arial"/>
        </w:rPr>
        <w:t>arm</w:t>
      </w:r>
      <w:r w:rsidR="001D4DBE" w:rsidRPr="009D431C">
        <w:rPr>
          <w:rFonts w:ascii="Arial" w:hAnsi="Arial" w:cs="Arial"/>
        </w:rPr>
        <w:t xml:space="preserve"> </w:t>
      </w:r>
      <w:r w:rsidR="003D58D2" w:rsidRPr="009D431C">
        <w:rPr>
          <w:rFonts w:ascii="Arial" w:hAnsi="Arial" w:cs="Arial"/>
        </w:rPr>
        <w:t>from medicines’ (RHM) c</w:t>
      </w:r>
      <w:r w:rsidR="001D4DBE" w:rsidRPr="009D431C">
        <w:rPr>
          <w:rFonts w:ascii="Arial" w:hAnsi="Arial" w:cs="Arial"/>
        </w:rPr>
        <w:t>hampion</w:t>
      </w:r>
      <w:r w:rsidR="003D58D2" w:rsidRPr="009D431C">
        <w:rPr>
          <w:rFonts w:ascii="Arial" w:hAnsi="Arial" w:cs="Arial"/>
        </w:rPr>
        <w:t xml:space="preserve"> </w:t>
      </w:r>
      <w:r w:rsidR="001D4DBE" w:rsidRPr="009D431C">
        <w:rPr>
          <w:rFonts w:ascii="Arial" w:hAnsi="Arial" w:cs="Arial"/>
        </w:rPr>
        <w:t>will lead these initiatives, utilising locally approved deprescribing resources.</w:t>
      </w:r>
    </w:p>
    <w:p w14:paraId="3FD2F85D" w14:textId="77777777" w:rsidR="00744185" w:rsidRPr="009D431C" w:rsidRDefault="00744185" w:rsidP="001D4DBE">
      <w:pPr>
        <w:rPr>
          <w:rFonts w:ascii="Arial" w:hAnsi="Arial" w:cs="Arial"/>
          <w:bCs/>
        </w:rPr>
      </w:pPr>
    </w:p>
    <w:p w14:paraId="7830A5A7" w14:textId="425C8BB5" w:rsidR="00744C5B" w:rsidRPr="009D431C" w:rsidRDefault="00D84168" w:rsidP="009A6641">
      <w:pPr>
        <w:pBdr>
          <w:top w:val="single" w:sz="4" w:space="1" w:color="auto"/>
          <w:left w:val="single" w:sz="4" w:space="4" w:color="auto"/>
          <w:bottom w:val="single" w:sz="4" w:space="1" w:color="auto"/>
          <w:right w:val="single" w:sz="4" w:space="4" w:color="auto"/>
        </w:pBdr>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744C5B"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has this been included in the ECF 25/26 workstream?</w:t>
      </w:r>
    </w:p>
    <w:p w14:paraId="477001EC" w14:textId="1BA6EE63" w:rsidR="00803F3A" w:rsidRPr="009D431C" w:rsidRDefault="008E3493" w:rsidP="00744C5B">
      <w:pPr>
        <w:rPr>
          <w:rFonts w:ascii="Arial" w:hAnsi="Arial" w:cs="Arial"/>
        </w:rPr>
      </w:pPr>
      <w:r w:rsidRPr="009D431C">
        <w:rPr>
          <w:rFonts w:ascii="Arial" w:hAnsi="Arial" w:cs="Arial"/>
          <w:b/>
          <w:bCs/>
        </w:rPr>
        <w:t>A:</w:t>
      </w:r>
      <w:r w:rsidRPr="009D431C">
        <w:rPr>
          <w:rFonts w:ascii="Arial" w:hAnsi="Arial" w:cs="Arial"/>
        </w:rPr>
        <w:t xml:space="preserve"> </w:t>
      </w:r>
      <w:r w:rsidR="00803F3A" w:rsidRPr="009D431C">
        <w:rPr>
          <w:rFonts w:ascii="Arial" w:hAnsi="Arial" w:cs="Arial"/>
        </w:rPr>
        <w:t xml:space="preserve">The UK has </w:t>
      </w:r>
      <w:r w:rsidR="00975F0D" w:rsidRPr="009D431C">
        <w:rPr>
          <w:rFonts w:ascii="Arial" w:hAnsi="Arial" w:cs="Arial"/>
        </w:rPr>
        <w:t>witnessed</w:t>
      </w:r>
      <w:r w:rsidR="00803F3A" w:rsidRPr="009D431C">
        <w:rPr>
          <w:rFonts w:ascii="Arial" w:hAnsi="Arial" w:cs="Arial"/>
        </w:rPr>
        <w:t xml:space="preserve"> a continuous rise in the number of PPI items dispensed, with more than 73 million dispensed during 2022-23 in England alone, at a total cost of over 192 million GBP.</w:t>
      </w:r>
    </w:p>
    <w:p w14:paraId="1F5D51D0" w14:textId="14D66DE1" w:rsidR="00B25BB9" w:rsidRPr="009D431C" w:rsidRDefault="001D4DBE" w:rsidP="00744C5B">
      <w:pPr>
        <w:rPr>
          <w:rFonts w:ascii="Arial" w:hAnsi="Arial" w:cs="Arial"/>
        </w:rPr>
      </w:pPr>
      <w:r w:rsidRPr="009D431C">
        <w:rPr>
          <w:rFonts w:ascii="Arial" w:hAnsi="Arial" w:cs="Arial"/>
        </w:rPr>
        <w:t>There are growing concerns about long</w:t>
      </w:r>
      <w:r w:rsidR="006B040F" w:rsidRPr="009D431C">
        <w:rPr>
          <w:rFonts w:ascii="Arial" w:hAnsi="Arial" w:cs="Arial"/>
        </w:rPr>
        <w:t>-</w:t>
      </w:r>
      <w:r w:rsidRPr="009D431C">
        <w:rPr>
          <w:rFonts w:ascii="Arial" w:hAnsi="Arial" w:cs="Arial"/>
        </w:rPr>
        <w:t xml:space="preserve">term treatment with PPIs. In recent years, observational studies have indicated </w:t>
      </w:r>
      <w:r w:rsidR="00677038" w:rsidRPr="009D431C">
        <w:rPr>
          <w:rFonts w:ascii="Arial" w:hAnsi="Arial" w:cs="Arial"/>
        </w:rPr>
        <w:t xml:space="preserve">an </w:t>
      </w:r>
      <w:r w:rsidRPr="009D431C">
        <w:rPr>
          <w:rFonts w:ascii="Arial" w:hAnsi="Arial" w:cs="Arial"/>
        </w:rPr>
        <w:t xml:space="preserve">association with a variety of serious adverse effects </w:t>
      </w:r>
      <w:r w:rsidR="00677038" w:rsidRPr="009D431C">
        <w:rPr>
          <w:rFonts w:ascii="Arial" w:hAnsi="Arial" w:cs="Arial"/>
        </w:rPr>
        <w:t xml:space="preserve">caused by </w:t>
      </w:r>
      <w:r w:rsidRPr="009D431C">
        <w:rPr>
          <w:rFonts w:ascii="Arial" w:hAnsi="Arial" w:cs="Arial"/>
        </w:rPr>
        <w:t>long</w:t>
      </w:r>
      <w:r w:rsidR="006B040F" w:rsidRPr="009D431C">
        <w:rPr>
          <w:rFonts w:ascii="Arial" w:hAnsi="Arial" w:cs="Arial"/>
        </w:rPr>
        <w:t>-</w:t>
      </w:r>
      <w:r w:rsidRPr="009D431C">
        <w:rPr>
          <w:rFonts w:ascii="Arial" w:hAnsi="Arial" w:cs="Arial"/>
        </w:rPr>
        <w:t>term PPI use</w:t>
      </w:r>
      <w:r w:rsidR="00744185" w:rsidRPr="009D431C">
        <w:rPr>
          <w:rFonts w:ascii="Arial" w:hAnsi="Arial" w:cs="Arial"/>
        </w:rPr>
        <w:t xml:space="preserve">. </w:t>
      </w:r>
      <w:r w:rsidR="00B25BB9" w:rsidRPr="009D431C">
        <w:rPr>
          <w:rFonts w:ascii="Arial" w:hAnsi="Arial" w:cs="Arial"/>
        </w:rPr>
        <w:t xml:space="preserve"> </w:t>
      </w:r>
    </w:p>
    <w:p w14:paraId="63628C78" w14:textId="33595CF8" w:rsidR="006A7C7E" w:rsidRPr="009D431C" w:rsidRDefault="00B25BB9" w:rsidP="00744C5B">
      <w:pPr>
        <w:rPr>
          <w:rFonts w:ascii="Arial" w:hAnsi="Arial" w:cs="Arial"/>
        </w:rPr>
      </w:pPr>
      <w:r w:rsidRPr="009D431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Risks of PPIs </w:t>
      </w:r>
      <w:r w:rsidRPr="009D431C">
        <w:rPr>
          <w:rFonts w:ascii="Arial" w:hAnsi="Arial" w:cs="Arial"/>
        </w:rPr>
        <w:t xml:space="preserve">if used long-term: increased fractures; </w:t>
      </w:r>
      <w:r w:rsidRPr="009D431C">
        <w:rPr>
          <w:rFonts w:ascii="Arial" w:hAnsi="Arial" w:cs="Arial"/>
          <w:i/>
          <w:iCs/>
        </w:rPr>
        <w:t>C difficile</w:t>
      </w:r>
      <w:r w:rsidRPr="009D431C">
        <w:rPr>
          <w:rFonts w:ascii="Arial" w:hAnsi="Arial" w:cs="Arial"/>
        </w:rPr>
        <w:t xml:space="preserve"> infections; diarrhoea; community acquired pneumonia; vitamin B12 deficiency; hypomagnesaemia; dementia; acute interstitial nephritis and chronic kidney disease.</w:t>
      </w:r>
      <w:r w:rsidR="00D84168" w:rsidRPr="009D431C">
        <w:rPr>
          <w:rFonts w:ascii="Arial" w:hAnsi="Arial" w:cs="Arial"/>
        </w:rPr>
        <w:t xml:space="preserve"> </w:t>
      </w:r>
      <w:r w:rsidR="006A7C7E" w:rsidRPr="009D431C">
        <w:rPr>
          <w:rFonts w:ascii="Arial" w:hAnsi="Arial" w:cs="Arial"/>
        </w:rPr>
        <w:t xml:space="preserve">Omeprazole, </w:t>
      </w:r>
      <w:r w:rsidR="005B30BC" w:rsidRPr="009D431C">
        <w:rPr>
          <w:rFonts w:ascii="Arial" w:hAnsi="Arial" w:cs="Arial"/>
        </w:rPr>
        <w:t>l</w:t>
      </w:r>
      <w:r w:rsidR="006A7C7E" w:rsidRPr="009D431C">
        <w:rPr>
          <w:rFonts w:ascii="Arial" w:hAnsi="Arial" w:cs="Arial"/>
        </w:rPr>
        <w:t xml:space="preserve">ansoprazole and </w:t>
      </w:r>
      <w:r w:rsidR="005B30BC" w:rsidRPr="009D431C">
        <w:rPr>
          <w:rFonts w:ascii="Arial" w:hAnsi="Arial" w:cs="Arial"/>
        </w:rPr>
        <w:t>p</w:t>
      </w:r>
      <w:r w:rsidR="006A7C7E" w:rsidRPr="009D431C">
        <w:rPr>
          <w:rFonts w:ascii="Arial" w:hAnsi="Arial" w:cs="Arial"/>
        </w:rPr>
        <w:t xml:space="preserve">antoprazole also have </w:t>
      </w:r>
      <w:r w:rsidR="00677038" w:rsidRPr="009D431C">
        <w:rPr>
          <w:rFonts w:ascii="Arial" w:hAnsi="Arial" w:cs="Arial"/>
        </w:rPr>
        <w:t>a</w:t>
      </w:r>
      <w:r w:rsidR="009A6641" w:rsidRPr="009D431C">
        <w:rPr>
          <w:rFonts w:ascii="Arial" w:hAnsi="Arial" w:cs="Arial"/>
        </w:rPr>
        <w:t>nticholinergic</w:t>
      </w:r>
      <w:r w:rsidR="006A7C7E" w:rsidRPr="009D431C">
        <w:rPr>
          <w:rFonts w:ascii="Arial" w:hAnsi="Arial" w:cs="Arial"/>
        </w:rPr>
        <w:t xml:space="preserve"> properties </w:t>
      </w:r>
      <w:r w:rsidR="00E73756" w:rsidRPr="009D431C">
        <w:rPr>
          <w:rFonts w:ascii="Arial" w:hAnsi="Arial" w:cs="Arial"/>
        </w:rPr>
        <w:t>with a</w:t>
      </w:r>
      <w:r w:rsidR="006A7C7E" w:rsidRPr="009D431C">
        <w:rPr>
          <w:rFonts w:ascii="Arial" w:hAnsi="Arial" w:cs="Arial"/>
        </w:rPr>
        <w:t xml:space="preserve"> score </w:t>
      </w:r>
      <w:r w:rsidR="00677038" w:rsidRPr="009D431C">
        <w:rPr>
          <w:rFonts w:ascii="Arial" w:hAnsi="Arial" w:cs="Arial"/>
        </w:rPr>
        <w:t xml:space="preserve">of </w:t>
      </w:r>
      <w:r w:rsidR="000010CC" w:rsidRPr="009D431C">
        <w:rPr>
          <w:rFonts w:ascii="Arial" w:hAnsi="Arial" w:cs="Arial"/>
        </w:rPr>
        <w:t>ONE</w:t>
      </w:r>
      <w:r w:rsidR="006A7C7E" w:rsidRPr="009D431C">
        <w:rPr>
          <w:rFonts w:ascii="Arial" w:hAnsi="Arial" w:cs="Arial"/>
        </w:rPr>
        <w:t xml:space="preserve"> on the </w:t>
      </w:r>
      <w:hyperlink r:id="rId13" w:history="1">
        <w:r w:rsidR="006A7C7E" w:rsidRPr="009D431C">
          <w:rPr>
            <w:rStyle w:val="Hyperlink"/>
            <w:rFonts w:ascii="Arial" w:hAnsi="Arial" w:cs="Arial"/>
            <w:color w:val="0000FF"/>
          </w:rPr>
          <w:t>ACB calculator</w:t>
        </w:r>
      </w:hyperlink>
      <w:r w:rsidR="009A6641" w:rsidRPr="009D431C">
        <w:rPr>
          <w:rFonts w:ascii="Arial" w:hAnsi="Arial" w:cs="Arial"/>
          <w:color w:val="0000FF"/>
        </w:rPr>
        <w:t>.</w:t>
      </w:r>
    </w:p>
    <w:p w14:paraId="7F7284D7" w14:textId="684F3968" w:rsidR="00744185" w:rsidRPr="009D431C" w:rsidRDefault="001D4DBE" w:rsidP="00744C5B">
      <w:pPr>
        <w:rPr>
          <w:rFonts w:ascii="Arial" w:hAnsi="Arial" w:cs="Arial"/>
        </w:rPr>
      </w:pPr>
      <w:r w:rsidRPr="009D431C">
        <w:rPr>
          <w:rFonts w:ascii="Arial" w:hAnsi="Arial" w:cs="Arial"/>
        </w:rPr>
        <w:t xml:space="preserve">There may be indications where the benefits of </w:t>
      </w:r>
      <w:r w:rsidR="00727F54" w:rsidRPr="009D431C">
        <w:rPr>
          <w:rFonts w:ascii="Arial" w:hAnsi="Arial" w:cs="Arial"/>
        </w:rPr>
        <w:t>long-term</w:t>
      </w:r>
      <w:r w:rsidRPr="009D431C">
        <w:rPr>
          <w:rFonts w:ascii="Arial" w:hAnsi="Arial" w:cs="Arial"/>
        </w:rPr>
        <w:t xml:space="preserve"> PPI use outweigh the risks</w:t>
      </w:r>
      <w:r w:rsidR="00677038" w:rsidRPr="009D431C">
        <w:rPr>
          <w:rFonts w:ascii="Arial" w:hAnsi="Arial" w:cs="Arial"/>
        </w:rPr>
        <w:t>.  Patients should be</w:t>
      </w:r>
      <w:r w:rsidRPr="009D431C">
        <w:rPr>
          <w:rFonts w:ascii="Arial" w:hAnsi="Arial" w:cs="Arial"/>
        </w:rPr>
        <w:t xml:space="preserve"> assess</w:t>
      </w:r>
      <w:r w:rsidR="00677038" w:rsidRPr="009D431C">
        <w:rPr>
          <w:rFonts w:ascii="Arial" w:hAnsi="Arial" w:cs="Arial"/>
        </w:rPr>
        <w:t>ed</w:t>
      </w:r>
      <w:r w:rsidRPr="009D431C">
        <w:rPr>
          <w:rFonts w:ascii="Arial" w:hAnsi="Arial" w:cs="Arial"/>
        </w:rPr>
        <w:t xml:space="preserve"> on an individual basis. However, </w:t>
      </w:r>
      <w:r w:rsidRPr="009D431C">
        <w:rPr>
          <w:rFonts w:ascii="Arial" w:hAnsi="Arial" w:cs="Arial"/>
          <w:b/>
        </w:rPr>
        <w:t>reviewing and reducing therapy</w:t>
      </w:r>
      <w:r w:rsidRPr="009D431C">
        <w:rPr>
          <w:rFonts w:ascii="Arial" w:hAnsi="Arial" w:cs="Arial"/>
        </w:rPr>
        <w:t xml:space="preserve"> will </w:t>
      </w:r>
      <w:r w:rsidR="00DD49C5" w:rsidRPr="009D431C">
        <w:rPr>
          <w:rFonts w:ascii="Arial" w:hAnsi="Arial" w:cs="Arial"/>
        </w:rPr>
        <w:t xml:space="preserve">reduce risks associated with inappropriate long-term prescribing, improve patient safety and reduce unnecessary costs associated with PPI prescribing. </w:t>
      </w:r>
    </w:p>
    <w:p w14:paraId="3DB06AA6" w14:textId="1B2117AB" w:rsidR="009A6641" w:rsidRPr="009D431C" w:rsidRDefault="00C532D8" w:rsidP="00744C5B">
      <w:pPr>
        <w:rPr>
          <w:rFonts w:ascii="Arial" w:hAnsi="Arial" w:cs="Arial"/>
          <w:b/>
          <w:bCs/>
          <w:color w:val="FF0000"/>
          <w:sz w:val="20"/>
          <w:szCs w:val="20"/>
        </w:rPr>
      </w:pPr>
      <w:hyperlink r:id="rId14" w:history="1">
        <w:r w:rsidR="00B25BB9" w:rsidRPr="009D431C">
          <w:rPr>
            <w:rStyle w:val="Hyperlink"/>
            <w:rFonts w:ascii="Arial" w:hAnsi="Arial" w:cs="Arial"/>
            <w:color w:val="0000FF"/>
          </w:rPr>
          <w:t>Open</w:t>
        </w:r>
        <w:r w:rsidR="00677038" w:rsidRPr="009D431C">
          <w:rPr>
            <w:rStyle w:val="Hyperlink"/>
            <w:rFonts w:ascii="Arial" w:hAnsi="Arial" w:cs="Arial"/>
            <w:color w:val="0000FF"/>
          </w:rPr>
          <w:t>P</w:t>
        </w:r>
        <w:r w:rsidR="00B25BB9" w:rsidRPr="009D431C">
          <w:rPr>
            <w:rStyle w:val="Hyperlink"/>
            <w:rFonts w:ascii="Arial" w:hAnsi="Arial" w:cs="Arial"/>
            <w:color w:val="0000FF"/>
          </w:rPr>
          <w:t>rescribing</w:t>
        </w:r>
      </w:hyperlink>
      <w:r w:rsidR="00B25BB9" w:rsidRPr="009D431C">
        <w:rPr>
          <w:rFonts w:ascii="Arial" w:hAnsi="Arial" w:cs="Arial"/>
        </w:rPr>
        <w:t xml:space="preserve"> show</w:t>
      </w:r>
      <w:r w:rsidR="00744185" w:rsidRPr="009D431C">
        <w:rPr>
          <w:rFonts w:ascii="Arial" w:hAnsi="Arial" w:cs="Arial"/>
        </w:rPr>
        <w:t>s</w:t>
      </w:r>
      <w:r w:rsidR="00B25BB9" w:rsidRPr="009D431C">
        <w:rPr>
          <w:rFonts w:ascii="Arial" w:hAnsi="Arial" w:cs="Arial"/>
        </w:rPr>
        <w:t xml:space="preserve"> </w:t>
      </w:r>
      <w:r w:rsidR="00677038" w:rsidRPr="009D431C">
        <w:rPr>
          <w:rFonts w:ascii="Arial" w:hAnsi="Arial" w:cs="Arial"/>
        </w:rPr>
        <w:t xml:space="preserve">that Hertfordshire and </w:t>
      </w:r>
      <w:r w:rsidR="00B25BB9" w:rsidRPr="009D431C">
        <w:rPr>
          <w:rFonts w:ascii="Arial" w:hAnsi="Arial" w:cs="Arial"/>
        </w:rPr>
        <w:t>W</w:t>
      </w:r>
      <w:r w:rsidR="00677038" w:rsidRPr="009D431C">
        <w:rPr>
          <w:rFonts w:ascii="Arial" w:hAnsi="Arial" w:cs="Arial"/>
        </w:rPr>
        <w:t xml:space="preserve">est </w:t>
      </w:r>
      <w:r w:rsidR="00B25BB9" w:rsidRPr="009D431C">
        <w:rPr>
          <w:rFonts w:ascii="Arial" w:hAnsi="Arial" w:cs="Arial"/>
        </w:rPr>
        <w:t>E</w:t>
      </w:r>
      <w:r w:rsidR="00677038" w:rsidRPr="009D431C">
        <w:rPr>
          <w:rFonts w:ascii="Arial" w:hAnsi="Arial" w:cs="Arial"/>
        </w:rPr>
        <w:t>ssex</w:t>
      </w:r>
      <w:r w:rsidR="00B25BB9" w:rsidRPr="009D431C">
        <w:rPr>
          <w:rFonts w:ascii="Arial" w:hAnsi="Arial" w:cs="Arial"/>
        </w:rPr>
        <w:t xml:space="preserve"> ICB </w:t>
      </w:r>
      <w:r w:rsidR="00677038" w:rsidRPr="009D431C">
        <w:rPr>
          <w:rFonts w:ascii="Arial" w:hAnsi="Arial" w:cs="Arial"/>
        </w:rPr>
        <w:t>is one of</w:t>
      </w:r>
      <w:r w:rsidR="00B25BB9" w:rsidRPr="009D431C">
        <w:rPr>
          <w:rFonts w:ascii="Arial" w:hAnsi="Arial" w:cs="Arial"/>
        </w:rPr>
        <w:t xml:space="preserve"> the highest prescribers of </w:t>
      </w:r>
      <w:r w:rsidR="00B25BB9" w:rsidRPr="009D431C">
        <w:rPr>
          <w:rFonts w:ascii="Arial" w:hAnsi="Arial" w:cs="Arial"/>
          <w:u w:val="single"/>
        </w:rPr>
        <w:t>high</w:t>
      </w:r>
      <w:r w:rsidR="00677038" w:rsidRPr="009D431C">
        <w:rPr>
          <w:rFonts w:ascii="Arial" w:hAnsi="Arial" w:cs="Arial"/>
          <w:u w:val="single"/>
        </w:rPr>
        <w:t>er</w:t>
      </w:r>
      <w:r w:rsidR="00B25BB9" w:rsidRPr="009D431C">
        <w:rPr>
          <w:rFonts w:ascii="Arial" w:hAnsi="Arial" w:cs="Arial"/>
          <w:u w:val="single"/>
        </w:rPr>
        <w:t xml:space="preserve"> dose</w:t>
      </w:r>
      <w:r w:rsidR="00B25BB9" w:rsidRPr="009D431C">
        <w:rPr>
          <w:rFonts w:ascii="Arial" w:hAnsi="Arial" w:cs="Arial"/>
        </w:rPr>
        <w:t xml:space="preserve"> </w:t>
      </w:r>
      <w:r w:rsidR="00677038" w:rsidRPr="009D431C">
        <w:rPr>
          <w:rFonts w:ascii="Arial" w:hAnsi="Arial" w:cs="Arial"/>
        </w:rPr>
        <w:t>PPIs</w:t>
      </w:r>
      <w:r w:rsidR="00B25BB9" w:rsidRPr="009D431C">
        <w:rPr>
          <w:rFonts w:ascii="Arial" w:hAnsi="Arial" w:cs="Arial"/>
        </w:rPr>
        <w:t xml:space="preserve"> compared with prescribing of all PPIs (excluding liquids)</w:t>
      </w:r>
      <w:r w:rsidR="009A6641" w:rsidRPr="009D431C">
        <w:rPr>
          <w:rFonts w:ascii="Arial" w:hAnsi="Arial" w:cs="Arial"/>
        </w:rPr>
        <w:t>.</w:t>
      </w:r>
      <w:r w:rsidR="009A6641" w:rsidRPr="009D431C">
        <w:rPr>
          <w:rFonts w:ascii="Arial" w:hAnsi="Arial" w:cs="Arial"/>
          <w:b/>
          <w:bCs/>
          <w:color w:val="FF0000"/>
          <w:sz w:val="20"/>
          <w:szCs w:val="20"/>
        </w:rPr>
        <w:t xml:space="preserve"> </w:t>
      </w:r>
    </w:p>
    <w:p w14:paraId="0E7F8AE9" w14:textId="77777777" w:rsidR="00A02EDE" w:rsidRPr="009D431C" w:rsidRDefault="00A02EDE" w:rsidP="00744C5B">
      <w:pPr>
        <w:rPr>
          <w:rFonts w:ascii="Arial" w:hAnsi="Arial" w:cs="Arial"/>
          <w:b/>
          <w:bCs/>
          <w:color w:val="FF0000"/>
          <w:sz w:val="20"/>
          <w:szCs w:val="20"/>
        </w:rPr>
      </w:pPr>
    </w:p>
    <w:p w14:paraId="0F1368B6" w14:textId="32C8D012" w:rsidR="00A02EDE" w:rsidRPr="009D431C" w:rsidRDefault="00E9766F" w:rsidP="00744C5B">
      <w:pPr>
        <w:rPr>
          <w:rFonts w:ascii="Arial" w:hAnsi="Arial" w:cs="Arial"/>
        </w:rPr>
      </w:pPr>
      <w:r w:rsidRPr="009D431C">
        <w:rPr>
          <w:rFonts w:ascii="Arial" w:hAnsi="Arial" w:cs="Arial"/>
          <w:noProof/>
        </w:rPr>
        <w:lastRenderedPageBreak/>
        <w:drawing>
          <wp:anchor distT="0" distB="0" distL="114300" distR="114300" simplePos="0" relativeHeight="251658240" behindDoc="1" locked="0" layoutInCell="1" allowOverlap="1" wp14:anchorId="5CE30B38" wp14:editId="488787D3">
            <wp:simplePos x="0" y="0"/>
            <wp:positionH relativeFrom="column">
              <wp:posOffset>0</wp:posOffset>
            </wp:positionH>
            <wp:positionV relativeFrom="paragraph">
              <wp:posOffset>0</wp:posOffset>
            </wp:positionV>
            <wp:extent cx="3246120" cy="2422478"/>
            <wp:effectExtent l="0" t="0" r="0" b="0"/>
            <wp:wrapTight wrapText="bothSides">
              <wp:wrapPolygon edited="0">
                <wp:start x="0" y="0"/>
                <wp:lineTo x="0" y="21407"/>
                <wp:lineTo x="21423" y="21407"/>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46120" cy="2422478"/>
                    </a:xfrm>
                    <a:prstGeom prst="rect">
                      <a:avLst/>
                    </a:prstGeom>
                  </pic:spPr>
                </pic:pic>
              </a:graphicData>
            </a:graphic>
          </wp:anchor>
        </w:drawing>
      </w:r>
    </w:p>
    <w:p w14:paraId="5AF2D4F8" w14:textId="58C70C56" w:rsidR="009A6641" w:rsidRPr="009D431C" w:rsidRDefault="00E71B1A">
      <w:pPr>
        <w:rPr>
          <w:rFonts w:ascii="Arial" w:hAnsi="Arial" w:cs="Arial"/>
          <w:b/>
          <w:bCs/>
          <w:color w:val="0000FF"/>
          <w:sz w:val="20"/>
          <w:szCs w:val="20"/>
        </w:rPr>
      </w:pPr>
      <w:r w:rsidRPr="009D431C">
        <w:rPr>
          <w:rFonts w:ascii="Arial" w:hAnsi="Arial" w:cs="Arial"/>
          <w:b/>
          <w:sz w:val="20"/>
          <w:szCs w:val="20"/>
        </w:rPr>
        <w:t>FEB 2025</w:t>
      </w:r>
      <w:r w:rsidR="009A6641" w:rsidRPr="009D431C">
        <w:rPr>
          <w:rFonts w:ascii="Arial" w:hAnsi="Arial" w:cs="Arial"/>
          <w:b/>
          <w:sz w:val="20"/>
          <w:szCs w:val="20"/>
        </w:rPr>
        <w:t xml:space="preserve"> - 83%</w:t>
      </w:r>
      <w:r w:rsidR="00EF7788" w:rsidRPr="009D431C">
        <w:rPr>
          <w:rFonts w:ascii="Arial" w:hAnsi="Arial" w:cs="Arial"/>
          <w:b/>
          <w:sz w:val="20"/>
          <w:szCs w:val="20"/>
        </w:rPr>
        <w:t xml:space="preserve"> </w:t>
      </w:r>
      <w:r w:rsidR="00007711" w:rsidRPr="009D431C">
        <w:rPr>
          <w:rFonts w:ascii="Arial" w:hAnsi="Arial" w:cs="Arial"/>
          <w:b/>
          <w:sz w:val="20"/>
          <w:szCs w:val="20"/>
        </w:rPr>
        <w:t>(95</w:t>
      </w:r>
      <w:r w:rsidR="00007711" w:rsidRPr="009D431C">
        <w:rPr>
          <w:rFonts w:ascii="Arial" w:hAnsi="Arial" w:cs="Arial"/>
          <w:b/>
          <w:sz w:val="20"/>
          <w:szCs w:val="20"/>
          <w:vertAlign w:val="superscript"/>
        </w:rPr>
        <w:t>th</w:t>
      </w:r>
      <w:r w:rsidR="00007711" w:rsidRPr="009D431C">
        <w:rPr>
          <w:rFonts w:ascii="Arial" w:hAnsi="Arial" w:cs="Arial"/>
          <w:b/>
          <w:sz w:val="20"/>
          <w:szCs w:val="20"/>
        </w:rPr>
        <w:t xml:space="preserve"> </w:t>
      </w:r>
      <w:r w:rsidR="00FB46CE" w:rsidRPr="009D431C">
        <w:rPr>
          <w:rFonts w:ascii="Arial" w:hAnsi="Arial" w:cs="Arial"/>
          <w:b/>
          <w:sz w:val="20"/>
          <w:szCs w:val="20"/>
        </w:rPr>
        <w:t>percentile)</w:t>
      </w:r>
      <w:r w:rsidR="009A6641" w:rsidRPr="009D431C">
        <w:rPr>
          <w:rFonts w:ascii="Arial" w:hAnsi="Arial" w:cs="Arial"/>
          <w:b/>
          <w:sz w:val="20"/>
          <w:szCs w:val="20"/>
        </w:rPr>
        <w:t xml:space="preserve"> of all PPIs in HWE ICB (excluding liquids) are higher dose compared to lower doses defined in the</w:t>
      </w:r>
      <w:r w:rsidR="009A6641" w:rsidRPr="009D431C">
        <w:rPr>
          <w:rFonts w:ascii="Arial" w:hAnsi="Arial" w:cs="Arial"/>
          <w:b/>
          <w:bCs/>
          <w:color w:val="4472C4" w:themeColor="accent1"/>
          <w:sz w:val="20"/>
          <w:szCs w:val="20"/>
        </w:rPr>
        <w:t xml:space="preserve"> </w:t>
      </w:r>
      <w:hyperlink r:id="rId16">
        <w:r w:rsidR="009A6641" w:rsidRPr="009D431C">
          <w:rPr>
            <w:rStyle w:val="Hyperlink"/>
            <w:rFonts w:ascii="Arial" w:hAnsi="Arial" w:cs="Arial"/>
            <w:b/>
            <w:bCs/>
            <w:color w:val="0000FF"/>
            <w:sz w:val="20"/>
            <w:szCs w:val="20"/>
          </w:rPr>
          <w:t>NICE Guidance</w:t>
        </w:r>
      </w:hyperlink>
    </w:p>
    <w:p w14:paraId="0B61588E" w14:textId="77777777" w:rsidR="006A41E2" w:rsidRPr="009D431C" w:rsidRDefault="006A41E2">
      <w:pPr>
        <w:rPr>
          <w:rFonts w:ascii="Arial" w:hAnsi="Arial" w:cs="Arial"/>
        </w:rPr>
      </w:pPr>
    </w:p>
    <w:p w14:paraId="78EF88E2" w14:textId="7658F6BA" w:rsidR="006A41E2" w:rsidRPr="009D431C" w:rsidRDefault="006A41E2">
      <w:pPr>
        <w:rPr>
          <w:rFonts w:ascii="Arial" w:hAnsi="Arial" w:cs="Arial"/>
        </w:rPr>
      </w:pPr>
    </w:p>
    <w:p w14:paraId="33D4CCC7" w14:textId="77777777" w:rsidR="006A41E2" w:rsidRPr="009D431C" w:rsidRDefault="006A41E2">
      <w:pPr>
        <w:rPr>
          <w:rFonts w:ascii="Arial" w:hAnsi="Arial" w:cs="Arial"/>
        </w:rPr>
      </w:pPr>
    </w:p>
    <w:p w14:paraId="5043624A" w14:textId="77777777" w:rsidR="00144183" w:rsidRPr="009D431C" w:rsidRDefault="00144183">
      <w:pPr>
        <w:rPr>
          <w:rFonts w:ascii="Arial" w:hAnsi="Arial" w:cs="Arial"/>
        </w:rPr>
      </w:pPr>
    </w:p>
    <w:p w14:paraId="61F375EE" w14:textId="77777777" w:rsidR="00144183" w:rsidRPr="009D431C" w:rsidRDefault="00144183">
      <w:pPr>
        <w:rPr>
          <w:rFonts w:ascii="Arial" w:hAnsi="Arial" w:cs="Arial"/>
        </w:rPr>
      </w:pPr>
    </w:p>
    <w:p w14:paraId="4BC86031" w14:textId="77777777" w:rsidR="006A41E2" w:rsidRPr="009D431C" w:rsidRDefault="006A41E2">
      <w:pPr>
        <w:rPr>
          <w:rFonts w:ascii="Arial" w:hAnsi="Arial" w:cs="Arial"/>
        </w:rPr>
      </w:pPr>
    </w:p>
    <w:p w14:paraId="4F479765" w14:textId="1C6BF3A0" w:rsidR="002C4E32" w:rsidRPr="009D431C" w:rsidRDefault="008E3493" w:rsidP="009C1D16">
      <w:pPr>
        <w:pBdr>
          <w:top w:val="single" w:sz="4" w:space="1" w:color="auto"/>
          <w:left w:val="single" w:sz="4" w:space="4" w:color="auto"/>
          <w:bottom w:val="single" w:sz="4" w:space="1" w:color="auto"/>
          <w:right w:val="single" w:sz="4" w:space="4" w:color="auto"/>
        </w:pBdr>
        <w:rPr>
          <w:rFonts w:ascii="Arial" w:hAnsi="Arial" w:cs="Arial"/>
          <w:b/>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2C4E32"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are the national guidelines for PPI prescribing and key recommendations?</w:t>
      </w:r>
    </w:p>
    <w:p w14:paraId="75C787A6" w14:textId="2AE50DB6" w:rsidR="003E64C3" w:rsidRPr="009D431C" w:rsidRDefault="003E64C3" w:rsidP="003E64C3">
      <w:pPr>
        <w:spacing w:before="100" w:beforeAutospacing="1" w:after="100" w:afterAutospacing="1" w:line="240" w:lineRule="auto"/>
        <w:outlineLvl w:val="1"/>
        <w:rPr>
          <w:rFonts w:ascii="Arial" w:eastAsia="Times New Roman" w:hAnsi="Arial" w:cs="Arial"/>
          <w:b/>
          <w:bCs/>
          <w:kern w:val="0"/>
          <w:lang w:eastAsia="en-GB"/>
          <w14:ligatures w14:val="none"/>
        </w:rPr>
      </w:pPr>
      <w:r w:rsidRPr="009D431C">
        <w:rPr>
          <w:rFonts w:ascii="Arial" w:eastAsia="Times New Roman" w:hAnsi="Arial" w:cs="Arial"/>
          <w:b/>
          <w:bCs/>
          <w:kern w:val="0"/>
          <w:lang w:eastAsia="en-GB"/>
          <w14:ligatures w14:val="none"/>
        </w:rPr>
        <w:t>General Principles for Appropriate PPI Prescribing</w:t>
      </w:r>
    </w:p>
    <w:p w14:paraId="02ABE0F2" w14:textId="60E4135D" w:rsidR="003E64C3" w:rsidRPr="009D431C" w:rsidRDefault="008E3493" w:rsidP="003E64C3">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A</w:t>
      </w:r>
      <w:r w:rsidRPr="009D431C">
        <w:rPr>
          <w:rFonts w:ascii="Arial" w:eastAsia="Times New Roman" w:hAnsi="Arial" w:cs="Arial"/>
          <w:kern w:val="0"/>
          <w:lang w:eastAsia="en-GB"/>
          <w14:ligatures w14:val="none"/>
        </w:rPr>
        <w:t xml:space="preserve">: </w:t>
      </w:r>
      <w:r w:rsidR="003E64C3" w:rsidRPr="009D431C">
        <w:rPr>
          <w:rFonts w:ascii="Arial" w:eastAsia="Times New Roman" w:hAnsi="Arial" w:cs="Arial"/>
          <w:kern w:val="0"/>
          <w:lang w:eastAsia="en-GB"/>
          <w14:ligatures w14:val="none"/>
        </w:rPr>
        <w:t>PPIs are frequently prescribed, often without a clear indication or for prolonged durations without review</w:t>
      </w:r>
      <w:r w:rsidR="00F92A81" w:rsidRPr="009D431C">
        <w:rPr>
          <w:rFonts w:ascii="Arial" w:eastAsia="Times New Roman" w:hAnsi="Arial" w:cs="Arial"/>
          <w:kern w:val="0"/>
          <w:lang w:eastAsia="en-GB"/>
          <w14:ligatures w14:val="none"/>
        </w:rPr>
        <w:t xml:space="preserve"> (</w:t>
      </w:r>
      <w:hyperlink r:id="rId17" w:history="1">
        <w:r w:rsidR="00F92A81" w:rsidRPr="009D431C">
          <w:rPr>
            <w:rFonts w:ascii="Arial" w:hAnsi="Arial" w:cs="Arial"/>
            <w:color w:val="0000FF"/>
            <w:u w:val="single"/>
          </w:rPr>
          <w:t>BJGP Open</w:t>
        </w:r>
      </w:hyperlink>
      <w:r w:rsidR="00F92A81" w:rsidRPr="009D431C">
        <w:rPr>
          <w:rFonts w:ascii="Arial" w:hAnsi="Arial" w:cs="Arial"/>
          <w:color w:val="0000FF"/>
          <w:u w:val="single"/>
        </w:rPr>
        <w:t>)</w:t>
      </w:r>
      <w:r w:rsidR="003E64C3" w:rsidRPr="009D431C">
        <w:rPr>
          <w:rFonts w:ascii="Arial" w:eastAsia="Times New Roman" w:hAnsi="Arial" w:cs="Arial"/>
          <w:kern w:val="0"/>
          <w:lang w:eastAsia="en-GB"/>
          <w14:ligatures w14:val="none"/>
        </w:rPr>
        <w:t>. While PPIs are effective in managing acid-related conditions, they should only be</w:t>
      </w:r>
      <w:r w:rsidR="003E64C3" w:rsidRPr="009D431C">
        <w:rPr>
          <w:rFonts w:ascii="Arial" w:eastAsia="Times New Roman" w:hAnsi="Arial" w:cs="Arial"/>
          <w:b/>
          <w:bCs/>
          <w:kern w:val="0"/>
          <w:lang w:eastAsia="en-GB"/>
          <w14:ligatures w14:val="none"/>
        </w:rPr>
        <w:t xml:space="preserve"> initiated when clinically indicated and reviewed regularly, with deprescribing considered where appropriate</w:t>
      </w:r>
      <w:r w:rsidR="003E64C3" w:rsidRPr="009D431C">
        <w:rPr>
          <w:rFonts w:ascii="Arial" w:eastAsia="Times New Roman" w:hAnsi="Arial" w:cs="Arial"/>
          <w:kern w:val="0"/>
          <w:lang w:eastAsia="en-GB"/>
          <w14:ligatures w14:val="none"/>
        </w:rPr>
        <w:t>.</w:t>
      </w:r>
    </w:p>
    <w:p w14:paraId="5CD872AA" w14:textId="3574921C" w:rsidR="003E64C3" w:rsidRPr="009D431C" w:rsidRDefault="003E64C3" w:rsidP="003E64C3">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kern w:val="0"/>
          <w:lang w:eastAsia="en-GB"/>
          <w14:ligatures w14:val="none"/>
        </w:rPr>
        <w:t xml:space="preserve">Certain conditions warrant long-term use, as outlined in </w:t>
      </w:r>
      <w:r w:rsidRPr="009D431C">
        <w:rPr>
          <w:rFonts w:ascii="Arial" w:eastAsia="Times New Roman" w:hAnsi="Arial" w:cs="Arial"/>
          <w:b/>
          <w:bCs/>
          <w:kern w:val="0"/>
          <w:lang w:eastAsia="en-GB"/>
          <w14:ligatures w14:val="none"/>
        </w:rPr>
        <w:t>Table 1</w:t>
      </w:r>
      <w:r w:rsidRPr="009D431C">
        <w:rPr>
          <w:rFonts w:ascii="Arial" w:eastAsia="Times New Roman" w:hAnsi="Arial" w:cs="Arial"/>
          <w:kern w:val="0"/>
          <w:lang w:eastAsia="en-GB"/>
          <w14:ligatures w14:val="none"/>
        </w:rPr>
        <w:t>, but for most patients, PPIs should be used for the s</w:t>
      </w:r>
      <w:r w:rsidR="00F92A81" w:rsidRPr="009D431C">
        <w:rPr>
          <w:rFonts w:ascii="Arial" w:eastAsia="Times New Roman" w:hAnsi="Arial" w:cs="Arial"/>
          <w:kern w:val="0"/>
          <w:lang w:eastAsia="en-GB"/>
          <w14:ligatures w14:val="none"/>
        </w:rPr>
        <w:t>hortest effective treatment course length.</w:t>
      </w:r>
      <w:r w:rsidRPr="009D431C">
        <w:rPr>
          <w:rFonts w:ascii="Arial" w:eastAsia="Times New Roman" w:hAnsi="Arial" w:cs="Arial"/>
          <w:kern w:val="0"/>
          <w:lang w:eastAsia="en-GB"/>
          <w14:ligatures w14:val="none"/>
        </w:rPr>
        <w:t xml:space="preserve"> When initiating a PPI, it is essential to set clear expectations with the patient regarding the </w:t>
      </w:r>
      <w:r w:rsidRPr="009D431C">
        <w:rPr>
          <w:rFonts w:ascii="Arial" w:eastAsia="Times New Roman" w:hAnsi="Arial" w:cs="Arial"/>
          <w:b/>
          <w:bCs/>
          <w:kern w:val="0"/>
          <w:lang w:eastAsia="en-GB"/>
          <w14:ligatures w14:val="none"/>
        </w:rPr>
        <w:t>length of treatment</w:t>
      </w:r>
      <w:r w:rsidRPr="009D431C">
        <w:rPr>
          <w:rFonts w:ascii="Arial" w:eastAsia="Times New Roman" w:hAnsi="Arial" w:cs="Arial"/>
          <w:kern w:val="0"/>
          <w:lang w:eastAsia="en-GB"/>
          <w14:ligatures w14:val="none"/>
        </w:rPr>
        <w:t xml:space="preserve"> and </w:t>
      </w:r>
      <w:r w:rsidRPr="009D431C">
        <w:rPr>
          <w:rFonts w:ascii="Arial" w:eastAsia="Times New Roman" w:hAnsi="Arial" w:cs="Arial"/>
          <w:b/>
          <w:bCs/>
          <w:kern w:val="0"/>
          <w:lang w:eastAsia="en-GB"/>
          <w14:ligatures w14:val="none"/>
        </w:rPr>
        <w:t>the need for regular review</w:t>
      </w:r>
      <w:r w:rsidRPr="009D431C">
        <w:rPr>
          <w:rFonts w:ascii="Arial" w:eastAsia="Times New Roman" w:hAnsi="Arial" w:cs="Arial"/>
          <w:kern w:val="0"/>
          <w:lang w:eastAsia="en-GB"/>
          <w14:ligatures w14:val="none"/>
        </w:rPr>
        <w:t>.</w:t>
      </w:r>
    </w:p>
    <w:p w14:paraId="79689613" w14:textId="6A8E8E58" w:rsidR="00AF6C13" w:rsidRPr="009D431C" w:rsidRDefault="00871D0B">
      <w:pPr>
        <w:rPr>
          <w:rFonts w:ascii="Arial" w:hAnsi="Arial" w:cs="Arial"/>
        </w:rPr>
      </w:pPr>
      <w:r w:rsidRPr="009D431C">
        <w:rPr>
          <w:rFonts w:ascii="Arial" w:hAnsi="Arial" w:cs="Arial"/>
        </w:rPr>
        <w:t xml:space="preserve">If patients are presenting with symptoms of dyspepsia, review </w:t>
      </w:r>
      <w:hyperlink r:id="rId18" w:history="1">
        <w:r w:rsidR="004C71BC" w:rsidRPr="009D431C">
          <w:rPr>
            <w:rStyle w:val="Hyperlink"/>
            <w:rFonts w:ascii="Arial" w:hAnsi="Arial" w:cs="Arial"/>
            <w:color w:val="0000FF"/>
          </w:rPr>
          <w:t>medication</w:t>
        </w:r>
      </w:hyperlink>
      <w:r w:rsidRPr="009D431C">
        <w:rPr>
          <w:rFonts w:ascii="Arial" w:hAnsi="Arial" w:cs="Arial"/>
        </w:rPr>
        <w:t xml:space="preserve"> for possible causes</w:t>
      </w:r>
      <w:r w:rsidR="00BD24D2" w:rsidRPr="009D431C">
        <w:rPr>
          <w:rFonts w:ascii="Arial" w:hAnsi="Arial" w:cs="Arial"/>
        </w:rPr>
        <w:t xml:space="preserve"> </w:t>
      </w:r>
      <w:r w:rsidRPr="009D431C">
        <w:rPr>
          <w:rFonts w:ascii="Arial" w:hAnsi="Arial" w:cs="Arial"/>
        </w:rPr>
        <w:t xml:space="preserve">and provide </w:t>
      </w:r>
      <w:hyperlink r:id="rId19">
        <w:r w:rsidR="00C839DB" w:rsidRPr="009D431C">
          <w:rPr>
            <w:rStyle w:val="Hyperlink"/>
            <w:rFonts w:ascii="Arial" w:hAnsi="Arial" w:cs="Arial"/>
            <w:color w:val="0000FF"/>
          </w:rPr>
          <w:t>lifestyle advice</w:t>
        </w:r>
      </w:hyperlink>
      <w:r w:rsidR="00C839DB" w:rsidRPr="009D431C">
        <w:rPr>
          <w:rFonts w:ascii="Arial" w:hAnsi="Arial" w:cs="Arial"/>
        </w:rPr>
        <w:t xml:space="preserve">. </w:t>
      </w:r>
      <w:r w:rsidRPr="009D431C">
        <w:rPr>
          <w:rFonts w:ascii="Arial" w:hAnsi="Arial" w:cs="Arial"/>
        </w:rPr>
        <w:t xml:space="preserve">If a PPI is required, prescribe in line with </w:t>
      </w:r>
      <w:hyperlink r:id="rId20">
        <w:r w:rsidR="00B27A7E" w:rsidRPr="009D431C">
          <w:rPr>
            <w:rStyle w:val="Hyperlink"/>
            <w:rFonts w:ascii="Arial" w:hAnsi="Arial" w:cs="Arial"/>
            <w:color w:val="0000FF"/>
          </w:rPr>
          <w:t>NICE CG184-Gastro-oesophageal reflux disease (GORD) and dyspepsia in adults</w:t>
        </w:r>
      </w:hyperlink>
      <w:r w:rsidR="0067240B" w:rsidRPr="009D431C">
        <w:rPr>
          <w:rFonts w:ascii="Arial" w:hAnsi="Arial" w:cs="Arial"/>
        </w:rPr>
        <w:t>.</w:t>
      </w:r>
    </w:p>
    <w:p w14:paraId="3E62F2DE" w14:textId="1E7FE310" w:rsidR="00AF6C13" w:rsidRPr="009D431C" w:rsidRDefault="00AF6C13">
      <w:pPr>
        <w:rPr>
          <w:rFonts w:ascii="Arial" w:hAnsi="Arial" w:cs="Arial"/>
          <w:b/>
          <w:bCs/>
        </w:rPr>
      </w:pPr>
      <w:r w:rsidRPr="009D431C">
        <w:rPr>
          <w:rFonts w:ascii="Arial" w:hAnsi="Arial" w:cs="Arial"/>
          <w:b/>
          <w:bCs/>
        </w:rPr>
        <w:t>Table 1</w:t>
      </w:r>
      <w:r w:rsidR="008038B7" w:rsidRPr="009D431C">
        <w:rPr>
          <w:rFonts w:ascii="Arial" w:hAnsi="Arial" w:cs="Arial"/>
          <w:b/>
          <w:bCs/>
        </w:rPr>
        <w:t>:</w:t>
      </w:r>
      <w:r w:rsidR="009C1D16" w:rsidRPr="009D431C">
        <w:rPr>
          <w:rFonts w:ascii="Arial" w:hAnsi="Arial" w:cs="Arial"/>
          <w:b/>
          <w:bCs/>
        </w:rPr>
        <w:t xml:space="preserve"> </w:t>
      </w:r>
      <w:r w:rsidR="00C90605" w:rsidRPr="009D431C">
        <w:rPr>
          <w:rFonts w:ascii="Arial" w:hAnsi="Arial" w:cs="Arial"/>
          <w:b/>
          <w:bCs/>
        </w:rPr>
        <w:t>Summary of c</w:t>
      </w:r>
      <w:r w:rsidR="009C1D16" w:rsidRPr="009D431C">
        <w:rPr>
          <w:rFonts w:ascii="Arial" w:hAnsi="Arial" w:cs="Arial"/>
          <w:b/>
          <w:bCs/>
        </w:rPr>
        <w:t xml:space="preserve">linical indicators for PPI </w:t>
      </w:r>
      <w:r w:rsidR="0013433F" w:rsidRPr="009D431C">
        <w:rPr>
          <w:rFonts w:ascii="Arial" w:hAnsi="Arial" w:cs="Arial"/>
          <w:b/>
          <w:bCs/>
        </w:rPr>
        <w:t xml:space="preserve">use </w:t>
      </w:r>
      <w:r w:rsidR="009C1D16" w:rsidRPr="009D431C">
        <w:rPr>
          <w:rFonts w:ascii="Arial" w:hAnsi="Arial" w:cs="Arial"/>
          <w:b/>
          <w:bCs/>
        </w:rPr>
        <w:t>with typical duration of treatment</w:t>
      </w:r>
      <w:r w:rsidR="00C90605" w:rsidRPr="009D431C">
        <w:rPr>
          <w:rFonts w:ascii="Arial" w:hAnsi="Arial" w:cs="Arial"/>
          <w:b/>
          <w:bCs/>
        </w:rPr>
        <w:t xml:space="preserve"> (full details in clinical guideline links)</w:t>
      </w:r>
    </w:p>
    <w:tbl>
      <w:tblPr>
        <w:tblStyle w:val="TableGrid"/>
        <w:tblW w:w="0" w:type="auto"/>
        <w:tblLook w:val="04A0" w:firstRow="1" w:lastRow="0" w:firstColumn="1" w:lastColumn="0" w:noHBand="0" w:noVBand="1"/>
      </w:tblPr>
      <w:tblGrid>
        <w:gridCol w:w="1735"/>
        <w:gridCol w:w="1079"/>
        <w:gridCol w:w="3989"/>
        <w:gridCol w:w="2213"/>
      </w:tblGrid>
      <w:tr w:rsidR="00AF6C13" w:rsidRPr="009D431C" w14:paraId="4F6602DE" w14:textId="77777777" w:rsidTr="00C90605">
        <w:trPr>
          <w:trHeight w:val="864"/>
        </w:trPr>
        <w:tc>
          <w:tcPr>
            <w:tcW w:w="1735" w:type="dxa"/>
            <w:noWrap/>
            <w:hideMark/>
          </w:tcPr>
          <w:p w14:paraId="3AAEA807" w14:textId="77777777" w:rsidR="00AF6C13" w:rsidRPr="009D431C" w:rsidRDefault="00AF6C13" w:rsidP="00AF6C13">
            <w:pPr>
              <w:rPr>
                <w:rFonts w:ascii="Arial" w:hAnsi="Arial" w:cs="Arial"/>
                <w:b/>
                <w:bCs/>
                <w:sz w:val="18"/>
                <w:szCs w:val="18"/>
              </w:rPr>
            </w:pPr>
            <w:r w:rsidRPr="009D431C">
              <w:rPr>
                <w:rFonts w:ascii="Arial" w:hAnsi="Arial" w:cs="Arial"/>
                <w:b/>
                <w:bCs/>
                <w:sz w:val="18"/>
                <w:szCs w:val="18"/>
              </w:rPr>
              <w:t>Condition</w:t>
            </w:r>
          </w:p>
        </w:tc>
        <w:tc>
          <w:tcPr>
            <w:tcW w:w="1079" w:type="dxa"/>
            <w:hideMark/>
          </w:tcPr>
          <w:p w14:paraId="5970E251" w14:textId="77777777" w:rsidR="00AF6C13" w:rsidRPr="009D431C" w:rsidRDefault="00AF6C13" w:rsidP="00AF6C13">
            <w:pPr>
              <w:rPr>
                <w:rFonts w:ascii="Arial" w:hAnsi="Arial" w:cs="Arial"/>
                <w:b/>
                <w:bCs/>
                <w:sz w:val="18"/>
                <w:szCs w:val="18"/>
              </w:rPr>
            </w:pPr>
            <w:r w:rsidRPr="009D431C">
              <w:rPr>
                <w:rFonts w:ascii="Arial" w:hAnsi="Arial" w:cs="Arial"/>
                <w:b/>
                <w:bCs/>
                <w:sz w:val="18"/>
                <w:szCs w:val="18"/>
              </w:rPr>
              <w:t>Typical Duration of PPI Use</w:t>
            </w:r>
          </w:p>
        </w:tc>
        <w:tc>
          <w:tcPr>
            <w:tcW w:w="3989" w:type="dxa"/>
            <w:noWrap/>
            <w:hideMark/>
          </w:tcPr>
          <w:p w14:paraId="5AA72C18" w14:textId="77777777" w:rsidR="00AF6C13" w:rsidRPr="009D431C" w:rsidRDefault="00AF6C13" w:rsidP="00AF6C13">
            <w:pPr>
              <w:rPr>
                <w:rFonts w:ascii="Arial" w:hAnsi="Arial" w:cs="Arial"/>
                <w:b/>
                <w:bCs/>
                <w:sz w:val="18"/>
                <w:szCs w:val="18"/>
              </w:rPr>
            </w:pPr>
            <w:r w:rsidRPr="009D431C">
              <w:rPr>
                <w:rFonts w:ascii="Arial" w:hAnsi="Arial" w:cs="Arial"/>
                <w:b/>
                <w:bCs/>
                <w:sz w:val="18"/>
                <w:szCs w:val="18"/>
              </w:rPr>
              <w:t>Comments</w:t>
            </w:r>
          </w:p>
        </w:tc>
        <w:tc>
          <w:tcPr>
            <w:tcW w:w="2213" w:type="dxa"/>
            <w:noWrap/>
            <w:hideMark/>
          </w:tcPr>
          <w:p w14:paraId="5A53796C" w14:textId="77777777" w:rsidR="00AF6C13" w:rsidRPr="009D431C" w:rsidRDefault="00AF6C13" w:rsidP="00AF6C13">
            <w:pPr>
              <w:rPr>
                <w:rFonts w:ascii="Arial" w:hAnsi="Arial" w:cs="Arial"/>
                <w:b/>
                <w:bCs/>
                <w:sz w:val="18"/>
                <w:szCs w:val="18"/>
              </w:rPr>
            </w:pPr>
            <w:r w:rsidRPr="009D431C">
              <w:rPr>
                <w:rFonts w:ascii="Arial" w:hAnsi="Arial" w:cs="Arial"/>
                <w:b/>
                <w:bCs/>
                <w:sz w:val="18"/>
                <w:szCs w:val="18"/>
              </w:rPr>
              <w:t>Clinical Guidelines</w:t>
            </w:r>
          </w:p>
        </w:tc>
      </w:tr>
      <w:tr w:rsidR="008763AD" w:rsidRPr="009D431C" w14:paraId="6C220201" w14:textId="77777777" w:rsidTr="00C90605">
        <w:trPr>
          <w:trHeight w:val="2304"/>
        </w:trPr>
        <w:tc>
          <w:tcPr>
            <w:tcW w:w="1735" w:type="dxa"/>
          </w:tcPr>
          <w:p w14:paraId="3795DA48" w14:textId="680989C7" w:rsidR="008763AD" w:rsidRPr="009D431C" w:rsidRDefault="008763AD">
            <w:pPr>
              <w:rPr>
                <w:rFonts w:ascii="Arial" w:hAnsi="Arial" w:cs="Arial"/>
                <w:b/>
                <w:bCs/>
                <w:sz w:val="18"/>
                <w:szCs w:val="18"/>
              </w:rPr>
            </w:pPr>
            <w:r w:rsidRPr="009D431C">
              <w:rPr>
                <w:rFonts w:ascii="Arial" w:hAnsi="Arial" w:cs="Arial"/>
                <w:b/>
                <w:bCs/>
                <w:sz w:val="18"/>
                <w:szCs w:val="18"/>
              </w:rPr>
              <w:t>Dyspepsia-unidentified cause</w:t>
            </w:r>
          </w:p>
        </w:tc>
        <w:tc>
          <w:tcPr>
            <w:tcW w:w="1079" w:type="dxa"/>
            <w:noWrap/>
          </w:tcPr>
          <w:p w14:paraId="0AE3DC11" w14:textId="5473C646" w:rsidR="008763AD" w:rsidRPr="009D431C" w:rsidRDefault="008763AD">
            <w:pPr>
              <w:rPr>
                <w:rFonts w:ascii="Arial" w:hAnsi="Arial" w:cs="Arial"/>
                <w:b/>
                <w:bCs/>
                <w:sz w:val="18"/>
                <w:szCs w:val="18"/>
              </w:rPr>
            </w:pPr>
            <w:r w:rsidRPr="009D431C">
              <w:rPr>
                <w:rFonts w:ascii="Arial" w:hAnsi="Arial" w:cs="Arial"/>
                <w:b/>
                <w:bCs/>
                <w:sz w:val="18"/>
                <w:szCs w:val="18"/>
              </w:rPr>
              <w:t>4 weeks</w:t>
            </w:r>
          </w:p>
        </w:tc>
        <w:tc>
          <w:tcPr>
            <w:tcW w:w="3989" w:type="dxa"/>
          </w:tcPr>
          <w:p w14:paraId="3927454D" w14:textId="163A3977" w:rsidR="008763AD" w:rsidRPr="009D431C" w:rsidRDefault="008763AD">
            <w:pPr>
              <w:rPr>
                <w:rFonts w:ascii="Arial" w:hAnsi="Arial" w:cs="Arial"/>
                <w:b/>
                <w:bCs/>
                <w:sz w:val="18"/>
                <w:szCs w:val="18"/>
              </w:rPr>
            </w:pPr>
            <w:r w:rsidRPr="009D431C">
              <w:rPr>
                <w:rFonts w:ascii="Arial" w:hAnsi="Arial" w:cs="Arial"/>
                <w:b/>
                <w:bCs/>
                <w:sz w:val="18"/>
                <w:szCs w:val="18"/>
              </w:rPr>
              <w:t xml:space="preserve">Prescribe a full-dose PPI for 1 month on an acute prescription </w:t>
            </w:r>
            <w:r w:rsidRPr="009D431C">
              <w:rPr>
                <w:rFonts w:ascii="Arial" w:hAnsi="Arial" w:cs="Arial"/>
                <w:b/>
                <w:bCs/>
                <w:sz w:val="18"/>
                <w:szCs w:val="18"/>
                <w:u w:val="single"/>
              </w:rPr>
              <w:t xml:space="preserve">not </w:t>
            </w:r>
            <w:r w:rsidRPr="009D431C">
              <w:rPr>
                <w:rFonts w:ascii="Arial" w:hAnsi="Arial" w:cs="Arial"/>
                <w:b/>
                <w:bCs/>
                <w:sz w:val="18"/>
                <w:szCs w:val="18"/>
              </w:rPr>
              <w:t xml:space="preserve">a repeat-see the section on </w:t>
            </w:r>
            <w:hyperlink r:id="rId21" w:history="1">
              <w:r w:rsidR="00F35097" w:rsidRPr="009D431C">
                <w:rPr>
                  <w:rStyle w:val="Hyperlink"/>
                  <w:rFonts w:ascii="Arial" w:hAnsi="Arial" w:cs="Arial"/>
                  <w:b/>
                  <w:bCs/>
                  <w:sz w:val="18"/>
                  <w:szCs w:val="18"/>
                </w:rPr>
                <w:t>PPI doses for the management of people with dyspepsia symptoms</w:t>
              </w:r>
            </w:hyperlink>
            <w:r w:rsidR="00D715C9" w:rsidRPr="009D431C">
              <w:rPr>
                <w:rFonts w:ascii="Arial" w:hAnsi="Arial" w:cs="Arial"/>
                <w:b/>
                <w:bCs/>
                <w:sz w:val="18"/>
                <w:szCs w:val="18"/>
              </w:rPr>
              <w:t>,</w:t>
            </w:r>
            <w:r w:rsidRPr="009D431C">
              <w:rPr>
                <w:rFonts w:ascii="Arial" w:hAnsi="Arial" w:cs="Arial"/>
                <w:b/>
                <w:bCs/>
                <w:sz w:val="18"/>
                <w:szCs w:val="18"/>
              </w:rPr>
              <w:t xml:space="preserve"> </w:t>
            </w:r>
            <w:r w:rsidRPr="009D431C">
              <w:rPr>
                <w:rFonts w:ascii="Arial" w:hAnsi="Arial" w:cs="Arial"/>
                <w:b/>
                <w:bCs/>
                <w:i/>
                <w:iCs/>
                <w:sz w:val="18"/>
                <w:szCs w:val="18"/>
              </w:rPr>
              <w:t>or</w:t>
            </w:r>
            <w:r w:rsidRPr="009D431C">
              <w:rPr>
                <w:rFonts w:ascii="Arial" w:hAnsi="Arial" w:cs="Arial"/>
                <w:b/>
                <w:bCs/>
                <w:sz w:val="18"/>
                <w:szCs w:val="18"/>
              </w:rPr>
              <w:t xml:space="preserve"> test for </w:t>
            </w:r>
            <w:r w:rsidRPr="009D431C">
              <w:rPr>
                <w:rFonts w:ascii="Arial" w:hAnsi="Arial" w:cs="Arial"/>
                <w:b/>
                <w:bCs/>
                <w:i/>
                <w:iCs/>
                <w:sz w:val="18"/>
                <w:szCs w:val="18"/>
              </w:rPr>
              <w:t>Helicobacter pylori</w:t>
            </w:r>
            <w:r w:rsidRPr="009D431C">
              <w:rPr>
                <w:rFonts w:ascii="Arial" w:hAnsi="Arial" w:cs="Arial"/>
                <w:b/>
                <w:bCs/>
                <w:sz w:val="18"/>
                <w:szCs w:val="18"/>
              </w:rPr>
              <w:t xml:space="preserve"> </w:t>
            </w:r>
            <w:r w:rsidR="00D715C9" w:rsidRPr="009D431C">
              <w:rPr>
                <w:rFonts w:ascii="Arial" w:hAnsi="Arial" w:cs="Arial"/>
                <w:b/>
                <w:bCs/>
                <w:sz w:val="18"/>
                <w:szCs w:val="18"/>
              </w:rPr>
              <w:t>(</w:t>
            </w:r>
            <w:r w:rsidR="00D715C9" w:rsidRPr="009D431C">
              <w:rPr>
                <w:rFonts w:ascii="Arial" w:hAnsi="Arial" w:cs="Arial"/>
                <w:b/>
                <w:bCs/>
                <w:i/>
                <w:iCs/>
                <w:sz w:val="18"/>
                <w:szCs w:val="18"/>
              </w:rPr>
              <w:t>H.pylori</w:t>
            </w:r>
            <w:r w:rsidR="00D715C9" w:rsidRPr="009D431C">
              <w:rPr>
                <w:rFonts w:ascii="Arial" w:hAnsi="Arial" w:cs="Arial"/>
                <w:b/>
                <w:bCs/>
                <w:sz w:val="18"/>
                <w:szCs w:val="18"/>
              </w:rPr>
              <w:t xml:space="preserve">) </w:t>
            </w:r>
            <w:r w:rsidRPr="009D431C">
              <w:rPr>
                <w:rFonts w:ascii="Arial" w:hAnsi="Arial" w:cs="Arial"/>
                <w:b/>
                <w:bCs/>
                <w:sz w:val="18"/>
                <w:szCs w:val="18"/>
              </w:rPr>
              <w:t>infection if the person’s status is not known or uncertain.</w:t>
            </w:r>
            <w:r w:rsidR="003D7F1C" w:rsidRPr="009D431C">
              <w:rPr>
                <w:rFonts w:ascii="Arial" w:hAnsi="Arial" w:cs="Arial"/>
                <w:b/>
                <w:bCs/>
                <w:sz w:val="18"/>
                <w:szCs w:val="18"/>
              </w:rPr>
              <w:t xml:space="preserve"> </w:t>
            </w:r>
          </w:p>
          <w:p w14:paraId="33F62DE5" w14:textId="77777777" w:rsidR="008763AD" w:rsidRPr="009D431C" w:rsidRDefault="008763AD">
            <w:pPr>
              <w:rPr>
                <w:rFonts w:ascii="Arial" w:hAnsi="Arial" w:cs="Arial"/>
                <w:b/>
                <w:bCs/>
                <w:sz w:val="18"/>
                <w:szCs w:val="18"/>
              </w:rPr>
            </w:pPr>
          </w:p>
          <w:p w14:paraId="627E3ED5" w14:textId="5EB64660" w:rsidR="003D7F1C" w:rsidRPr="009D431C" w:rsidRDefault="003D7F1C">
            <w:pPr>
              <w:rPr>
                <w:rFonts w:ascii="Arial" w:hAnsi="Arial" w:cs="Arial"/>
                <w:b/>
                <w:bCs/>
                <w:sz w:val="18"/>
                <w:szCs w:val="18"/>
              </w:rPr>
            </w:pPr>
            <w:r w:rsidRPr="009D431C">
              <w:rPr>
                <w:rFonts w:ascii="Arial" w:hAnsi="Arial" w:cs="Arial"/>
                <w:b/>
                <w:bCs/>
                <w:sz w:val="18"/>
                <w:szCs w:val="18"/>
              </w:rPr>
              <w:t>If symptoms persist or recur following initial management</w:t>
            </w:r>
            <w:r w:rsidR="002B7047" w:rsidRPr="009D431C">
              <w:rPr>
                <w:rFonts w:ascii="Arial" w:hAnsi="Arial" w:cs="Arial"/>
                <w:b/>
                <w:bCs/>
                <w:sz w:val="18"/>
                <w:szCs w:val="18"/>
              </w:rPr>
              <w:t xml:space="preserve">, switch to the alternative strategy (e.g., offer a full-dose PPI for 1 month if the person has been tested for </w:t>
            </w:r>
            <w:r w:rsidR="002B7047" w:rsidRPr="009D431C">
              <w:rPr>
                <w:rFonts w:ascii="Arial" w:hAnsi="Arial" w:cs="Arial"/>
                <w:b/>
                <w:bCs/>
                <w:i/>
                <w:iCs/>
                <w:sz w:val="18"/>
                <w:szCs w:val="18"/>
              </w:rPr>
              <w:t xml:space="preserve">H. Pylori </w:t>
            </w:r>
            <w:r w:rsidR="002B7047" w:rsidRPr="009D431C">
              <w:rPr>
                <w:rFonts w:ascii="Arial" w:hAnsi="Arial" w:cs="Arial"/>
                <w:b/>
                <w:bCs/>
                <w:sz w:val="18"/>
                <w:szCs w:val="18"/>
              </w:rPr>
              <w:t xml:space="preserve">infection, and vice versa). </w:t>
            </w:r>
          </w:p>
        </w:tc>
        <w:tc>
          <w:tcPr>
            <w:tcW w:w="2213" w:type="dxa"/>
          </w:tcPr>
          <w:p w14:paraId="2D1FAF21" w14:textId="11CEDA4C" w:rsidR="008763AD" w:rsidRPr="009D431C" w:rsidRDefault="00C532D8">
            <w:pPr>
              <w:rPr>
                <w:rFonts w:ascii="Arial" w:hAnsi="Arial" w:cs="Arial"/>
                <w:b/>
                <w:bCs/>
                <w:sz w:val="18"/>
                <w:szCs w:val="18"/>
              </w:rPr>
            </w:pPr>
            <w:hyperlink r:id="rId22" w:history="1">
              <w:r w:rsidR="008F6AB6" w:rsidRPr="009D431C">
                <w:rPr>
                  <w:rStyle w:val="Hyperlink"/>
                  <w:rFonts w:ascii="Arial" w:hAnsi="Arial" w:cs="Arial"/>
                  <w:b/>
                  <w:bCs/>
                  <w:sz w:val="18"/>
                  <w:szCs w:val="18"/>
                </w:rPr>
                <w:t>NICE CKS: Dyspepsia- unidentified cause</w:t>
              </w:r>
            </w:hyperlink>
          </w:p>
          <w:p w14:paraId="203D563C" w14:textId="525B3566" w:rsidR="008F6AB6" w:rsidRPr="009D431C" w:rsidRDefault="008F6AB6">
            <w:pPr>
              <w:rPr>
                <w:rFonts w:ascii="Arial" w:hAnsi="Arial" w:cs="Arial"/>
              </w:rPr>
            </w:pPr>
          </w:p>
        </w:tc>
      </w:tr>
      <w:tr w:rsidR="00AF6C13" w:rsidRPr="009D431C" w14:paraId="62D8DA9B" w14:textId="77777777" w:rsidTr="00C90605">
        <w:trPr>
          <w:trHeight w:val="2304"/>
        </w:trPr>
        <w:tc>
          <w:tcPr>
            <w:tcW w:w="1735" w:type="dxa"/>
            <w:hideMark/>
          </w:tcPr>
          <w:p w14:paraId="1788E84D" w14:textId="60152BC4" w:rsidR="00AF6C13" w:rsidRPr="009D431C" w:rsidRDefault="00A04196">
            <w:pPr>
              <w:rPr>
                <w:rFonts w:ascii="Arial" w:hAnsi="Arial" w:cs="Arial"/>
                <w:b/>
                <w:bCs/>
                <w:sz w:val="18"/>
                <w:szCs w:val="18"/>
              </w:rPr>
            </w:pPr>
            <w:r w:rsidRPr="009D431C">
              <w:rPr>
                <w:rFonts w:ascii="Arial" w:hAnsi="Arial" w:cs="Arial"/>
                <w:b/>
                <w:bCs/>
                <w:sz w:val="18"/>
                <w:szCs w:val="18"/>
              </w:rPr>
              <w:lastRenderedPageBreak/>
              <w:t>Dyspepsia- proven GORD</w:t>
            </w:r>
          </w:p>
        </w:tc>
        <w:tc>
          <w:tcPr>
            <w:tcW w:w="1079" w:type="dxa"/>
            <w:noWrap/>
            <w:hideMark/>
          </w:tcPr>
          <w:p w14:paraId="018C1622" w14:textId="77777777" w:rsidR="00AF6C13" w:rsidRPr="009D431C" w:rsidRDefault="00AF6C13">
            <w:pPr>
              <w:rPr>
                <w:rFonts w:ascii="Arial" w:hAnsi="Arial" w:cs="Arial"/>
                <w:b/>
                <w:bCs/>
                <w:sz w:val="18"/>
                <w:szCs w:val="18"/>
              </w:rPr>
            </w:pPr>
            <w:r w:rsidRPr="009D431C">
              <w:rPr>
                <w:rFonts w:ascii="Arial" w:hAnsi="Arial" w:cs="Arial"/>
                <w:b/>
                <w:bCs/>
                <w:sz w:val="18"/>
                <w:szCs w:val="18"/>
              </w:rPr>
              <w:t>4</w:t>
            </w:r>
            <w:r w:rsidR="00D715C9" w:rsidRPr="009D431C">
              <w:rPr>
                <w:rFonts w:ascii="Arial" w:hAnsi="Arial" w:cs="Arial"/>
                <w:b/>
                <w:bCs/>
                <w:sz w:val="18"/>
                <w:szCs w:val="18"/>
              </w:rPr>
              <w:t xml:space="preserve"> weeks</w:t>
            </w:r>
          </w:p>
          <w:p w14:paraId="1FC4956D" w14:textId="77777777" w:rsidR="00D715C9" w:rsidRPr="009D431C" w:rsidRDefault="00D715C9">
            <w:pPr>
              <w:rPr>
                <w:rFonts w:ascii="Arial" w:hAnsi="Arial" w:cs="Arial"/>
                <w:b/>
                <w:bCs/>
                <w:sz w:val="18"/>
                <w:szCs w:val="18"/>
              </w:rPr>
            </w:pPr>
          </w:p>
          <w:p w14:paraId="06230059" w14:textId="77777777" w:rsidR="00D715C9" w:rsidRPr="009D431C" w:rsidRDefault="00D715C9">
            <w:pPr>
              <w:rPr>
                <w:rFonts w:ascii="Arial" w:hAnsi="Arial" w:cs="Arial"/>
                <w:b/>
                <w:bCs/>
                <w:sz w:val="18"/>
                <w:szCs w:val="18"/>
              </w:rPr>
            </w:pPr>
          </w:p>
          <w:p w14:paraId="7AE20B50" w14:textId="77777777" w:rsidR="00D715C9" w:rsidRPr="009D431C" w:rsidRDefault="00D715C9">
            <w:pPr>
              <w:rPr>
                <w:rFonts w:ascii="Arial" w:hAnsi="Arial" w:cs="Arial"/>
                <w:b/>
                <w:bCs/>
                <w:sz w:val="18"/>
                <w:szCs w:val="18"/>
              </w:rPr>
            </w:pPr>
          </w:p>
          <w:p w14:paraId="1D1709DC" w14:textId="6665FCC0" w:rsidR="00D715C9" w:rsidRPr="009D431C" w:rsidRDefault="00D715C9">
            <w:pPr>
              <w:rPr>
                <w:rFonts w:ascii="Arial" w:hAnsi="Arial" w:cs="Arial"/>
                <w:b/>
                <w:bCs/>
                <w:sz w:val="18"/>
                <w:szCs w:val="18"/>
              </w:rPr>
            </w:pPr>
            <w:r w:rsidRPr="009D431C">
              <w:rPr>
                <w:rFonts w:ascii="Arial" w:hAnsi="Arial" w:cs="Arial"/>
                <w:b/>
                <w:bCs/>
                <w:sz w:val="18"/>
                <w:szCs w:val="18"/>
              </w:rPr>
              <w:t>Long-term</w:t>
            </w:r>
          </w:p>
          <w:p w14:paraId="7A4489CA" w14:textId="7F9B8A77" w:rsidR="00D715C9" w:rsidRPr="009D431C" w:rsidRDefault="00D715C9">
            <w:pPr>
              <w:rPr>
                <w:rFonts w:ascii="Arial" w:hAnsi="Arial" w:cs="Arial"/>
                <w:b/>
                <w:bCs/>
                <w:sz w:val="18"/>
                <w:szCs w:val="18"/>
              </w:rPr>
            </w:pPr>
          </w:p>
        </w:tc>
        <w:tc>
          <w:tcPr>
            <w:tcW w:w="3989" w:type="dxa"/>
            <w:hideMark/>
          </w:tcPr>
          <w:p w14:paraId="048974C6" w14:textId="0B19B5C1" w:rsidR="008F6AB6" w:rsidRPr="009D431C" w:rsidRDefault="00AF6C13">
            <w:pPr>
              <w:rPr>
                <w:rFonts w:ascii="Arial" w:hAnsi="Arial" w:cs="Arial"/>
                <w:b/>
                <w:bCs/>
                <w:sz w:val="18"/>
                <w:szCs w:val="18"/>
              </w:rPr>
            </w:pPr>
            <w:r w:rsidRPr="009D431C">
              <w:rPr>
                <w:rFonts w:ascii="Arial" w:hAnsi="Arial" w:cs="Arial"/>
                <w:b/>
                <w:bCs/>
                <w:sz w:val="18"/>
                <w:szCs w:val="18"/>
              </w:rPr>
              <w:t xml:space="preserve">If the person has </w:t>
            </w:r>
            <w:r w:rsidRPr="009D431C">
              <w:rPr>
                <w:rFonts w:ascii="Arial" w:hAnsi="Arial" w:cs="Arial"/>
                <w:b/>
                <w:bCs/>
                <w:sz w:val="18"/>
                <w:szCs w:val="18"/>
                <w:u w:val="single"/>
              </w:rPr>
              <w:t xml:space="preserve">proven </w:t>
            </w:r>
            <w:r w:rsidRPr="009D431C">
              <w:rPr>
                <w:rFonts w:ascii="Arial" w:hAnsi="Arial" w:cs="Arial"/>
                <w:b/>
                <w:bCs/>
                <w:sz w:val="18"/>
                <w:szCs w:val="18"/>
              </w:rPr>
              <w:t>GORD</w:t>
            </w:r>
            <w:r w:rsidR="3FAA4A8C" w:rsidRPr="009D431C">
              <w:rPr>
                <w:rFonts w:ascii="Arial" w:hAnsi="Arial" w:cs="Arial"/>
                <w:b/>
                <w:bCs/>
                <w:sz w:val="18"/>
                <w:szCs w:val="18"/>
              </w:rPr>
              <w:t xml:space="preserve"> o</w:t>
            </w:r>
            <w:r w:rsidRPr="009D431C">
              <w:rPr>
                <w:rFonts w:ascii="Arial" w:hAnsi="Arial" w:cs="Arial"/>
                <w:b/>
                <w:bCs/>
                <w:sz w:val="18"/>
                <w:szCs w:val="18"/>
              </w:rPr>
              <w:t xml:space="preserve">ffer a full-dose </w:t>
            </w:r>
            <w:r w:rsidR="008F6AB6" w:rsidRPr="009D431C">
              <w:rPr>
                <w:rFonts w:ascii="Arial" w:hAnsi="Arial" w:cs="Arial"/>
                <w:b/>
                <w:bCs/>
                <w:sz w:val="18"/>
                <w:szCs w:val="18"/>
              </w:rPr>
              <w:t xml:space="preserve">PPI </w:t>
            </w:r>
            <w:r w:rsidRPr="009D431C">
              <w:rPr>
                <w:rFonts w:ascii="Arial" w:hAnsi="Arial" w:cs="Arial"/>
                <w:b/>
                <w:bCs/>
                <w:sz w:val="18"/>
                <w:szCs w:val="18"/>
              </w:rPr>
              <w:t>for 4 weeks</w:t>
            </w:r>
            <w:r w:rsidR="005B5866" w:rsidRPr="009D431C">
              <w:rPr>
                <w:rFonts w:ascii="Arial" w:hAnsi="Arial" w:cs="Arial"/>
                <w:b/>
                <w:bCs/>
                <w:sz w:val="18"/>
                <w:szCs w:val="18"/>
              </w:rPr>
              <w:t xml:space="preserve"> to aid healing, issued as an acute prescription </w:t>
            </w:r>
            <w:r w:rsidR="005B5866" w:rsidRPr="009D431C">
              <w:rPr>
                <w:rFonts w:ascii="Arial" w:hAnsi="Arial" w:cs="Arial"/>
                <w:b/>
                <w:bCs/>
                <w:sz w:val="18"/>
                <w:szCs w:val="18"/>
                <w:u w:val="single"/>
              </w:rPr>
              <w:t>not</w:t>
            </w:r>
            <w:r w:rsidR="005B5866" w:rsidRPr="009D431C">
              <w:rPr>
                <w:rFonts w:ascii="Arial" w:hAnsi="Arial" w:cs="Arial"/>
                <w:b/>
                <w:bCs/>
                <w:sz w:val="18"/>
                <w:szCs w:val="18"/>
              </w:rPr>
              <w:t xml:space="preserve"> on repeat</w:t>
            </w:r>
            <w:r w:rsidRPr="009D431C">
              <w:rPr>
                <w:rFonts w:ascii="Arial" w:hAnsi="Arial" w:cs="Arial"/>
                <w:b/>
                <w:bCs/>
                <w:sz w:val="18"/>
                <w:szCs w:val="18"/>
              </w:rPr>
              <w:t>.</w:t>
            </w:r>
            <w:r w:rsidRPr="009D431C">
              <w:rPr>
                <w:rFonts w:ascii="Arial" w:hAnsi="Arial" w:cs="Arial"/>
              </w:rPr>
              <w:br/>
            </w:r>
          </w:p>
          <w:p w14:paraId="4914FEFA" w14:textId="77777777" w:rsidR="0013433F" w:rsidRPr="009D431C" w:rsidRDefault="00AF6C13">
            <w:pPr>
              <w:rPr>
                <w:rFonts w:ascii="Arial" w:hAnsi="Arial" w:cs="Arial"/>
                <w:b/>
                <w:bCs/>
                <w:sz w:val="18"/>
                <w:szCs w:val="18"/>
              </w:rPr>
            </w:pPr>
            <w:r w:rsidRPr="009D431C">
              <w:rPr>
                <w:rFonts w:ascii="Arial" w:hAnsi="Arial" w:cs="Arial"/>
                <w:b/>
                <w:bCs/>
                <w:sz w:val="18"/>
                <w:szCs w:val="18"/>
              </w:rPr>
              <w:t>If the person has proven severe oesophagitis:</w:t>
            </w:r>
          </w:p>
          <w:p w14:paraId="3CA46DEB" w14:textId="6285FBAD" w:rsidR="00810ED8" w:rsidRPr="009D431C" w:rsidRDefault="00AF6C13">
            <w:pPr>
              <w:rPr>
                <w:rFonts w:ascii="Arial" w:hAnsi="Arial" w:cs="Arial"/>
                <w:b/>
                <w:bCs/>
                <w:sz w:val="18"/>
                <w:szCs w:val="18"/>
              </w:rPr>
            </w:pPr>
            <w:r w:rsidRPr="009D431C">
              <w:rPr>
                <w:rFonts w:ascii="Arial" w:hAnsi="Arial" w:cs="Arial"/>
              </w:rPr>
              <w:br/>
            </w:r>
            <w:r w:rsidR="0013433F" w:rsidRPr="009D431C">
              <w:rPr>
                <w:rFonts w:ascii="Arial" w:hAnsi="Arial" w:cs="Arial"/>
                <w:b/>
                <w:bCs/>
                <w:sz w:val="18"/>
                <w:szCs w:val="18"/>
              </w:rPr>
              <w:t>-</w:t>
            </w:r>
            <w:r w:rsidRPr="009D431C">
              <w:rPr>
                <w:rFonts w:ascii="Arial" w:hAnsi="Arial" w:cs="Arial"/>
                <w:b/>
                <w:bCs/>
                <w:sz w:val="18"/>
                <w:szCs w:val="18"/>
              </w:rPr>
              <w:t>Offer a full-dose PPI for 8 weeks, to aid healing.</w:t>
            </w:r>
            <w:r w:rsidRPr="009D431C">
              <w:rPr>
                <w:rFonts w:ascii="Arial" w:hAnsi="Arial" w:cs="Arial"/>
              </w:rPr>
              <w:br/>
            </w:r>
            <w:r w:rsidR="0013433F" w:rsidRPr="009D431C">
              <w:rPr>
                <w:rFonts w:ascii="Arial" w:hAnsi="Arial" w:cs="Arial"/>
                <w:b/>
                <w:bCs/>
                <w:sz w:val="18"/>
                <w:szCs w:val="18"/>
              </w:rPr>
              <w:t>-</w:t>
            </w:r>
            <w:r w:rsidRPr="009D431C">
              <w:rPr>
                <w:rFonts w:ascii="Arial" w:hAnsi="Arial" w:cs="Arial"/>
                <w:b/>
                <w:bCs/>
                <w:sz w:val="18"/>
                <w:szCs w:val="18"/>
              </w:rPr>
              <w:t>Offer a full-dose PPI long-term as maintenance treatment.</w:t>
            </w:r>
            <w:r w:rsidR="00810ED8" w:rsidRPr="009D431C">
              <w:rPr>
                <w:rFonts w:ascii="Arial" w:hAnsi="Arial" w:cs="Arial"/>
                <w:b/>
                <w:bCs/>
                <w:sz w:val="18"/>
                <w:szCs w:val="18"/>
              </w:rPr>
              <w:t xml:space="preserve"> </w:t>
            </w:r>
          </w:p>
          <w:p w14:paraId="624AC26F" w14:textId="77777777" w:rsidR="00810ED8" w:rsidRPr="009D431C" w:rsidRDefault="00810ED8">
            <w:pPr>
              <w:rPr>
                <w:rFonts w:ascii="Arial" w:hAnsi="Arial" w:cs="Arial"/>
                <w:b/>
                <w:bCs/>
                <w:sz w:val="18"/>
                <w:szCs w:val="18"/>
              </w:rPr>
            </w:pPr>
          </w:p>
          <w:p w14:paraId="72486D7A" w14:textId="77777777" w:rsidR="00AF6C13" w:rsidRPr="009D431C" w:rsidRDefault="00810ED8">
            <w:pPr>
              <w:rPr>
                <w:rFonts w:ascii="Arial" w:hAnsi="Arial" w:cs="Arial"/>
                <w:b/>
                <w:bCs/>
                <w:color w:val="0000FF"/>
                <w:sz w:val="18"/>
                <w:szCs w:val="18"/>
                <w:u w:val="single"/>
              </w:rPr>
            </w:pPr>
            <w:r w:rsidRPr="009D431C">
              <w:rPr>
                <w:rFonts w:ascii="Arial" w:hAnsi="Arial" w:cs="Arial"/>
                <w:b/>
                <w:bCs/>
                <w:sz w:val="18"/>
                <w:szCs w:val="18"/>
              </w:rPr>
              <w:t xml:space="preserve">See the section on </w:t>
            </w:r>
            <w:hyperlink r:id="rId23" w:history="1">
              <w:r w:rsidRPr="009D431C">
                <w:rPr>
                  <w:rFonts w:ascii="Arial" w:hAnsi="Arial" w:cs="Arial"/>
                  <w:b/>
                  <w:bCs/>
                  <w:color w:val="0000FF"/>
                  <w:sz w:val="18"/>
                  <w:szCs w:val="18"/>
                  <w:u w:val="single"/>
                </w:rPr>
                <w:t>PPI doses for management of GORD and severe oesophagitis symptoms</w:t>
              </w:r>
            </w:hyperlink>
          </w:p>
          <w:p w14:paraId="08927ADE" w14:textId="77777777" w:rsidR="00DB3F85" w:rsidRPr="009D431C" w:rsidRDefault="00DB3F85">
            <w:pPr>
              <w:rPr>
                <w:rFonts w:ascii="Arial" w:hAnsi="Arial" w:cs="Arial"/>
                <w:sz w:val="18"/>
                <w:szCs w:val="18"/>
              </w:rPr>
            </w:pPr>
          </w:p>
          <w:p w14:paraId="326716F3" w14:textId="429080A7" w:rsidR="00810ED8" w:rsidRPr="009D431C" w:rsidRDefault="00810ED8">
            <w:pPr>
              <w:rPr>
                <w:rFonts w:ascii="Arial" w:hAnsi="Arial" w:cs="Arial"/>
                <w:b/>
                <w:bCs/>
                <w:sz w:val="18"/>
                <w:szCs w:val="18"/>
              </w:rPr>
            </w:pPr>
          </w:p>
        </w:tc>
        <w:tc>
          <w:tcPr>
            <w:tcW w:w="2213" w:type="dxa"/>
            <w:hideMark/>
          </w:tcPr>
          <w:p w14:paraId="61AC6FF5" w14:textId="77777777" w:rsidR="00D715C9" w:rsidRPr="009D431C" w:rsidRDefault="00D715C9">
            <w:pPr>
              <w:rPr>
                <w:rFonts w:ascii="Arial" w:hAnsi="Arial" w:cs="Arial"/>
              </w:rPr>
            </w:pPr>
          </w:p>
          <w:p w14:paraId="29ECC439" w14:textId="77777777" w:rsidR="00D715C9" w:rsidRPr="009D431C" w:rsidRDefault="00D715C9">
            <w:pPr>
              <w:rPr>
                <w:rFonts w:ascii="Arial" w:hAnsi="Arial" w:cs="Arial"/>
              </w:rPr>
            </w:pPr>
          </w:p>
          <w:p w14:paraId="37E838D3" w14:textId="09DC5FD3" w:rsidR="00AF6C13" w:rsidRPr="009D431C" w:rsidRDefault="00C532D8">
            <w:pPr>
              <w:rPr>
                <w:rFonts w:ascii="Arial" w:hAnsi="Arial" w:cs="Arial"/>
                <w:b/>
                <w:bCs/>
                <w:sz w:val="18"/>
                <w:szCs w:val="18"/>
                <w:u w:val="single"/>
              </w:rPr>
            </w:pPr>
            <w:hyperlink r:id="rId24" w:history="1">
              <w:r w:rsidR="00AF6C13" w:rsidRPr="009D431C">
                <w:rPr>
                  <w:rStyle w:val="Hyperlink"/>
                  <w:rFonts w:ascii="Arial" w:hAnsi="Arial" w:cs="Arial"/>
                  <w:b/>
                  <w:bCs/>
                  <w:sz w:val="18"/>
                  <w:szCs w:val="18"/>
                </w:rPr>
                <w:t>NICE CKS: GORD</w:t>
              </w:r>
            </w:hyperlink>
          </w:p>
        </w:tc>
      </w:tr>
      <w:tr w:rsidR="00AF6C13" w:rsidRPr="009D431C" w14:paraId="7AC2CA05" w14:textId="77777777" w:rsidTr="00C90605">
        <w:trPr>
          <w:trHeight w:val="1152"/>
        </w:trPr>
        <w:tc>
          <w:tcPr>
            <w:tcW w:w="1735" w:type="dxa"/>
            <w:hideMark/>
          </w:tcPr>
          <w:p w14:paraId="344751FD" w14:textId="77777777" w:rsidR="00AF6C13" w:rsidRPr="009D431C" w:rsidRDefault="00AF6C13">
            <w:pPr>
              <w:rPr>
                <w:rFonts w:ascii="Arial" w:hAnsi="Arial" w:cs="Arial"/>
                <w:b/>
                <w:bCs/>
                <w:sz w:val="18"/>
                <w:szCs w:val="18"/>
              </w:rPr>
            </w:pPr>
            <w:r w:rsidRPr="009D431C">
              <w:rPr>
                <w:rFonts w:ascii="Arial" w:hAnsi="Arial" w:cs="Arial"/>
                <w:b/>
                <w:bCs/>
                <w:sz w:val="18"/>
                <w:szCs w:val="18"/>
              </w:rPr>
              <w:t>Peptic Ulcer Disease (PUD)</w:t>
            </w:r>
          </w:p>
        </w:tc>
        <w:tc>
          <w:tcPr>
            <w:tcW w:w="1079" w:type="dxa"/>
            <w:noWrap/>
            <w:hideMark/>
          </w:tcPr>
          <w:p w14:paraId="2F211D0B" w14:textId="77777777" w:rsidR="00AF6C13" w:rsidRPr="009D431C" w:rsidRDefault="00AF6C13">
            <w:pPr>
              <w:rPr>
                <w:rFonts w:ascii="Arial" w:hAnsi="Arial" w:cs="Arial"/>
                <w:b/>
                <w:bCs/>
                <w:sz w:val="18"/>
                <w:szCs w:val="18"/>
              </w:rPr>
            </w:pPr>
            <w:r w:rsidRPr="009D431C">
              <w:rPr>
                <w:rFonts w:ascii="Arial" w:hAnsi="Arial" w:cs="Arial"/>
                <w:b/>
                <w:bCs/>
                <w:sz w:val="18"/>
                <w:szCs w:val="18"/>
              </w:rPr>
              <w:t>4–8 weeks</w:t>
            </w:r>
          </w:p>
        </w:tc>
        <w:tc>
          <w:tcPr>
            <w:tcW w:w="3989" w:type="dxa"/>
            <w:hideMark/>
          </w:tcPr>
          <w:p w14:paraId="24640970" w14:textId="77777777" w:rsidR="00AF6C13" w:rsidRPr="009D431C" w:rsidRDefault="00AF6C13">
            <w:pPr>
              <w:rPr>
                <w:rFonts w:ascii="Arial" w:hAnsi="Arial" w:cs="Arial"/>
                <w:b/>
                <w:bCs/>
                <w:sz w:val="18"/>
                <w:szCs w:val="18"/>
              </w:rPr>
            </w:pPr>
            <w:r w:rsidRPr="009D431C">
              <w:rPr>
                <w:rFonts w:ascii="Arial" w:hAnsi="Arial" w:cs="Arial"/>
                <w:b/>
                <w:bCs/>
                <w:sz w:val="18"/>
                <w:szCs w:val="18"/>
              </w:rPr>
              <w:t xml:space="preserve">If the person tests negative for </w:t>
            </w:r>
            <w:r w:rsidRPr="009D431C">
              <w:rPr>
                <w:rFonts w:ascii="Arial" w:hAnsi="Arial" w:cs="Arial"/>
                <w:b/>
                <w:bCs/>
                <w:i/>
                <w:iCs/>
                <w:sz w:val="18"/>
                <w:szCs w:val="18"/>
              </w:rPr>
              <w:t>H. pylori</w:t>
            </w:r>
            <w:r w:rsidRPr="009D431C">
              <w:rPr>
                <w:rFonts w:ascii="Arial" w:hAnsi="Arial" w:cs="Arial"/>
                <w:b/>
                <w:bCs/>
                <w:sz w:val="18"/>
                <w:szCs w:val="18"/>
              </w:rPr>
              <w:t xml:space="preserve"> infection with a </w:t>
            </w:r>
            <w:r w:rsidRPr="009D431C">
              <w:rPr>
                <w:rFonts w:ascii="Arial" w:hAnsi="Arial" w:cs="Arial"/>
                <w:b/>
                <w:bCs/>
                <w:sz w:val="18"/>
                <w:szCs w:val="18"/>
                <w:u w:val="single"/>
              </w:rPr>
              <w:t>proven</w:t>
            </w:r>
            <w:r w:rsidRPr="009D431C">
              <w:rPr>
                <w:rFonts w:ascii="Arial" w:hAnsi="Arial" w:cs="Arial"/>
                <w:b/>
                <w:bCs/>
                <w:sz w:val="18"/>
                <w:szCs w:val="18"/>
              </w:rPr>
              <w:t xml:space="preserve"> gastric or duodenal ulcer:</w:t>
            </w:r>
            <w:r w:rsidRPr="009D431C">
              <w:rPr>
                <w:rFonts w:ascii="Arial" w:hAnsi="Arial" w:cs="Arial"/>
                <w:b/>
                <w:bCs/>
                <w:sz w:val="18"/>
                <w:szCs w:val="18"/>
              </w:rPr>
              <w:br/>
              <w:t>Prescribe full-dose PPI therapy for 4–8 weeks, depending on clinical judgement.</w:t>
            </w:r>
          </w:p>
        </w:tc>
        <w:tc>
          <w:tcPr>
            <w:tcW w:w="2213" w:type="dxa"/>
            <w:noWrap/>
            <w:hideMark/>
          </w:tcPr>
          <w:p w14:paraId="2CCACA62" w14:textId="77777777" w:rsidR="00AF6C13" w:rsidRPr="009D431C" w:rsidRDefault="00C532D8">
            <w:pPr>
              <w:rPr>
                <w:rFonts w:ascii="Arial" w:hAnsi="Arial" w:cs="Arial"/>
                <w:b/>
                <w:bCs/>
                <w:sz w:val="18"/>
                <w:szCs w:val="18"/>
                <w:u w:val="single"/>
              </w:rPr>
            </w:pPr>
            <w:hyperlink r:id="rId25" w:history="1">
              <w:r w:rsidR="00AF6C13" w:rsidRPr="009D431C">
                <w:rPr>
                  <w:rStyle w:val="Hyperlink"/>
                  <w:rFonts w:ascii="Arial" w:hAnsi="Arial" w:cs="Arial"/>
                  <w:b/>
                  <w:bCs/>
                  <w:sz w:val="18"/>
                  <w:szCs w:val="18"/>
                </w:rPr>
                <w:t>NICE CKS: Peptic Ulcer</w:t>
              </w:r>
            </w:hyperlink>
          </w:p>
        </w:tc>
      </w:tr>
      <w:tr w:rsidR="00AF6C13" w:rsidRPr="009D431C" w14:paraId="3E5C5859" w14:textId="77777777" w:rsidTr="00C90605">
        <w:trPr>
          <w:trHeight w:val="576"/>
        </w:trPr>
        <w:tc>
          <w:tcPr>
            <w:tcW w:w="1735" w:type="dxa"/>
            <w:hideMark/>
          </w:tcPr>
          <w:p w14:paraId="1DCD1968" w14:textId="77777777" w:rsidR="00AF6C13" w:rsidRPr="009D431C" w:rsidRDefault="00AF6C13">
            <w:pPr>
              <w:rPr>
                <w:rFonts w:ascii="Arial" w:hAnsi="Arial" w:cs="Arial"/>
                <w:b/>
                <w:bCs/>
                <w:sz w:val="18"/>
                <w:szCs w:val="18"/>
              </w:rPr>
            </w:pPr>
            <w:r w:rsidRPr="009D431C">
              <w:rPr>
                <w:rFonts w:ascii="Arial" w:hAnsi="Arial" w:cs="Arial"/>
                <w:b/>
                <w:bCs/>
                <w:i/>
                <w:iCs/>
                <w:sz w:val="18"/>
                <w:szCs w:val="18"/>
              </w:rPr>
              <w:t>Helicobacter pylori</w:t>
            </w:r>
            <w:r w:rsidRPr="009D431C">
              <w:rPr>
                <w:rFonts w:ascii="Arial" w:hAnsi="Arial" w:cs="Arial"/>
                <w:b/>
                <w:bCs/>
                <w:sz w:val="18"/>
                <w:szCs w:val="18"/>
              </w:rPr>
              <w:t xml:space="preserve"> eradication</w:t>
            </w:r>
          </w:p>
        </w:tc>
        <w:tc>
          <w:tcPr>
            <w:tcW w:w="1079" w:type="dxa"/>
            <w:noWrap/>
            <w:hideMark/>
          </w:tcPr>
          <w:p w14:paraId="60545A5C" w14:textId="77777777" w:rsidR="00AF6C13" w:rsidRPr="009D431C" w:rsidRDefault="00AF6C13">
            <w:pPr>
              <w:rPr>
                <w:rFonts w:ascii="Arial" w:hAnsi="Arial" w:cs="Arial"/>
                <w:b/>
                <w:bCs/>
                <w:sz w:val="18"/>
                <w:szCs w:val="18"/>
              </w:rPr>
            </w:pPr>
            <w:r w:rsidRPr="009D431C">
              <w:rPr>
                <w:rFonts w:ascii="Arial" w:hAnsi="Arial" w:cs="Arial"/>
                <w:b/>
                <w:bCs/>
                <w:sz w:val="18"/>
                <w:szCs w:val="18"/>
              </w:rPr>
              <w:t>7 days</w:t>
            </w:r>
          </w:p>
        </w:tc>
        <w:tc>
          <w:tcPr>
            <w:tcW w:w="3989" w:type="dxa"/>
            <w:hideMark/>
          </w:tcPr>
          <w:p w14:paraId="1F1B6260" w14:textId="0DD522A9" w:rsidR="00AF6C13" w:rsidRPr="009D431C" w:rsidRDefault="008F248A">
            <w:pPr>
              <w:rPr>
                <w:rFonts w:ascii="Arial" w:hAnsi="Arial" w:cs="Arial"/>
                <w:b/>
                <w:bCs/>
                <w:sz w:val="18"/>
                <w:szCs w:val="18"/>
              </w:rPr>
            </w:pPr>
            <w:r w:rsidRPr="009D431C">
              <w:rPr>
                <w:rFonts w:ascii="Arial" w:hAnsi="Arial" w:cs="Arial"/>
                <w:b/>
                <w:bCs/>
                <w:sz w:val="18"/>
                <w:szCs w:val="18"/>
              </w:rPr>
              <w:t>A PPI u</w:t>
            </w:r>
            <w:r w:rsidR="00AF6C13" w:rsidRPr="009D431C">
              <w:rPr>
                <w:rFonts w:ascii="Arial" w:hAnsi="Arial" w:cs="Arial"/>
                <w:b/>
                <w:bCs/>
                <w:sz w:val="18"/>
                <w:szCs w:val="18"/>
              </w:rPr>
              <w:t>sed in combination with antibiotics</w:t>
            </w:r>
            <w:r w:rsidRPr="009D431C">
              <w:rPr>
                <w:rFonts w:ascii="Arial" w:hAnsi="Arial" w:cs="Arial"/>
                <w:b/>
                <w:bCs/>
                <w:sz w:val="18"/>
                <w:szCs w:val="18"/>
              </w:rPr>
              <w:t>.</w:t>
            </w:r>
          </w:p>
        </w:tc>
        <w:tc>
          <w:tcPr>
            <w:tcW w:w="2213" w:type="dxa"/>
            <w:noWrap/>
            <w:hideMark/>
          </w:tcPr>
          <w:p w14:paraId="7899C660" w14:textId="77777777" w:rsidR="00AF6C13" w:rsidRPr="009D431C" w:rsidRDefault="00C532D8">
            <w:pPr>
              <w:rPr>
                <w:rFonts w:ascii="Arial" w:hAnsi="Arial" w:cs="Arial"/>
                <w:b/>
                <w:bCs/>
                <w:sz w:val="18"/>
                <w:szCs w:val="18"/>
                <w:u w:val="single"/>
              </w:rPr>
            </w:pPr>
            <w:hyperlink r:id="rId26" w:anchor="first-line-h-pylori-eradication-regimens" w:history="1">
              <w:r w:rsidR="00AF6C13" w:rsidRPr="009D431C">
                <w:rPr>
                  <w:rStyle w:val="Hyperlink"/>
                  <w:rFonts w:ascii="Arial" w:hAnsi="Arial" w:cs="Arial"/>
                  <w:b/>
                  <w:bCs/>
                  <w:sz w:val="18"/>
                  <w:szCs w:val="18"/>
                </w:rPr>
                <w:t xml:space="preserve">NICE CKS: H. pylori eradication </w:t>
              </w:r>
            </w:hyperlink>
          </w:p>
        </w:tc>
      </w:tr>
      <w:tr w:rsidR="00AF6C13" w:rsidRPr="009D431C" w14:paraId="5F41E23A" w14:textId="77777777" w:rsidTr="00C90605">
        <w:trPr>
          <w:trHeight w:val="576"/>
        </w:trPr>
        <w:tc>
          <w:tcPr>
            <w:tcW w:w="1735" w:type="dxa"/>
            <w:hideMark/>
          </w:tcPr>
          <w:p w14:paraId="77B61164" w14:textId="77777777" w:rsidR="00AF6C13" w:rsidRPr="009D431C" w:rsidRDefault="00AF6C13">
            <w:pPr>
              <w:rPr>
                <w:rFonts w:ascii="Arial" w:hAnsi="Arial" w:cs="Arial"/>
                <w:b/>
                <w:bCs/>
                <w:sz w:val="18"/>
                <w:szCs w:val="18"/>
              </w:rPr>
            </w:pPr>
            <w:r w:rsidRPr="009D431C">
              <w:rPr>
                <w:rFonts w:ascii="Arial" w:hAnsi="Arial" w:cs="Arial"/>
                <w:b/>
                <w:bCs/>
                <w:sz w:val="18"/>
                <w:szCs w:val="18"/>
              </w:rPr>
              <w:t>Zollinger-Ellison Syndrome</w:t>
            </w:r>
          </w:p>
        </w:tc>
        <w:tc>
          <w:tcPr>
            <w:tcW w:w="1079" w:type="dxa"/>
            <w:noWrap/>
            <w:hideMark/>
          </w:tcPr>
          <w:p w14:paraId="1EC618F9" w14:textId="77777777" w:rsidR="00AF6C13" w:rsidRPr="009D431C" w:rsidRDefault="00AF6C13">
            <w:pPr>
              <w:rPr>
                <w:rFonts w:ascii="Arial" w:hAnsi="Arial" w:cs="Arial"/>
                <w:b/>
                <w:bCs/>
                <w:sz w:val="18"/>
                <w:szCs w:val="18"/>
              </w:rPr>
            </w:pPr>
            <w:r w:rsidRPr="009D431C">
              <w:rPr>
                <w:rFonts w:ascii="Arial" w:hAnsi="Arial" w:cs="Arial"/>
                <w:b/>
                <w:bCs/>
                <w:sz w:val="18"/>
                <w:szCs w:val="18"/>
              </w:rPr>
              <w:t>Long-term</w:t>
            </w:r>
          </w:p>
        </w:tc>
        <w:tc>
          <w:tcPr>
            <w:tcW w:w="3989" w:type="dxa"/>
            <w:hideMark/>
          </w:tcPr>
          <w:p w14:paraId="30B8D4CF" w14:textId="77777777" w:rsidR="00AF6C13" w:rsidRPr="009D431C" w:rsidRDefault="00AF6C13">
            <w:pPr>
              <w:rPr>
                <w:rFonts w:ascii="Arial" w:hAnsi="Arial" w:cs="Arial"/>
                <w:b/>
                <w:bCs/>
                <w:sz w:val="18"/>
                <w:szCs w:val="18"/>
              </w:rPr>
            </w:pPr>
            <w:r w:rsidRPr="009D431C">
              <w:rPr>
                <w:rFonts w:ascii="Arial" w:hAnsi="Arial" w:cs="Arial"/>
                <w:b/>
                <w:bCs/>
                <w:sz w:val="18"/>
                <w:szCs w:val="18"/>
              </w:rPr>
              <w:t>High-dose PPI therapy often required indefinitely to control acid hypersecretion.</w:t>
            </w:r>
          </w:p>
        </w:tc>
        <w:tc>
          <w:tcPr>
            <w:tcW w:w="2213" w:type="dxa"/>
            <w:noWrap/>
            <w:hideMark/>
          </w:tcPr>
          <w:p w14:paraId="3DC8E68F" w14:textId="77777777" w:rsidR="00AF6C13" w:rsidRPr="009D431C" w:rsidRDefault="00C532D8">
            <w:pPr>
              <w:rPr>
                <w:rFonts w:ascii="Arial" w:hAnsi="Arial" w:cs="Arial"/>
                <w:b/>
                <w:bCs/>
                <w:sz w:val="18"/>
                <w:szCs w:val="18"/>
                <w:u w:val="single"/>
              </w:rPr>
            </w:pPr>
            <w:hyperlink r:id="rId27" w:history="1">
              <w:r w:rsidR="00AF6C13" w:rsidRPr="009D431C">
                <w:rPr>
                  <w:rStyle w:val="Hyperlink"/>
                  <w:rFonts w:ascii="Arial" w:hAnsi="Arial" w:cs="Arial"/>
                  <w:b/>
                  <w:bCs/>
                  <w:sz w:val="18"/>
                  <w:szCs w:val="18"/>
                </w:rPr>
                <w:t>BNF: Zollinger-Ellison syndrome</w:t>
              </w:r>
            </w:hyperlink>
          </w:p>
        </w:tc>
      </w:tr>
      <w:tr w:rsidR="00AF6C13" w:rsidRPr="009D431C" w14:paraId="60310585" w14:textId="77777777" w:rsidTr="00C90605">
        <w:trPr>
          <w:trHeight w:val="576"/>
        </w:trPr>
        <w:tc>
          <w:tcPr>
            <w:tcW w:w="1735" w:type="dxa"/>
            <w:noWrap/>
            <w:hideMark/>
          </w:tcPr>
          <w:p w14:paraId="7D90A295" w14:textId="77777777" w:rsidR="00AF6C13" w:rsidRPr="009D431C" w:rsidRDefault="00AF6C13">
            <w:pPr>
              <w:rPr>
                <w:rFonts w:ascii="Arial" w:hAnsi="Arial" w:cs="Arial"/>
                <w:b/>
                <w:bCs/>
                <w:sz w:val="18"/>
                <w:szCs w:val="18"/>
              </w:rPr>
            </w:pPr>
            <w:r w:rsidRPr="009D431C">
              <w:rPr>
                <w:rFonts w:ascii="Arial" w:hAnsi="Arial" w:cs="Arial"/>
                <w:b/>
                <w:bCs/>
                <w:sz w:val="18"/>
                <w:szCs w:val="18"/>
              </w:rPr>
              <w:t>Barrett’s oesophagus</w:t>
            </w:r>
          </w:p>
        </w:tc>
        <w:tc>
          <w:tcPr>
            <w:tcW w:w="1079" w:type="dxa"/>
            <w:noWrap/>
            <w:hideMark/>
          </w:tcPr>
          <w:p w14:paraId="30BA3454" w14:textId="77777777" w:rsidR="00AF6C13" w:rsidRPr="009D431C" w:rsidRDefault="00AF6C13">
            <w:pPr>
              <w:rPr>
                <w:rFonts w:ascii="Arial" w:hAnsi="Arial" w:cs="Arial"/>
                <w:b/>
                <w:bCs/>
                <w:sz w:val="18"/>
                <w:szCs w:val="18"/>
              </w:rPr>
            </w:pPr>
            <w:r w:rsidRPr="009D431C">
              <w:rPr>
                <w:rFonts w:ascii="Arial" w:hAnsi="Arial" w:cs="Arial"/>
                <w:b/>
                <w:bCs/>
                <w:sz w:val="18"/>
                <w:szCs w:val="18"/>
              </w:rPr>
              <w:t>Long-term</w:t>
            </w:r>
          </w:p>
        </w:tc>
        <w:tc>
          <w:tcPr>
            <w:tcW w:w="3989" w:type="dxa"/>
            <w:hideMark/>
          </w:tcPr>
          <w:p w14:paraId="72763A47" w14:textId="06FE0F44" w:rsidR="00AF6C13" w:rsidRPr="009D431C" w:rsidRDefault="00E26E6C">
            <w:pPr>
              <w:rPr>
                <w:rFonts w:ascii="Arial" w:hAnsi="Arial" w:cs="Arial"/>
                <w:b/>
                <w:bCs/>
                <w:sz w:val="18"/>
                <w:szCs w:val="18"/>
              </w:rPr>
            </w:pPr>
            <w:r w:rsidRPr="009D431C">
              <w:rPr>
                <w:rFonts w:ascii="Arial" w:hAnsi="Arial" w:cs="Arial"/>
                <w:b/>
                <w:bCs/>
                <w:sz w:val="18"/>
                <w:szCs w:val="18"/>
              </w:rPr>
              <w:t>PPI should be offered to all patients to control symptoms of gastro-oesophageal reflux, although the dose should be reviewed regularly to prevent potential long-term side effects</w:t>
            </w:r>
          </w:p>
        </w:tc>
        <w:tc>
          <w:tcPr>
            <w:tcW w:w="2213" w:type="dxa"/>
            <w:noWrap/>
            <w:hideMark/>
          </w:tcPr>
          <w:p w14:paraId="3CA6A5BD" w14:textId="4E52C7C7" w:rsidR="00AF6C13" w:rsidRPr="009D431C" w:rsidRDefault="00C532D8">
            <w:pPr>
              <w:rPr>
                <w:rFonts w:ascii="Arial" w:hAnsi="Arial" w:cs="Arial"/>
                <w:b/>
                <w:bCs/>
                <w:sz w:val="18"/>
                <w:szCs w:val="18"/>
                <w:u w:val="single"/>
              </w:rPr>
            </w:pPr>
            <w:hyperlink r:id="rId28" w:anchor="pharmacological-interventions" w:history="1">
              <w:r w:rsidR="00E52A63" w:rsidRPr="009D431C">
                <w:rPr>
                  <w:rStyle w:val="Hyperlink"/>
                  <w:rFonts w:ascii="Arial" w:hAnsi="Arial" w:cs="Arial"/>
                  <w:b/>
                  <w:bCs/>
                  <w:sz w:val="18"/>
                  <w:szCs w:val="18"/>
                </w:rPr>
                <w:t>NICE:</w:t>
              </w:r>
              <w:r w:rsidR="00AF6C13" w:rsidRPr="009D431C">
                <w:rPr>
                  <w:rStyle w:val="Hyperlink"/>
                  <w:rFonts w:ascii="Arial" w:hAnsi="Arial" w:cs="Arial"/>
                  <w:b/>
                  <w:bCs/>
                  <w:sz w:val="18"/>
                  <w:szCs w:val="18"/>
                </w:rPr>
                <w:t xml:space="preserve"> Barrett's oesophagus</w:t>
              </w:r>
            </w:hyperlink>
          </w:p>
        </w:tc>
      </w:tr>
    </w:tbl>
    <w:p w14:paraId="5B4ED690" w14:textId="77777777" w:rsidR="000F6EF8" w:rsidRPr="009D431C" w:rsidRDefault="000F6EF8" w:rsidP="003E64C3">
      <w:pPr>
        <w:spacing w:before="100" w:beforeAutospacing="1" w:after="100" w:afterAutospacing="1" w:line="240" w:lineRule="auto"/>
        <w:outlineLvl w:val="1"/>
        <w:rPr>
          <w:rFonts w:ascii="Arial" w:hAnsi="Arial" w:cs="Arial"/>
          <w:b/>
          <w:bCs/>
          <w:sz w:val="24"/>
          <w:szCs w:val="24"/>
        </w:rPr>
      </w:pPr>
    </w:p>
    <w:p w14:paraId="35779FC0" w14:textId="44CB2A1B" w:rsidR="000358C7" w:rsidRPr="009D431C" w:rsidRDefault="000F6EF8" w:rsidP="00B27A7E">
      <w:pPr>
        <w:pBdr>
          <w:top w:val="single" w:sz="4" w:space="1" w:color="auto"/>
          <w:left w:val="single" w:sz="4" w:space="4" w:color="auto"/>
          <w:bottom w:val="single" w:sz="4" w:space="1" w:color="auto"/>
          <w:right w:val="single" w:sz="4" w:space="4" w:color="auto"/>
        </w:pBdr>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Is gastroprotection required for </w:t>
      </w:r>
      <w:r w:rsidRPr="009D431C">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w:t>
      </w: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patients on </w:t>
      </w:r>
      <w:r w:rsidR="00AE3C7F"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826A2"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nticoagulants,</w:t>
      </w:r>
      <w:r w:rsidR="005826A2"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E3C7F"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826A2"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ntiplatelets,</w:t>
      </w:r>
      <w:r w:rsidR="005826A2"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E3C7F"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5826A2"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orticosteroids</w:t>
      </w:r>
      <w:r w:rsidR="005826A2"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NSAID</w:t>
      </w:r>
      <w:r w:rsidR="005826A2"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2577AC9F" w14:textId="2E4C5E7E" w:rsidR="000F6EF8" w:rsidRPr="009D431C" w:rsidRDefault="000F6EF8" w:rsidP="000F6EF8">
      <w:pPr>
        <w:rPr>
          <w:rFonts w:ascii="Arial" w:hAnsi="Arial" w:cs="Arial"/>
          <w:color w:val="000000" w:themeColor="text1"/>
        </w:rPr>
      </w:pPr>
      <w:r w:rsidRPr="009D431C">
        <w:rPr>
          <w:rFonts w:ascii="Arial" w:hAnsi="Arial" w:cs="Arial"/>
          <w:b/>
          <w:bCs/>
          <w:color w:val="000000" w:themeColor="text1"/>
        </w:rPr>
        <w:t>A:</w:t>
      </w:r>
      <w:r w:rsidRPr="009D431C">
        <w:rPr>
          <w:rFonts w:ascii="Arial" w:hAnsi="Arial" w:cs="Arial"/>
          <w:color w:val="000000" w:themeColor="text1"/>
        </w:rPr>
        <w:t xml:space="preserve"> </w:t>
      </w:r>
      <w:r w:rsidRPr="009D431C">
        <w:rPr>
          <w:rFonts w:ascii="Arial" w:hAnsi="Arial" w:cs="Arial"/>
          <w:b/>
          <w:bCs/>
          <w:color w:val="000000" w:themeColor="text1"/>
        </w:rPr>
        <w:t>No</w:t>
      </w:r>
      <w:r w:rsidRPr="009D431C">
        <w:rPr>
          <w:rFonts w:ascii="Arial" w:hAnsi="Arial" w:cs="Arial"/>
          <w:color w:val="000000" w:themeColor="text1"/>
        </w:rPr>
        <w:t>.</w:t>
      </w:r>
      <w:r w:rsidR="004F7836" w:rsidRPr="009D431C">
        <w:rPr>
          <w:rFonts w:ascii="Arial" w:hAnsi="Arial" w:cs="Arial"/>
          <w:color w:val="000000" w:themeColor="text1"/>
        </w:rPr>
        <w:t xml:space="preserve"> </w:t>
      </w:r>
      <w:r w:rsidRPr="009D431C">
        <w:rPr>
          <w:rFonts w:ascii="Arial" w:hAnsi="Arial" w:cs="Arial"/>
          <w:color w:val="000000" w:themeColor="text1"/>
        </w:rPr>
        <w:t xml:space="preserve">Patients should be individually assessed using the prescribing </w:t>
      </w:r>
      <w:r w:rsidR="00B27A7E" w:rsidRPr="009D431C">
        <w:rPr>
          <w:rFonts w:ascii="Arial" w:hAnsi="Arial" w:cs="Arial"/>
          <w:color w:val="000000" w:themeColor="text1"/>
        </w:rPr>
        <w:t>guidance’s</w:t>
      </w:r>
      <w:r w:rsidRPr="009D431C">
        <w:rPr>
          <w:rFonts w:ascii="Arial" w:hAnsi="Arial" w:cs="Arial"/>
          <w:color w:val="000000" w:themeColor="text1"/>
        </w:rPr>
        <w:t xml:space="preserve"> below, which can also be accessed via </w:t>
      </w:r>
      <w:hyperlink r:id="rId29">
        <w:r w:rsidRPr="009D431C">
          <w:rPr>
            <w:rStyle w:val="Hyperlink"/>
            <w:rFonts w:ascii="Arial" w:hAnsi="Arial" w:cs="Arial"/>
            <w:color w:val="0000FF"/>
          </w:rPr>
          <w:t>HWE Clinical Guidance: Proton pump inhibitors</w:t>
        </w:r>
      </w:hyperlink>
      <w:r w:rsidRPr="009D431C">
        <w:rPr>
          <w:rFonts w:ascii="Arial" w:hAnsi="Arial" w:cs="Arial"/>
          <w:color w:val="000000" w:themeColor="text1"/>
        </w:rPr>
        <w:t>.</w:t>
      </w:r>
    </w:p>
    <w:p w14:paraId="7B260E8C" w14:textId="010D8A99" w:rsidR="000F6EF8" w:rsidRPr="009D431C" w:rsidRDefault="00C532D8" w:rsidP="000F6EF8">
      <w:pPr>
        <w:pStyle w:val="ListParagraph"/>
        <w:numPr>
          <w:ilvl w:val="0"/>
          <w:numId w:val="3"/>
        </w:numPr>
        <w:rPr>
          <w:rFonts w:ascii="Arial" w:hAnsi="Arial" w:cs="Arial"/>
          <w:color w:val="0000FF"/>
        </w:rPr>
      </w:pPr>
      <w:hyperlink r:id="rId30" w:history="1">
        <w:r w:rsidR="000F6EF8" w:rsidRPr="009D431C">
          <w:rPr>
            <w:rStyle w:val="Hyperlink"/>
            <w:rFonts w:ascii="Arial" w:hAnsi="Arial" w:cs="Arial"/>
            <w:color w:val="0000FF"/>
          </w:rPr>
          <w:t>PPIs and Anticoagulants</w:t>
        </w:r>
      </w:hyperlink>
      <w:r w:rsidR="000F6EF8" w:rsidRPr="009D431C">
        <w:rPr>
          <w:rStyle w:val="Hyperlink"/>
          <w:rFonts w:ascii="Arial" w:hAnsi="Arial" w:cs="Arial"/>
          <w:color w:val="0000FF"/>
        </w:rPr>
        <w:t xml:space="preserve"> </w:t>
      </w:r>
    </w:p>
    <w:p w14:paraId="7E09194D" w14:textId="77777777" w:rsidR="000F6EF8" w:rsidRPr="009D431C" w:rsidRDefault="00C532D8" w:rsidP="000F6EF8">
      <w:pPr>
        <w:pStyle w:val="ListParagraph"/>
        <w:numPr>
          <w:ilvl w:val="0"/>
          <w:numId w:val="3"/>
        </w:numPr>
        <w:rPr>
          <w:rFonts w:ascii="Arial" w:hAnsi="Arial" w:cs="Arial"/>
          <w:color w:val="0000FF"/>
        </w:rPr>
      </w:pPr>
      <w:hyperlink r:id="rId31" w:history="1">
        <w:r w:rsidR="000F6EF8" w:rsidRPr="009D431C">
          <w:rPr>
            <w:rStyle w:val="Hyperlink"/>
            <w:rFonts w:ascii="Arial" w:hAnsi="Arial" w:cs="Arial"/>
            <w:color w:val="0000FF"/>
          </w:rPr>
          <w:t>PPIs and Antiplatelets</w:t>
        </w:r>
      </w:hyperlink>
    </w:p>
    <w:p w14:paraId="3E1C9655" w14:textId="77777777" w:rsidR="000F6EF8" w:rsidRPr="009D431C" w:rsidRDefault="00C532D8" w:rsidP="000F6EF8">
      <w:pPr>
        <w:pStyle w:val="ListParagraph"/>
        <w:numPr>
          <w:ilvl w:val="0"/>
          <w:numId w:val="3"/>
        </w:numPr>
        <w:rPr>
          <w:rFonts w:ascii="Arial" w:hAnsi="Arial" w:cs="Arial"/>
          <w:color w:val="0000FF"/>
        </w:rPr>
      </w:pPr>
      <w:hyperlink r:id="rId32" w:history="1">
        <w:r w:rsidR="000F6EF8" w:rsidRPr="009D431C">
          <w:rPr>
            <w:rStyle w:val="Hyperlink"/>
            <w:rFonts w:ascii="Arial" w:hAnsi="Arial" w:cs="Arial"/>
            <w:color w:val="0000FF"/>
          </w:rPr>
          <w:t>PPIs and Corticosteroids</w:t>
        </w:r>
      </w:hyperlink>
    </w:p>
    <w:p w14:paraId="50ADE545" w14:textId="34B865C3" w:rsidR="000F6EF8" w:rsidRPr="009D431C" w:rsidRDefault="00C532D8" w:rsidP="000F6EF8">
      <w:pPr>
        <w:pStyle w:val="ListParagraph"/>
        <w:numPr>
          <w:ilvl w:val="0"/>
          <w:numId w:val="3"/>
        </w:numPr>
        <w:rPr>
          <w:rFonts w:ascii="Arial" w:hAnsi="Arial" w:cs="Arial"/>
          <w:color w:val="000000" w:themeColor="text1"/>
        </w:rPr>
      </w:pPr>
      <w:hyperlink r:id="rId33" w:history="1">
        <w:r w:rsidR="000F6EF8" w:rsidRPr="009D431C">
          <w:rPr>
            <w:rStyle w:val="Hyperlink"/>
            <w:rFonts w:ascii="Arial" w:hAnsi="Arial" w:cs="Arial"/>
            <w:color w:val="0000FF"/>
          </w:rPr>
          <w:t>PPIs and NSAID</w:t>
        </w:r>
        <w:r w:rsidR="00626489" w:rsidRPr="009D431C">
          <w:rPr>
            <w:rStyle w:val="Hyperlink"/>
            <w:rFonts w:ascii="Arial" w:hAnsi="Arial" w:cs="Arial"/>
            <w:color w:val="0000FF"/>
          </w:rPr>
          <w:t>s</w:t>
        </w:r>
      </w:hyperlink>
    </w:p>
    <w:p w14:paraId="372B4ABC" w14:textId="77777777" w:rsidR="00B27A7E" w:rsidRPr="009D431C" w:rsidRDefault="00B27A7E" w:rsidP="00B27A7E">
      <w:pPr>
        <w:pStyle w:val="ListParagraph"/>
        <w:rPr>
          <w:rFonts w:ascii="Arial" w:hAnsi="Arial" w:cs="Arial"/>
          <w:color w:val="000000" w:themeColor="text1"/>
        </w:rPr>
      </w:pPr>
    </w:p>
    <w:p w14:paraId="765B0698" w14:textId="061A149F" w:rsidR="00B27A7E" w:rsidRPr="009D431C" w:rsidRDefault="009C1D16" w:rsidP="00B27A7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Q: </w:t>
      </w:r>
      <w:r w:rsidR="003E64C3"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How should I explain the expected duration of PPI therapy to my patient?</w:t>
      </w:r>
    </w:p>
    <w:p w14:paraId="4BB7BE61" w14:textId="2124C495" w:rsidR="003E64C3" w:rsidRPr="009D431C" w:rsidRDefault="003E64C3" w:rsidP="003E64C3">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A:</w:t>
      </w:r>
      <w:r w:rsidRPr="009D431C">
        <w:rPr>
          <w:rFonts w:ascii="Arial" w:eastAsia="Times New Roman" w:hAnsi="Arial" w:cs="Arial"/>
          <w:kern w:val="0"/>
          <w:lang w:eastAsia="en-GB"/>
          <w14:ligatures w14:val="none"/>
        </w:rPr>
        <w:t xml:space="preserve"> Patients often assume PPIs are a lifelong treatment, but for most conditions, this is not the case. When prescribing, </w:t>
      </w:r>
      <w:r w:rsidR="00626489" w:rsidRPr="009D431C">
        <w:rPr>
          <w:rFonts w:ascii="Arial" w:eastAsia="Times New Roman" w:hAnsi="Arial" w:cs="Arial"/>
          <w:kern w:val="0"/>
          <w:lang w:eastAsia="en-GB"/>
          <w14:ligatures w14:val="none"/>
        </w:rPr>
        <w:t xml:space="preserve">prescribers </w:t>
      </w:r>
      <w:r w:rsidRPr="009D431C">
        <w:rPr>
          <w:rFonts w:ascii="Arial" w:eastAsia="Times New Roman" w:hAnsi="Arial" w:cs="Arial"/>
          <w:kern w:val="0"/>
          <w:lang w:eastAsia="en-GB"/>
          <w14:ligatures w14:val="none"/>
        </w:rPr>
        <w:t>should clearly communicate:</w:t>
      </w:r>
    </w:p>
    <w:p w14:paraId="630F7E48" w14:textId="77777777" w:rsidR="003E64C3" w:rsidRPr="009D431C" w:rsidRDefault="003E64C3" w:rsidP="003E64C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"PPIs are intended for short-term use in most cases."</w:t>
      </w:r>
    </w:p>
    <w:p w14:paraId="646C7156" w14:textId="2FB23C7F" w:rsidR="003E64C3" w:rsidRPr="009D431C" w:rsidRDefault="003E64C3" w:rsidP="003E64C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kern w:val="0"/>
          <w:lang w:eastAsia="en-GB"/>
          <w14:ligatures w14:val="none"/>
        </w:rPr>
        <w:t xml:space="preserve">"We will review your need for them after </w:t>
      </w:r>
      <w:r w:rsidR="002F5421" w:rsidRPr="009D431C">
        <w:rPr>
          <w:rFonts w:ascii="Arial" w:eastAsia="Times New Roman" w:hAnsi="Arial" w:cs="Arial"/>
          <w:b/>
          <w:kern w:val="0"/>
          <w:lang w:eastAsia="en-GB"/>
          <w14:ligatures w14:val="none"/>
        </w:rPr>
        <w:t>(</w:t>
      </w:r>
      <w:r w:rsidR="35E7CF05" w:rsidRPr="009D431C">
        <w:rPr>
          <w:rFonts w:ascii="Arial" w:eastAsia="Times New Roman" w:hAnsi="Arial" w:cs="Arial"/>
          <w:b/>
          <w:bCs/>
          <w:kern w:val="0"/>
          <w:lang w:eastAsia="en-GB"/>
          <w14:ligatures w14:val="none"/>
        </w:rPr>
        <w:t>X</w:t>
      </w:r>
      <w:r w:rsidRPr="009D431C">
        <w:rPr>
          <w:rFonts w:ascii="Arial" w:eastAsia="Times New Roman" w:hAnsi="Arial" w:cs="Arial"/>
          <w:b/>
          <w:kern w:val="0"/>
          <w:lang w:eastAsia="en-GB"/>
          <w14:ligatures w14:val="none"/>
        </w:rPr>
        <w:t xml:space="preserve"> weeks</w:t>
      </w:r>
      <w:r w:rsidR="002F5421" w:rsidRPr="009D431C">
        <w:rPr>
          <w:rFonts w:ascii="Arial" w:eastAsia="Times New Roman" w:hAnsi="Arial" w:cs="Arial"/>
          <w:b/>
          <w:kern w:val="0"/>
          <w:lang w:eastAsia="en-GB"/>
          <w14:ligatures w14:val="none"/>
        </w:rPr>
        <w:t>)</w:t>
      </w:r>
      <w:r w:rsidRPr="009D431C">
        <w:rPr>
          <w:rFonts w:ascii="Arial" w:eastAsia="Times New Roman" w:hAnsi="Arial" w:cs="Arial"/>
          <w:b/>
          <w:kern w:val="0"/>
          <w:lang w:eastAsia="en-GB"/>
          <w14:ligatures w14:val="none"/>
        </w:rPr>
        <w:t xml:space="preserve"> depending on your condition."</w:t>
      </w:r>
    </w:p>
    <w:p w14:paraId="2F44E0A3" w14:textId="77777777" w:rsidR="003E64C3" w:rsidRPr="009D431C" w:rsidRDefault="003E64C3" w:rsidP="003E64C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"If your symptoms improve, we will look at either stopping or reducing your dose."</w:t>
      </w:r>
    </w:p>
    <w:p w14:paraId="477C988F" w14:textId="3E3E726D" w:rsidR="00DF113B" w:rsidRPr="009D431C" w:rsidRDefault="009C730B" w:rsidP="00DF113B">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kern w:val="0"/>
          <w:lang w:eastAsia="en-GB"/>
          <w14:ligatures w14:val="none"/>
        </w:rPr>
        <w:t>Setting clear expectations and p</w:t>
      </w:r>
      <w:r w:rsidR="003E64C3" w:rsidRPr="009D431C">
        <w:rPr>
          <w:rFonts w:ascii="Arial" w:eastAsia="Times New Roman" w:hAnsi="Arial" w:cs="Arial"/>
          <w:kern w:val="0"/>
          <w:lang w:eastAsia="en-GB"/>
          <w14:ligatures w14:val="none"/>
        </w:rPr>
        <w:t xml:space="preserve">roviding patients with a </w:t>
      </w:r>
      <w:r w:rsidR="003E64C3" w:rsidRPr="009D431C">
        <w:rPr>
          <w:rFonts w:ascii="Arial" w:eastAsia="Times New Roman" w:hAnsi="Arial" w:cs="Arial"/>
          <w:b/>
          <w:kern w:val="0"/>
          <w:lang w:eastAsia="en-GB"/>
          <w14:ligatures w14:val="none"/>
        </w:rPr>
        <w:t>planned stopping strategy</w:t>
      </w:r>
      <w:r w:rsidR="003E64C3" w:rsidRPr="009D431C">
        <w:rPr>
          <w:rFonts w:ascii="Arial" w:eastAsia="Times New Roman" w:hAnsi="Arial" w:cs="Arial"/>
          <w:kern w:val="0"/>
          <w:lang w:eastAsia="en-GB"/>
          <w14:ligatures w14:val="none"/>
        </w:rPr>
        <w:t xml:space="preserve"> at initiation reduces the likelihood of long-term, unnecessary use.</w:t>
      </w:r>
    </w:p>
    <w:p w14:paraId="5172E8E4" w14:textId="77777777" w:rsidR="009858C9" w:rsidRPr="009D431C" w:rsidRDefault="009858C9" w:rsidP="00DF113B">
      <w:pPr>
        <w:spacing w:before="100" w:beforeAutospacing="1" w:after="100" w:afterAutospacing="1" w:line="240" w:lineRule="auto"/>
        <w:rPr>
          <w:rFonts w:ascii="Arial" w:eastAsia="Times New Roman" w:hAnsi="Arial" w:cs="Arial"/>
          <w:kern w:val="0"/>
          <w:lang w:eastAsia="en-GB"/>
          <w14:ligatures w14:val="none"/>
        </w:rPr>
      </w:pPr>
    </w:p>
    <w:p w14:paraId="20701E6D" w14:textId="11F57274" w:rsidR="2937ED95" w:rsidRPr="009D431C" w:rsidRDefault="003E64C3" w:rsidP="00DF113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Arial" w:eastAsia="Times New Roman" w:hAnsi="Arial" w:cs="Arial"/>
          <w:b/>
          <w:bCs/>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Q: How do I deprescribe a </w:t>
      </w:r>
      <w:r w:rsidR="00975C1A"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P</w:t>
      </w:r>
      <w:r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PI safely?</w:t>
      </w:r>
    </w:p>
    <w:p w14:paraId="15AD15BE" w14:textId="579CC851" w:rsidR="00DF113B" w:rsidRPr="009D431C" w:rsidRDefault="003E64C3" w:rsidP="00FB5755">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kern w:val="0"/>
          <w:lang w:eastAsia="en-GB"/>
          <w14:ligatures w14:val="none"/>
        </w:rPr>
        <w:t>A:</w:t>
      </w:r>
      <w:r w:rsidRPr="009D431C">
        <w:rPr>
          <w:rFonts w:ascii="Arial" w:eastAsia="Times New Roman" w:hAnsi="Arial" w:cs="Arial"/>
          <w:kern w:val="0"/>
          <w:lang w:eastAsia="en-GB"/>
          <w14:ligatures w14:val="none"/>
        </w:rPr>
        <w:t xml:space="preserve"> </w:t>
      </w:r>
      <w:r w:rsidR="00506794" w:rsidRPr="009D431C">
        <w:rPr>
          <w:rStyle w:val="Hyperlink"/>
          <w:rFonts w:ascii="Arial" w:eastAsia="Times New Roman" w:hAnsi="Arial" w:cs="Arial"/>
          <w:color w:val="auto"/>
          <w:u w:val="none"/>
          <w:lang w:eastAsia="en-GB"/>
        </w:rPr>
        <w:t xml:space="preserve">It has been estimated that up to 30% of patients may be able to stop a PPI immediately after the initial course of therapy without experiencing symptoms. </w:t>
      </w:r>
      <w:r w:rsidR="6BB91523" w:rsidRPr="009D431C">
        <w:rPr>
          <w:rStyle w:val="Hyperlink"/>
          <w:rFonts w:ascii="Arial" w:eastAsia="Times New Roman" w:hAnsi="Arial" w:cs="Arial"/>
          <w:color w:val="auto"/>
          <w:u w:val="none"/>
          <w:lang w:eastAsia="en-GB"/>
        </w:rPr>
        <w:t>For t</w:t>
      </w:r>
      <w:r w:rsidR="00506794" w:rsidRPr="009D431C">
        <w:rPr>
          <w:rStyle w:val="Hyperlink"/>
          <w:rFonts w:ascii="Arial" w:eastAsia="Times New Roman" w:hAnsi="Arial" w:cs="Arial"/>
          <w:color w:val="auto"/>
          <w:u w:val="none"/>
          <w:lang w:eastAsia="en-GB"/>
        </w:rPr>
        <w:t>hose who have completed a minimum of 4-week course of PPI treatment, which has resulted in the resolution of upper gastrointestinal (GI) symptoms, it is recommended that the daily dose is decreased, or stopped and changed to an ‘as needed’/’on demand’ use</w:t>
      </w:r>
      <w:r w:rsidR="00721DBB" w:rsidRPr="009D431C">
        <w:rPr>
          <w:rStyle w:val="Hyperlink"/>
          <w:rFonts w:ascii="Arial" w:eastAsia="Times New Roman" w:hAnsi="Arial" w:cs="Arial"/>
          <w:color w:val="auto"/>
          <w:u w:val="none"/>
          <w:lang w:eastAsia="en-GB"/>
        </w:rPr>
        <w:t>,</w:t>
      </w:r>
      <w:r w:rsidR="00E17331" w:rsidRPr="009D431C">
        <w:rPr>
          <w:rStyle w:val="Hyperlink"/>
          <w:rFonts w:ascii="Arial" w:eastAsia="Times New Roman" w:hAnsi="Arial" w:cs="Arial"/>
          <w:color w:val="auto"/>
          <w:u w:val="none"/>
          <w:lang w:eastAsia="en-GB"/>
        </w:rPr>
        <w:t xml:space="preserve"> or if symptoms have completely resolved </w:t>
      </w:r>
      <w:r w:rsidR="00A807AD" w:rsidRPr="009D431C">
        <w:rPr>
          <w:rStyle w:val="Hyperlink"/>
          <w:rFonts w:ascii="Arial" w:eastAsia="Times New Roman" w:hAnsi="Arial" w:cs="Arial"/>
          <w:color w:val="auto"/>
          <w:u w:val="none"/>
          <w:lang w:eastAsia="en-GB"/>
        </w:rPr>
        <w:t xml:space="preserve">to </w:t>
      </w:r>
      <w:r w:rsidR="00A807AD" w:rsidRPr="009D431C">
        <w:rPr>
          <w:rStyle w:val="Hyperlink"/>
          <w:rFonts w:ascii="Arial" w:eastAsia="Times New Roman" w:hAnsi="Arial" w:cs="Arial"/>
          <w:b/>
          <w:bCs/>
          <w:color w:val="auto"/>
          <w:u w:val="none"/>
          <w:lang w:eastAsia="en-GB"/>
        </w:rPr>
        <w:t>stop treatment</w:t>
      </w:r>
      <w:r w:rsidR="00A807AD" w:rsidRPr="009D431C">
        <w:rPr>
          <w:rStyle w:val="Hyperlink"/>
          <w:rFonts w:ascii="Arial" w:eastAsia="Times New Roman" w:hAnsi="Arial" w:cs="Arial"/>
          <w:color w:val="auto"/>
          <w:u w:val="none"/>
          <w:lang w:eastAsia="en-GB"/>
        </w:rPr>
        <w:t>.</w:t>
      </w:r>
      <w:r w:rsidR="008F248A" w:rsidRPr="009D431C">
        <w:rPr>
          <w:rStyle w:val="Hyperlink"/>
          <w:rFonts w:ascii="Arial" w:eastAsia="Times New Roman" w:hAnsi="Arial" w:cs="Arial"/>
          <w:color w:val="auto"/>
          <w:u w:val="none"/>
          <w:lang w:eastAsia="en-GB"/>
        </w:rPr>
        <w:t xml:space="preserve"> Patients can manage occasional symptoms using over the counter antacid, alginate, PPI or </w:t>
      </w:r>
      <w:r w:rsidR="008F248A" w:rsidRPr="009D431C">
        <w:rPr>
          <w:rFonts w:ascii="Arial" w:hAnsi="Arial" w:cs="Arial"/>
        </w:rPr>
        <w:t>H</w:t>
      </w:r>
      <w:r w:rsidR="008F248A" w:rsidRPr="009D431C">
        <w:rPr>
          <w:rFonts w:ascii="Arial" w:hAnsi="Arial" w:cs="Arial"/>
          <w:vertAlign w:val="subscript"/>
        </w:rPr>
        <w:t>2</w:t>
      </w:r>
      <w:r w:rsidR="008F248A" w:rsidRPr="009D431C">
        <w:rPr>
          <w:rFonts w:ascii="Arial" w:hAnsi="Arial" w:cs="Arial"/>
        </w:rPr>
        <w:t xml:space="preserve">RA as needed, available from a local community pharmacy or supermarket. </w:t>
      </w:r>
    </w:p>
    <w:p w14:paraId="7C3CC673" w14:textId="429628EE" w:rsidR="00DF113B" w:rsidRPr="009D431C" w:rsidRDefault="00973940" w:rsidP="00FB5755">
      <w:pPr>
        <w:spacing w:before="100" w:beforeAutospacing="1" w:after="100" w:afterAutospacing="1" w:line="240" w:lineRule="auto"/>
        <w:rPr>
          <w:rFonts w:ascii="Arial" w:eastAsia="Times New Roman" w:hAnsi="Arial" w:cs="Arial"/>
          <w:b/>
          <w:bCs/>
          <w:color w:val="FF0000"/>
          <w:kern w:val="0"/>
          <w:lang w:eastAsia="en-GB"/>
          <w14:ligatures w14:val="none"/>
        </w:rPr>
      </w:pPr>
      <w:r w:rsidRPr="009D431C">
        <w:rPr>
          <w:rFonts w:ascii="Arial" w:eastAsia="Times New Roman" w:hAnsi="Arial" w:cs="Arial"/>
          <w:b/>
          <w:bCs/>
          <w:color w:val="FF0000"/>
          <w:kern w:val="0"/>
          <w:lang w:eastAsia="en-GB"/>
          <w14:ligatures w14:val="none"/>
        </w:rPr>
        <w:t>A deprescribing algorithm for adults taking PPIs is linked below:</w:t>
      </w:r>
    </w:p>
    <w:p w14:paraId="33346A4A" w14:textId="4168B045" w:rsidR="001C0D57" w:rsidRPr="009D431C" w:rsidRDefault="00C532D8" w:rsidP="008F248A">
      <w:pPr>
        <w:spacing w:before="100" w:beforeAutospacing="1" w:after="100" w:afterAutospacing="1" w:line="240" w:lineRule="auto"/>
        <w:rPr>
          <w:rFonts w:ascii="Arial" w:eastAsia="Times New Roman" w:hAnsi="Arial" w:cs="Arial"/>
          <w:color w:val="0000FF"/>
          <w:kern w:val="0"/>
          <w:lang w:eastAsia="en-GB"/>
          <w14:ligatures w14:val="none"/>
        </w:rPr>
      </w:pPr>
      <w:hyperlink r:id="rId34">
        <w:r w:rsidR="00973940" w:rsidRPr="009D431C">
          <w:rPr>
            <w:rStyle w:val="Hyperlink"/>
            <w:rFonts w:ascii="Arial" w:eastAsia="Times New Roman" w:hAnsi="Arial" w:cs="Arial"/>
            <w:color w:val="0000FF"/>
            <w:lang w:eastAsia="en-GB"/>
          </w:rPr>
          <w:t>Proton Pump Inhibitor (PPI</w:t>
        </w:r>
        <w:r w:rsidR="008D581D" w:rsidRPr="009D431C">
          <w:rPr>
            <w:rStyle w:val="Hyperlink"/>
            <w:rFonts w:ascii="Arial" w:eastAsia="Times New Roman" w:hAnsi="Arial" w:cs="Arial"/>
            <w:color w:val="0000FF"/>
            <w:lang w:eastAsia="en-GB"/>
          </w:rPr>
          <w:t>):</w:t>
        </w:r>
        <w:r w:rsidR="00973940" w:rsidRPr="009D431C">
          <w:rPr>
            <w:rStyle w:val="Hyperlink"/>
            <w:rFonts w:ascii="Arial" w:eastAsia="Times New Roman" w:hAnsi="Arial" w:cs="Arial"/>
            <w:color w:val="0000FF"/>
            <w:lang w:eastAsia="en-GB"/>
          </w:rPr>
          <w:t xml:space="preserve"> Deprescribing algorithm (adults)</w:t>
        </w:r>
      </w:hyperlink>
    </w:p>
    <w:p w14:paraId="1069C582" w14:textId="4CBFF843" w:rsidR="7F74885E" w:rsidRPr="009D431C" w:rsidRDefault="7F74885E" w:rsidP="00156316">
      <w:pPr>
        <w:spacing w:beforeAutospacing="1" w:afterAutospacing="1" w:line="240" w:lineRule="auto"/>
        <w:rPr>
          <w:rFonts w:ascii="Arial" w:eastAsia="Times New Roman" w:hAnsi="Arial" w:cs="Arial"/>
          <w:lang w:eastAsia="en-GB"/>
        </w:rPr>
      </w:pPr>
    </w:p>
    <w:p w14:paraId="761161A8" w14:textId="2C27E75A" w:rsidR="2864B138" w:rsidRPr="009D431C" w:rsidRDefault="008E3493" w:rsidP="00DF113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Q: What if a patient insists on staying on a PPI long-term?</w:t>
      </w:r>
    </w:p>
    <w:p w14:paraId="036991C1" w14:textId="77777777" w:rsidR="008E3493" w:rsidRPr="009D431C" w:rsidRDefault="008E3493" w:rsidP="008E3493">
      <w:p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A:</w:t>
      </w:r>
      <w:r w:rsidRPr="009D431C">
        <w:rPr>
          <w:rFonts w:ascii="Arial" w:eastAsia="Times New Roman" w:hAnsi="Arial" w:cs="Arial"/>
          <w:kern w:val="0"/>
          <w:lang w:eastAsia="en-GB"/>
          <w14:ligatures w14:val="none"/>
        </w:rPr>
        <w:t xml:space="preserve"> Some patients may be concerned about stopping their medication. </w:t>
      </w:r>
      <w:r w:rsidRPr="009D431C">
        <w:rPr>
          <w:rFonts w:ascii="Arial" w:eastAsia="Times New Roman" w:hAnsi="Arial" w:cs="Arial"/>
          <w:b/>
          <w:bCs/>
          <w:kern w:val="0"/>
          <w:lang w:eastAsia="en-GB"/>
          <w14:ligatures w14:val="none"/>
        </w:rPr>
        <w:t>Key points to address:</w:t>
      </w:r>
    </w:p>
    <w:p w14:paraId="393B0336" w14:textId="30759050" w:rsidR="00B53931" w:rsidRPr="009D431C" w:rsidRDefault="008E3493" w:rsidP="00E56289">
      <w:pPr>
        <w:pStyle w:val="ListParagraph"/>
        <w:numPr>
          <w:ilvl w:val="0"/>
          <w:numId w:val="11"/>
        </w:numPr>
        <w:spacing w:before="100" w:beforeAutospacing="1" w:after="100" w:afterAutospacing="1" w:line="240" w:lineRule="auto"/>
        <w:rPr>
          <w:rFonts w:ascii="Arial" w:eastAsia="Times New Roman" w:hAnsi="Arial" w:cs="Arial"/>
          <w:lang w:eastAsia="en-GB"/>
        </w:rPr>
      </w:pPr>
      <w:r w:rsidRPr="009D431C">
        <w:rPr>
          <w:rFonts w:ascii="Arial" w:eastAsia="Times New Roman" w:hAnsi="Arial" w:cs="Arial"/>
          <w:b/>
          <w:bCs/>
          <w:lang w:eastAsia="en-GB"/>
        </w:rPr>
        <w:t>"Long-term PPI use is not risk-free</w:t>
      </w:r>
      <w:r w:rsidR="00B53931" w:rsidRPr="009D431C">
        <w:rPr>
          <w:rFonts w:ascii="Arial" w:eastAsia="Times New Roman" w:hAnsi="Arial" w:cs="Arial"/>
          <w:b/>
          <w:bCs/>
          <w:lang w:eastAsia="en-GB"/>
        </w:rPr>
        <w:t>” and may:</w:t>
      </w:r>
    </w:p>
    <w:p w14:paraId="17EEE472" w14:textId="60119A26" w:rsidR="00E56289" w:rsidRPr="009D431C" w:rsidRDefault="00B53931" w:rsidP="00DF113B">
      <w:pPr>
        <w:spacing w:before="100" w:beforeAutospacing="1" w:after="100" w:afterAutospacing="1" w:line="240" w:lineRule="auto"/>
        <w:ind w:left="720"/>
        <w:rPr>
          <w:rFonts w:ascii="Arial" w:eastAsia="Times New Roman" w:hAnsi="Arial" w:cs="Arial"/>
          <w:color w:val="000000" w:themeColor="text1"/>
          <w:lang w:eastAsia="en-GB"/>
        </w:rPr>
      </w:pPr>
      <w:r w:rsidRPr="009D431C">
        <w:rPr>
          <w:rFonts w:ascii="Arial" w:eastAsia="Times New Roman" w:hAnsi="Arial" w:cs="Arial"/>
          <w:color w:val="000000"/>
          <w:kern w:val="0"/>
          <w:lang w:eastAsia="en-GB"/>
          <w14:ligatures w14:val="none"/>
        </w:rPr>
        <w:t>-Increase the risk of developing </w:t>
      </w:r>
      <w:r w:rsidRPr="009D431C">
        <w:rPr>
          <w:rFonts w:ascii="Arial" w:eastAsia="Times New Roman" w:hAnsi="Arial" w:cs="Arial"/>
          <w:i/>
          <w:color w:val="000000"/>
          <w:kern w:val="0"/>
          <w:lang w:eastAsia="en-GB"/>
          <w14:ligatures w14:val="none"/>
        </w:rPr>
        <w:t>Clostridium</w:t>
      </w:r>
      <w:r w:rsidRPr="009D431C">
        <w:rPr>
          <w:rFonts w:ascii="Arial" w:eastAsia="Times New Roman" w:hAnsi="Arial" w:cs="Arial"/>
          <w:color w:val="000000"/>
          <w:kern w:val="0"/>
          <w:lang w:eastAsia="en-GB"/>
          <w14:ligatures w14:val="none"/>
        </w:rPr>
        <w:t> </w:t>
      </w:r>
      <w:r w:rsidRPr="009D431C">
        <w:rPr>
          <w:rFonts w:ascii="Arial" w:eastAsia="Times New Roman" w:hAnsi="Arial" w:cs="Arial"/>
          <w:i/>
          <w:color w:val="000000"/>
          <w:kern w:val="0"/>
          <w:lang w:eastAsia="en-GB"/>
          <w14:ligatures w14:val="none"/>
        </w:rPr>
        <w:t>difficile</w:t>
      </w:r>
      <w:r w:rsidRPr="009D431C">
        <w:rPr>
          <w:rFonts w:ascii="Arial" w:eastAsia="Times New Roman" w:hAnsi="Arial" w:cs="Arial"/>
          <w:color w:val="000000"/>
          <w:kern w:val="0"/>
          <w:lang w:eastAsia="en-GB"/>
          <w14:ligatures w14:val="none"/>
        </w:rPr>
        <w:t xml:space="preserve">, a gut infection causing severe diarrhoea; -Mask gastric and stomach cancers;                                                                                                       -Increase the risk of broken bones, especially in the elderly population;                                                                                                                                                 -Increase the risk of pneumonia; </w:t>
      </w:r>
      <w:r w:rsidR="00DF113B" w:rsidRPr="009D431C">
        <w:rPr>
          <w:rFonts w:ascii="Arial" w:eastAsia="Times New Roman" w:hAnsi="Arial" w:cs="Arial"/>
          <w:color w:val="000000" w:themeColor="text1"/>
          <w:lang w:eastAsia="en-GB"/>
        </w:rPr>
        <w:t xml:space="preserve">                                                                                                           </w:t>
      </w:r>
      <w:r w:rsidR="1E395D4C" w:rsidRPr="009D431C">
        <w:rPr>
          <w:rFonts w:ascii="Arial" w:eastAsia="Times New Roman" w:hAnsi="Arial" w:cs="Arial"/>
          <w:color w:val="000000"/>
          <w:kern w:val="0"/>
          <w:lang w:eastAsia="en-GB"/>
          <w14:ligatures w14:val="none"/>
        </w:rPr>
        <w:t>-</w:t>
      </w:r>
      <w:r w:rsidRPr="009D431C">
        <w:rPr>
          <w:rFonts w:ascii="Arial" w:eastAsia="Times New Roman" w:hAnsi="Arial" w:cs="Arial"/>
          <w:color w:val="000000"/>
          <w:kern w:val="0"/>
          <w:lang w:eastAsia="en-GB"/>
          <w14:ligatures w14:val="none"/>
        </w:rPr>
        <w:t>Reduce the body’s magnesium level leading to tiredness, muscle weakness and other more serious side effects which include convulsions, dizziness, and abnormal heart rhythms.</w:t>
      </w:r>
    </w:p>
    <w:p w14:paraId="73EBAD1A" w14:textId="2E0F319B" w:rsidR="008E3493" w:rsidRPr="009D431C" w:rsidRDefault="008E3493" w:rsidP="00E56289">
      <w:pPr>
        <w:pStyle w:val="ListParagraph"/>
        <w:numPr>
          <w:ilvl w:val="0"/>
          <w:numId w:val="10"/>
        </w:numPr>
        <w:spacing w:before="100" w:beforeAutospacing="1" w:after="100" w:afterAutospacing="1" w:line="240" w:lineRule="auto"/>
        <w:rPr>
          <w:rFonts w:ascii="Arial" w:eastAsia="Times New Roman" w:hAnsi="Arial" w:cs="Arial"/>
          <w:color w:val="000000"/>
          <w:lang w:eastAsia="en-GB"/>
        </w:rPr>
      </w:pPr>
      <w:r w:rsidRPr="009D431C">
        <w:rPr>
          <w:rFonts w:ascii="Arial" w:eastAsia="Times New Roman" w:hAnsi="Arial" w:cs="Arial"/>
          <w:b/>
          <w:bCs/>
          <w:lang w:eastAsia="en-GB"/>
        </w:rPr>
        <w:t>"We will only continue PPIs long-term if clinically necessary."</w:t>
      </w:r>
      <w:r w:rsidRPr="009D431C">
        <w:rPr>
          <w:rFonts w:ascii="Arial" w:eastAsia="Times New Roman" w:hAnsi="Arial" w:cs="Arial"/>
          <w:lang w:eastAsia="en-GB"/>
        </w:rPr>
        <w:t xml:space="preserve"> This includes cases such as severe oesophagitis, Barrett’s oesophagus, or Zollinger-Ellison Syndrome.</w:t>
      </w:r>
    </w:p>
    <w:p w14:paraId="5492DBE5" w14:textId="4CD971E4" w:rsidR="00036483" w:rsidRPr="009D431C" w:rsidRDefault="008E3493" w:rsidP="150E9BB2">
      <w:pPr>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kern w:val="0"/>
          <w:lang w:eastAsia="en-GB"/>
          <w14:ligatures w14:val="none"/>
        </w:rPr>
        <w:t>"Regular reviews are important to ensure you're on the lowest effective dose."</w:t>
      </w:r>
      <w:r w:rsidR="002630CA" w:rsidRPr="009D431C">
        <w:rPr>
          <w:rFonts w:ascii="Arial" w:hAnsi="Arial" w:cs="Arial"/>
        </w:rPr>
        <w:t xml:space="preserve"> PPIs should be reviewed between four and eight weeks after starting treatment. Due to adverse effects, people who need long-term PPI therapy should be offered an annual review and encouraged to try stepping down PPI therapy to the lowest dose needed to control symptoms, treatment on an ‘as needed’ basis, self-treatment with antacid and/or alginate therapy either prescribed or purchased over the counter.</w:t>
      </w:r>
    </w:p>
    <w:p w14:paraId="46E8C55A" w14:textId="77777777" w:rsidR="00AF361B" w:rsidRDefault="00A65E2C" w:rsidP="002630CA">
      <w:pPr>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9D431C">
        <w:rPr>
          <w:rFonts w:ascii="Arial" w:eastAsia="Times New Roman" w:hAnsi="Arial" w:cs="Arial"/>
          <w:b/>
          <w:bCs/>
          <w:kern w:val="0"/>
          <w:lang w:eastAsia="en-GB"/>
          <w14:ligatures w14:val="none"/>
        </w:rPr>
        <w:t>“</w:t>
      </w:r>
      <w:r w:rsidR="009C730B" w:rsidRPr="009D431C">
        <w:rPr>
          <w:rFonts w:ascii="Arial" w:eastAsia="Times New Roman" w:hAnsi="Arial" w:cs="Arial"/>
          <w:b/>
          <w:bCs/>
          <w:kern w:val="0"/>
          <w:lang w:eastAsia="en-GB"/>
          <w14:ligatures w14:val="none"/>
        </w:rPr>
        <w:t xml:space="preserve">PPIs can contribute to the risk of falls in </w:t>
      </w:r>
      <w:r w:rsidRPr="009D431C">
        <w:rPr>
          <w:rFonts w:ascii="Arial" w:eastAsia="Times New Roman" w:hAnsi="Arial" w:cs="Arial"/>
          <w:b/>
          <w:bCs/>
          <w:kern w:val="0"/>
          <w:lang w:eastAsia="en-GB"/>
          <w14:ligatures w14:val="none"/>
        </w:rPr>
        <w:t>older people</w:t>
      </w:r>
      <w:r w:rsidR="009C730B" w:rsidRPr="009D431C">
        <w:rPr>
          <w:rFonts w:ascii="Arial" w:eastAsia="Times New Roman" w:hAnsi="Arial" w:cs="Arial"/>
          <w:b/>
          <w:bCs/>
          <w:kern w:val="0"/>
          <w:lang w:eastAsia="en-GB"/>
          <w14:ligatures w14:val="none"/>
        </w:rPr>
        <w:t xml:space="preserve"> when taking </w:t>
      </w:r>
      <w:r w:rsidRPr="009D431C">
        <w:rPr>
          <w:rFonts w:ascii="Arial" w:eastAsia="Times New Roman" w:hAnsi="Arial" w:cs="Arial"/>
          <w:b/>
          <w:bCs/>
          <w:kern w:val="0"/>
          <w:lang w:eastAsia="en-GB"/>
          <w14:ligatures w14:val="none"/>
        </w:rPr>
        <w:t>at the same time as some other medications</w:t>
      </w:r>
      <w:r w:rsidR="00036483" w:rsidRPr="009D431C">
        <w:rPr>
          <w:rFonts w:ascii="Arial" w:eastAsia="Times New Roman" w:hAnsi="Arial" w:cs="Arial"/>
          <w:b/>
          <w:bCs/>
          <w:kern w:val="0"/>
          <w:lang w:eastAsia="en-GB"/>
          <w14:ligatures w14:val="none"/>
        </w:rPr>
        <w:t>.</w:t>
      </w:r>
      <w:r w:rsidRPr="009D431C">
        <w:rPr>
          <w:rFonts w:ascii="Arial" w:eastAsia="Times New Roman" w:hAnsi="Arial" w:cs="Arial"/>
          <w:b/>
          <w:bCs/>
          <w:kern w:val="0"/>
          <w:lang w:eastAsia="en-GB"/>
          <w14:ligatures w14:val="none"/>
        </w:rPr>
        <w:t xml:space="preserve">” </w:t>
      </w:r>
      <w:r w:rsidRPr="009D431C">
        <w:rPr>
          <w:rFonts w:ascii="Arial" w:eastAsia="Times New Roman" w:hAnsi="Arial" w:cs="Arial"/>
          <w:kern w:val="0"/>
          <w:lang w:eastAsia="en-GB"/>
          <w14:ligatures w14:val="none"/>
        </w:rPr>
        <w:t xml:space="preserve">PPIs have an anticholinergic burden score of </w:t>
      </w:r>
      <w:r w:rsidR="00036483" w:rsidRPr="009D431C">
        <w:rPr>
          <w:rFonts w:ascii="Arial" w:eastAsia="Times New Roman" w:hAnsi="Arial" w:cs="Arial"/>
          <w:kern w:val="0"/>
          <w:lang w:eastAsia="en-GB"/>
          <w14:ligatures w14:val="none"/>
        </w:rPr>
        <w:t>O</w:t>
      </w:r>
      <w:r w:rsidR="00B0492C" w:rsidRPr="009D431C">
        <w:rPr>
          <w:rFonts w:ascii="Arial" w:eastAsia="Times New Roman" w:hAnsi="Arial" w:cs="Arial"/>
          <w:kern w:val="0"/>
          <w:lang w:eastAsia="en-GB"/>
          <w14:ligatures w14:val="none"/>
        </w:rPr>
        <w:t>NE</w:t>
      </w:r>
      <w:r w:rsidRPr="009D431C">
        <w:rPr>
          <w:rFonts w:ascii="Arial" w:eastAsia="Times New Roman" w:hAnsi="Arial" w:cs="Arial"/>
          <w:kern w:val="0"/>
          <w:lang w:eastAsia="en-GB"/>
          <w14:ligatures w14:val="none"/>
        </w:rPr>
        <w:t xml:space="preserve"> and can contribute to falls in the elderly</w:t>
      </w:r>
      <w:r w:rsidR="00036483" w:rsidRPr="009D431C">
        <w:rPr>
          <w:rFonts w:ascii="Arial" w:eastAsia="Times New Roman" w:hAnsi="Arial" w:cs="Arial"/>
          <w:kern w:val="0"/>
          <w:lang w:eastAsia="en-GB"/>
          <w14:ligatures w14:val="none"/>
        </w:rPr>
        <w:t>.</w:t>
      </w:r>
    </w:p>
    <w:p w14:paraId="5FB28D08" w14:textId="77777777" w:rsidR="00AF361B" w:rsidRDefault="00AF361B" w:rsidP="00AF361B">
      <w:pPr>
        <w:spacing w:before="100" w:beforeAutospacing="1" w:after="100" w:afterAutospacing="1" w:line="240" w:lineRule="auto"/>
        <w:ind w:left="720"/>
        <w:rPr>
          <w:rFonts w:ascii="Arial" w:eastAsia="Times New Roman" w:hAnsi="Arial" w:cs="Arial"/>
          <w:kern w:val="0"/>
          <w:lang w:eastAsia="en-GB"/>
          <w14:ligatures w14:val="none"/>
        </w:rPr>
      </w:pPr>
    </w:p>
    <w:p w14:paraId="38BF0D90" w14:textId="6AE7F518" w:rsidR="002630CA" w:rsidRPr="00AF361B" w:rsidRDefault="008E3493" w:rsidP="002630CA">
      <w:pPr>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AF361B">
        <w:rPr>
          <w:rFonts w:ascii="Arial" w:eastAsia="Times New Roman" w:hAnsi="Arial" w:cs="Arial"/>
          <w:kern w:val="0"/>
          <w:lang w:eastAsia="en-GB"/>
          <w14:ligatures w14:val="none"/>
        </w:rPr>
        <w:t xml:space="preserve">By reinforcing these messages, we can </w:t>
      </w:r>
      <w:r w:rsidRPr="00AF361B">
        <w:rPr>
          <w:rFonts w:ascii="Arial" w:eastAsia="Times New Roman" w:hAnsi="Arial" w:cs="Arial"/>
          <w:b/>
          <w:kern w:val="0"/>
          <w:lang w:eastAsia="en-GB"/>
          <w14:ligatures w14:val="none"/>
        </w:rPr>
        <w:t>prevent unnecessary long-term prescribing</w:t>
      </w:r>
      <w:r w:rsidRPr="00AF361B">
        <w:rPr>
          <w:rFonts w:ascii="Arial" w:eastAsia="Times New Roman" w:hAnsi="Arial" w:cs="Arial"/>
          <w:kern w:val="0"/>
          <w:lang w:eastAsia="en-GB"/>
          <w14:ligatures w14:val="none"/>
        </w:rPr>
        <w:t xml:space="preserve"> and improve patient understanding.</w:t>
      </w:r>
    </w:p>
    <w:p w14:paraId="78F815BD" w14:textId="77777777" w:rsidR="004048BD" w:rsidRPr="009D431C" w:rsidRDefault="004048BD" w:rsidP="002630CA">
      <w:pPr>
        <w:spacing w:before="100" w:beforeAutospacing="1" w:after="100" w:afterAutospacing="1" w:line="240" w:lineRule="auto"/>
        <w:rPr>
          <w:rFonts w:ascii="Arial" w:eastAsia="Times New Roman" w:hAnsi="Arial" w:cs="Arial"/>
          <w:kern w:val="0"/>
          <w:lang w:eastAsia="en-GB"/>
          <w14:ligatures w14:val="none"/>
        </w:rPr>
      </w:pPr>
    </w:p>
    <w:p w14:paraId="64A9C4DE" w14:textId="77777777" w:rsidR="004048BD" w:rsidRPr="009D431C" w:rsidRDefault="004048BD" w:rsidP="002630CA">
      <w:pPr>
        <w:spacing w:before="100" w:beforeAutospacing="1" w:after="100" w:afterAutospacing="1" w:line="240" w:lineRule="auto"/>
        <w:rPr>
          <w:rFonts w:ascii="Arial" w:eastAsia="Times New Roman" w:hAnsi="Arial" w:cs="Arial"/>
          <w:kern w:val="0"/>
          <w:lang w:eastAsia="en-GB"/>
          <w14:ligatures w14:val="none"/>
        </w:rPr>
      </w:pPr>
    </w:p>
    <w:p w14:paraId="7D6CA4C2" w14:textId="77777777" w:rsidR="001726D1" w:rsidRPr="009D431C" w:rsidRDefault="001726D1" w:rsidP="001726D1">
      <w:pPr>
        <w:pBdr>
          <w:top w:val="single" w:sz="4" w:space="1" w:color="auto"/>
          <w:left w:val="single" w:sz="4" w:space="4" w:color="auto"/>
          <w:bottom w:val="single" w:sz="4" w:space="1" w:color="auto"/>
          <w:right w:val="single" w:sz="4" w:space="4" w:color="auto"/>
        </w:pBdr>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 Are there any risks prescribing a PPI with clopidogrel and other drugs?</w:t>
      </w:r>
    </w:p>
    <w:p w14:paraId="4BF9B032" w14:textId="77777777" w:rsidR="001726D1" w:rsidRPr="009D431C" w:rsidRDefault="001726D1" w:rsidP="001726D1">
      <w:pPr>
        <w:rPr>
          <w:rFonts w:ascii="Arial" w:hAnsi="Arial" w:cs="Arial"/>
          <w:color w:val="000000" w:themeColor="text1"/>
        </w:rPr>
      </w:pPr>
    </w:p>
    <w:p w14:paraId="44E9429C" w14:textId="77777777" w:rsidR="001726D1" w:rsidRPr="009D431C" w:rsidRDefault="001726D1" w:rsidP="001726D1">
      <w:pPr>
        <w:rPr>
          <w:rFonts w:ascii="Arial" w:eastAsia="Times New Roman" w:hAnsi="Arial" w:cs="Arial"/>
          <w:color w:val="000000"/>
        </w:rPr>
      </w:pPr>
      <w:r w:rsidRPr="009D431C">
        <w:rPr>
          <w:rFonts w:ascii="Arial" w:hAnsi="Arial" w:cs="Arial"/>
          <w:b/>
          <w:bCs/>
          <w:color w:val="000000" w:themeColor="text1"/>
        </w:rPr>
        <w:t>A</w:t>
      </w:r>
      <w:r w:rsidRPr="009D431C">
        <w:rPr>
          <w:rFonts w:ascii="Arial" w:hAnsi="Arial" w:cs="Arial"/>
          <w:color w:val="000000" w:themeColor="text1"/>
        </w:rPr>
        <w:t xml:space="preserve">: </w:t>
      </w:r>
      <w:r w:rsidRPr="009D431C">
        <w:rPr>
          <w:rFonts w:ascii="Arial" w:hAnsi="Arial" w:cs="Arial"/>
          <w:b/>
          <w:bCs/>
          <w:color w:val="000000" w:themeColor="text1"/>
        </w:rPr>
        <w:t>Yes</w:t>
      </w:r>
      <w:r w:rsidRPr="009D431C">
        <w:rPr>
          <w:rFonts w:ascii="Arial" w:hAnsi="Arial" w:cs="Arial"/>
          <w:color w:val="000000" w:themeColor="text1"/>
        </w:rPr>
        <w:t>. C</w:t>
      </w:r>
      <w:r w:rsidRPr="009D431C">
        <w:rPr>
          <w:rFonts w:ascii="Arial" w:hAnsi="Arial" w:cs="Arial"/>
          <w:color w:val="0B0C0C"/>
          <w:shd w:val="clear" w:color="auto" w:fill="FFFFFF"/>
        </w:rPr>
        <w:t xml:space="preserve">oncomitant use of clopidogrel with omeprazole or esomeprazole should be discouraged. Information for prescribers and patients has been updated in the </w:t>
      </w:r>
      <w:hyperlink r:id="rId35" w:anchor=":~:text=Concomitant%20use%20of%20clopidogrel%20and,therapies%20would%20be%20more%20suitable" w:history="1">
        <w:r w:rsidRPr="009D431C">
          <w:rPr>
            <w:rStyle w:val="Hyperlink"/>
            <w:rFonts w:ascii="Arial" w:hAnsi="Arial" w:cs="Arial"/>
            <w:color w:val="0000FF"/>
            <w:shd w:val="clear" w:color="auto" w:fill="FFFFFF"/>
          </w:rPr>
          <w:t>MHRA</w:t>
        </w:r>
      </w:hyperlink>
      <w:r w:rsidRPr="009D431C">
        <w:rPr>
          <w:rFonts w:ascii="Arial" w:hAnsi="Arial" w:cs="Arial"/>
          <w:color w:val="0B0C0C"/>
          <w:shd w:val="clear" w:color="auto" w:fill="FFFFFF"/>
        </w:rPr>
        <w:t xml:space="preserve"> alert. The research paper in the </w:t>
      </w:r>
      <w:hyperlink r:id="rId36" w:history="1">
        <w:r w:rsidRPr="009D431C">
          <w:rPr>
            <w:rFonts w:ascii="Arial" w:hAnsi="Arial" w:cs="Arial"/>
            <w:color w:val="0000FF"/>
            <w:u w:val="single"/>
          </w:rPr>
          <w:t>BJGP Open</w:t>
        </w:r>
      </w:hyperlink>
      <w:r w:rsidRPr="009D431C">
        <w:rPr>
          <w:rFonts w:ascii="Arial" w:hAnsi="Arial" w:cs="Arial"/>
        </w:rPr>
        <w:t xml:space="preserve"> found that 18% of patients, diagnosed for long-term treatment with omeprazole or esomeprazole, were also prescribed clopidogrel. By logging into </w:t>
      </w:r>
      <w:hyperlink r:id="rId37" w:history="1">
        <w:r w:rsidRPr="009D431C">
          <w:rPr>
            <w:rStyle w:val="Hyperlink"/>
            <w:rFonts w:ascii="Arial" w:hAnsi="Arial" w:cs="Arial"/>
            <w:color w:val="0000FF"/>
            <w14:ligatures w14:val="none"/>
          </w:rPr>
          <w:t>Eclipse</w:t>
        </w:r>
      </w:hyperlink>
      <w:r w:rsidRPr="009D431C">
        <w:rPr>
          <w:rFonts w:ascii="Arial" w:hAnsi="Arial" w:cs="Arial"/>
          <w14:ligatures w14:val="none"/>
        </w:rPr>
        <w:t xml:space="preserve"> and using the direct </w:t>
      </w:r>
      <w:hyperlink r:id="rId38" w:history="1">
        <w:r w:rsidRPr="009D431C">
          <w:rPr>
            <w:rStyle w:val="Hyperlink"/>
            <w:rFonts w:ascii="Arial" w:eastAsia="Times New Roman" w:hAnsi="Arial" w:cs="Arial"/>
            <w:color w:val="0000FF"/>
          </w:rPr>
          <w:t>link</w:t>
        </w:r>
      </w:hyperlink>
      <w:r w:rsidRPr="009D431C">
        <w:rPr>
          <w:rFonts w:ascii="Arial" w:eastAsia="Times New Roman" w:hAnsi="Arial" w:cs="Arial"/>
          <w:color w:val="000000"/>
          <w:sz w:val="24"/>
          <w:szCs w:val="24"/>
        </w:rPr>
        <w:t xml:space="preserve"> </w:t>
      </w:r>
      <w:r w:rsidRPr="009D431C">
        <w:rPr>
          <w:rFonts w:ascii="Arial" w:eastAsia="Times New Roman" w:hAnsi="Arial" w:cs="Arial"/>
          <w:color w:val="000000"/>
        </w:rPr>
        <w:t xml:space="preserve">to the 'clopidogrel with omeprazole/esomeprazole drug alert' patients can be identified by filtering at a practice level. </w:t>
      </w:r>
    </w:p>
    <w:p w14:paraId="43AD2959" w14:textId="613E672F" w:rsidR="001726D1" w:rsidRPr="009D431C" w:rsidRDefault="001726D1" w:rsidP="001726D1">
      <w:pPr>
        <w:rPr>
          <w:rFonts w:ascii="Arial" w:eastAsia="Times New Roman" w:hAnsi="Arial" w:cs="Arial"/>
          <w:color w:val="000000"/>
          <w:sz w:val="24"/>
          <w:szCs w:val="24"/>
        </w:rPr>
      </w:pPr>
      <w:r w:rsidRPr="009D431C">
        <w:rPr>
          <w:rFonts w:ascii="Arial" w:hAnsi="Arial" w:cs="Arial"/>
          <w:color w:val="0B0C0C"/>
          <w:shd w:val="clear" w:color="auto" w:fill="FFFFFF"/>
        </w:rPr>
        <w:t xml:space="preserve">There may be possible </w:t>
      </w:r>
      <w:hyperlink r:id="rId39" w:history="1">
        <w:r w:rsidRPr="009D431C">
          <w:rPr>
            <w:rFonts w:ascii="Arial" w:hAnsi="Arial" w:cs="Arial"/>
            <w:color w:val="0000FF"/>
            <w:u w:val="single"/>
          </w:rPr>
          <w:t>drug interactions</w:t>
        </w:r>
      </w:hyperlink>
      <w:r w:rsidRPr="009D431C">
        <w:rPr>
          <w:rFonts w:ascii="Arial" w:hAnsi="Arial" w:cs="Arial"/>
        </w:rPr>
        <w:t xml:space="preserve"> with certain medications which should be checked when reviewing or initiating a PPI. </w:t>
      </w:r>
    </w:p>
    <w:p w14:paraId="1E0B3F22" w14:textId="7A6AB9F4" w:rsidR="66DE4101" w:rsidRPr="009D431C" w:rsidRDefault="66DE4101" w:rsidP="66DE4101">
      <w:pPr>
        <w:spacing w:beforeAutospacing="1" w:afterAutospacing="1" w:line="240" w:lineRule="auto"/>
        <w:rPr>
          <w:rFonts w:ascii="Arial" w:eastAsia="Times New Roman" w:hAnsi="Arial" w:cs="Arial"/>
          <w:lang w:eastAsia="en-GB"/>
        </w:rPr>
      </w:pPr>
    </w:p>
    <w:p w14:paraId="31EC1A51" w14:textId="1B2E3A28" w:rsidR="00744C5B" w:rsidRPr="009D431C" w:rsidRDefault="002630CA" w:rsidP="001C0D5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Q: </w:t>
      </w:r>
      <w:r w:rsidR="006E7DC4"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How can GP </w:t>
      </w:r>
      <w:r w:rsidR="008F5AFF"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p</w:t>
      </w:r>
      <w:r w:rsidR="006E7DC4" w:rsidRPr="009D431C">
        <w:rPr>
          <w:rFonts w:ascii="Arial" w:eastAsia="Times New Roman" w:hAnsi="Arial" w:cs="Arial"/>
          <w:b/>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ractices </w:t>
      </w:r>
      <w:r w:rsidR="7B6B72F9" w:rsidRPr="009D431C">
        <w:rPr>
          <w:rFonts w:ascii="Arial" w:eastAsia="Times New Roman" w:hAnsi="Arial" w:cs="Arial"/>
          <w:b/>
          <w:bCs/>
          <w:color w:val="4472C4" w:themeColor="accent1"/>
          <w:kern w:val="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i</w:t>
      </w:r>
      <w:r w:rsidR="006E7DC4"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mplement</w:t>
      </w:r>
      <w:r w:rsidR="00726BEF"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deprescribing of P</w:t>
      </w:r>
      <w:r w:rsidR="000F3315"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PIs</w:t>
      </w:r>
      <w:r w:rsidR="00FE1541" w:rsidRPr="009D431C">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DD4FEB" w14:textId="06E72980" w:rsidR="7D136B61" w:rsidRPr="009D431C" w:rsidRDefault="7D136B61" w:rsidP="7D136B61">
      <w:pPr>
        <w:spacing w:after="0" w:line="240" w:lineRule="auto"/>
        <w:rPr>
          <w:rFonts w:ascii="Arial" w:hAnsi="Arial" w:cs="Arial"/>
        </w:rPr>
      </w:pPr>
    </w:p>
    <w:p w14:paraId="4FF9F3D6" w14:textId="511FF06F" w:rsidR="00434748" w:rsidRPr="009D431C" w:rsidRDefault="5AB206C2" w:rsidP="00E13B2F">
      <w:pPr>
        <w:spacing w:after="0" w:line="240" w:lineRule="auto"/>
        <w:rPr>
          <w:rFonts w:ascii="Arial" w:hAnsi="Arial" w:cs="Arial"/>
        </w:rPr>
      </w:pPr>
      <w:r w:rsidRPr="009D431C">
        <w:rPr>
          <w:rFonts w:ascii="Arial" w:hAnsi="Arial" w:cs="Arial"/>
          <w:b/>
        </w:rPr>
        <w:t xml:space="preserve">A: </w:t>
      </w:r>
      <w:r w:rsidR="00E13B2F" w:rsidRPr="009D431C">
        <w:rPr>
          <w:rFonts w:ascii="Arial" w:hAnsi="Arial" w:cs="Arial"/>
        </w:rPr>
        <w:t xml:space="preserve">Deprescribing PPIs should be incorporated into routine general practice in several ways. It may form part of </w:t>
      </w:r>
      <w:r w:rsidR="00E13B2F" w:rsidRPr="009D431C">
        <w:rPr>
          <w:rFonts w:ascii="Arial" w:hAnsi="Arial" w:cs="Arial"/>
          <w:b/>
          <w:bCs/>
        </w:rPr>
        <w:t>structured medication reviews</w:t>
      </w:r>
      <w:r w:rsidR="00E13B2F" w:rsidRPr="009D431C">
        <w:rPr>
          <w:rFonts w:ascii="Arial" w:hAnsi="Arial" w:cs="Arial"/>
        </w:rPr>
        <w:t>, particularly for patients who have been prescribed PPIs long</w:t>
      </w:r>
      <w:r w:rsidR="000010CC" w:rsidRPr="009D431C">
        <w:rPr>
          <w:rFonts w:ascii="Arial" w:hAnsi="Arial" w:cs="Arial"/>
        </w:rPr>
        <w:t>-</w:t>
      </w:r>
      <w:r w:rsidR="00E13B2F" w:rsidRPr="009D431C">
        <w:rPr>
          <w:rFonts w:ascii="Arial" w:hAnsi="Arial" w:cs="Arial"/>
        </w:rPr>
        <w:t xml:space="preserve">term without a </w:t>
      </w:r>
      <w:r w:rsidR="00E13B2F" w:rsidRPr="009D431C">
        <w:rPr>
          <w:rFonts w:ascii="Arial" w:hAnsi="Arial" w:cs="Arial"/>
          <w:u w:val="single"/>
        </w:rPr>
        <w:t>clear ongoing indication</w:t>
      </w:r>
      <w:r w:rsidR="00E13B2F" w:rsidRPr="009D431C">
        <w:rPr>
          <w:rFonts w:ascii="Arial" w:hAnsi="Arial" w:cs="Arial"/>
        </w:rPr>
        <w:t>.</w:t>
      </w:r>
      <w:r w:rsidR="00934800" w:rsidRPr="009D431C">
        <w:rPr>
          <w:rFonts w:ascii="Arial" w:hAnsi="Arial" w:cs="Arial"/>
        </w:rPr>
        <w:t xml:space="preserve"> A research paper published in </w:t>
      </w:r>
      <w:hyperlink r:id="rId40">
        <w:r w:rsidR="6A941718" w:rsidRPr="009D431C">
          <w:rPr>
            <w:rStyle w:val="Hyperlink"/>
            <w:rFonts w:ascii="Arial" w:hAnsi="Arial" w:cs="Arial"/>
            <w:color w:val="0000FF"/>
          </w:rPr>
          <w:t>The British Journal of General Practice</w:t>
        </w:r>
      </w:hyperlink>
      <w:r w:rsidR="00934800" w:rsidRPr="009D431C">
        <w:rPr>
          <w:rFonts w:ascii="Arial" w:hAnsi="Arial" w:cs="Arial"/>
          <w:color w:val="0070C0"/>
        </w:rPr>
        <w:t xml:space="preserve"> </w:t>
      </w:r>
      <w:r w:rsidR="005C0A43" w:rsidRPr="009D431C">
        <w:rPr>
          <w:rFonts w:ascii="Arial" w:hAnsi="Arial" w:cs="Arial"/>
        </w:rPr>
        <w:t>(</w:t>
      </w:r>
      <w:r w:rsidR="6A941718" w:rsidRPr="009D431C">
        <w:rPr>
          <w:rFonts w:ascii="Arial" w:hAnsi="Arial" w:cs="Arial"/>
        </w:rPr>
        <w:t>2025</w:t>
      </w:r>
      <w:r w:rsidR="005C0A43" w:rsidRPr="009D431C">
        <w:rPr>
          <w:rFonts w:ascii="Arial" w:hAnsi="Arial" w:cs="Arial"/>
        </w:rPr>
        <w:t>)</w:t>
      </w:r>
      <w:r w:rsidR="00934800" w:rsidRPr="009D431C">
        <w:rPr>
          <w:rFonts w:ascii="Arial" w:hAnsi="Arial" w:cs="Arial"/>
          <w:color w:val="0070C0"/>
        </w:rPr>
        <w:t xml:space="preserve"> </w:t>
      </w:r>
      <w:r w:rsidR="00934800" w:rsidRPr="009D431C">
        <w:rPr>
          <w:rFonts w:ascii="Arial" w:hAnsi="Arial" w:cs="Arial"/>
        </w:rPr>
        <w:t xml:space="preserve">studying PPI prescribing in </w:t>
      </w:r>
      <w:r w:rsidR="005C0A43" w:rsidRPr="009D431C">
        <w:rPr>
          <w:rFonts w:ascii="Arial" w:hAnsi="Arial" w:cs="Arial"/>
        </w:rPr>
        <w:t>62</w:t>
      </w:r>
      <w:r w:rsidR="00934800" w:rsidRPr="009D431C">
        <w:rPr>
          <w:rFonts w:ascii="Arial" w:hAnsi="Arial" w:cs="Arial"/>
        </w:rPr>
        <w:t xml:space="preserve"> GP practices found that 62% of the 77,356 patients prescribed a PPI had no recorded indication</w:t>
      </w:r>
      <w:r w:rsidR="00036483" w:rsidRPr="009D431C">
        <w:rPr>
          <w:rFonts w:ascii="Arial" w:hAnsi="Arial" w:cs="Arial"/>
        </w:rPr>
        <w:t>,</w:t>
      </w:r>
      <w:r w:rsidR="00934800" w:rsidRPr="009D431C">
        <w:rPr>
          <w:rFonts w:ascii="Arial" w:hAnsi="Arial" w:cs="Arial"/>
        </w:rPr>
        <w:t xml:space="preserve"> of which </w:t>
      </w:r>
      <w:r w:rsidR="00934800" w:rsidRPr="009D431C">
        <w:rPr>
          <w:rFonts w:ascii="Arial" w:hAnsi="Arial" w:cs="Arial"/>
          <w:b/>
          <w:bCs/>
        </w:rPr>
        <w:t>40%</w:t>
      </w:r>
      <w:r w:rsidR="00934800" w:rsidRPr="009D431C">
        <w:rPr>
          <w:rFonts w:ascii="Arial" w:hAnsi="Arial" w:cs="Arial"/>
        </w:rPr>
        <w:t xml:space="preserve"> had no medication review done in the preceding year. </w:t>
      </w:r>
      <w:r w:rsidR="00E13B2F" w:rsidRPr="009D431C">
        <w:rPr>
          <w:rFonts w:ascii="Arial" w:hAnsi="Arial" w:cs="Arial"/>
        </w:rPr>
        <w:t xml:space="preserve">Practices may also choose to adopt a </w:t>
      </w:r>
      <w:r w:rsidR="00C348EC" w:rsidRPr="009D431C">
        <w:rPr>
          <w:rFonts w:ascii="Arial" w:hAnsi="Arial" w:cs="Arial"/>
        </w:rPr>
        <w:t>whole practice</w:t>
      </w:r>
      <w:r w:rsidR="00E13B2F" w:rsidRPr="009D431C">
        <w:rPr>
          <w:rFonts w:ascii="Arial" w:hAnsi="Arial" w:cs="Arial"/>
        </w:rPr>
        <w:t xml:space="preserve"> focus over a defined period</w:t>
      </w:r>
      <w:r w:rsidR="00C348EC" w:rsidRPr="009D431C">
        <w:rPr>
          <w:rFonts w:ascii="Arial" w:hAnsi="Arial" w:cs="Arial"/>
        </w:rPr>
        <w:t xml:space="preserve"> </w:t>
      </w:r>
      <w:r w:rsidR="00E13B2F" w:rsidRPr="009D431C">
        <w:rPr>
          <w:rFonts w:ascii="Arial" w:hAnsi="Arial" w:cs="Arial"/>
        </w:rPr>
        <w:t>to systematically review and reduc</w:t>
      </w:r>
      <w:r w:rsidR="00C348EC" w:rsidRPr="009D431C">
        <w:rPr>
          <w:rFonts w:ascii="Arial" w:hAnsi="Arial" w:cs="Arial"/>
        </w:rPr>
        <w:t>e</w:t>
      </w:r>
      <w:r w:rsidR="00E13B2F" w:rsidRPr="009D431C">
        <w:rPr>
          <w:rFonts w:ascii="Arial" w:hAnsi="Arial" w:cs="Arial"/>
        </w:rPr>
        <w:t xml:space="preserve"> unnecessary PPI use. Raising awareness through practice training events and clinical meetings </w:t>
      </w:r>
      <w:r w:rsidR="00C348EC" w:rsidRPr="009D431C">
        <w:rPr>
          <w:rFonts w:ascii="Arial" w:hAnsi="Arial" w:cs="Arial"/>
        </w:rPr>
        <w:t>led by the practice</w:t>
      </w:r>
      <w:r w:rsidR="0057376E" w:rsidRPr="009D431C">
        <w:rPr>
          <w:rFonts w:ascii="Arial" w:hAnsi="Arial" w:cs="Arial"/>
        </w:rPr>
        <w:t>’</w:t>
      </w:r>
      <w:r w:rsidR="00C348EC" w:rsidRPr="009D431C">
        <w:rPr>
          <w:rFonts w:ascii="Arial" w:hAnsi="Arial" w:cs="Arial"/>
        </w:rPr>
        <w:t xml:space="preserve">s </w:t>
      </w:r>
      <w:r w:rsidR="00934800" w:rsidRPr="009D431C">
        <w:rPr>
          <w:rFonts w:ascii="Arial" w:hAnsi="Arial" w:cs="Arial"/>
        </w:rPr>
        <w:t>RH</w:t>
      </w:r>
      <w:r w:rsidR="003D58D2" w:rsidRPr="009D431C">
        <w:rPr>
          <w:rFonts w:ascii="Arial" w:hAnsi="Arial" w:cs="Arial"/>
        </w:rPr>
        <w:t>M champion</w:t>
      </w:r>
      <w:r w:rsidR="00934800" w:rsidRPr="009D431C">
        <w:rPr>
          <w:rFonts w:ascii="Arial" w:hAnsi="Arial" w:cs="Arial"/>
        </w:rPr>
        <w:t>, can</w:t>
      </w:r>
      <w:r w:rsidR="00E13B2F" w:rsidRPr="009D431C">
        <w:rPr>
          <w:rFonts w:ascii="Arial" w:hAnsi="Arial" w:cs="Arial"/>
        </w:rPr>
        <w:t xml:space="preserve"> help build shared understanding of the risks associated with long-term PPI use and support safe deprescribing strategies</w:t>
      </w:r>
      <w:r w:rsidR="00C348EC" w:rsidRPr="009D431C">
        <w:rPr>
          <w:rFonts w:ascii="Arial" w:hAnsi="Arial" w:cs="Arial"/>
        </w:rPr>
        <w:t xml:space="preserve">. </w:t>
      </w:r>
    </w:p>
    <w:p w14:paraId="00D11958" w14:textId="77777777" w:rsidR="000F6EF8" w:rsidRPr="009D431C" w:rsidRDefault="000F6EF8" w:rsidP="00E13B2F">
      <w:pPr>
        <w:spacing w:after="0" w:line="240" w:lineRule="auto"/>
        <w:rPr>
          <w:rFonts w:ascii="Arial" w:hAnsi="Arial" w:cs="Arial"/>
        </w:rPr>
      </w:pPr>
    </w:p>
    <w:p w14:paraId="7D84878B" w14:textId="3797003C" w:rsidR="00E13B2F" w:rsidRPr="009D431C" w:rsidRDefault="00434748" w:rsidP="1887B615">
      <w:pPr>
        <w:spacing w:after="0" w:line="240" w:lineRule="auto"/>
        <w:rPr>
          <w:rFonts w:ascii="Arial" w:hAnsi="Arial" w:cs="Arial"/>
        </w:rPr>
      </w:pPr>
      <w:r w:rsidRPr="009D431C">
        <w:rPr>
          <w:rFonts w:ascii="Arial" w:hAnsi="Arial" w:cs="Arial"/>
        </w:rPr>
        <w:t>The following process outlines a practical, step-by-step approach that practices can adopt to support the safe and effective deprescribing of PPIs</w:t>
      </w:r>
      <w:r w:rsidR="3961EB7C" w:rsidRPr="009D431C">
        <w:rPr>
          <w:rFonts w:ascii="Arial" w:hAnsi="Arial" w:cs="Arial"/>
        </w:rPr>
        <w:t xml:space="preserve"> (see resources below)</w:t>
      </w:r>
      <w:r w:rsidRPr="009D431C">
        <w:rPr>
          <w:rFonts w:ascii="Arial" w:hAnsi="Arial" w:cs="Arial"/>
        </w:rPr>
        <w:t>:</w:t>
      </w:r>
    </w:p>
    <w:p w14:paraId="1A9CBC9A" w14:textId="77777777" w:rsidR="00E13B2F" w:rsidRPr="009D431C" w:rsidRDefault="00E13B2F" w:rsidP="00E13B2F">
      <w:pPr>
        <w:pStyle w:val="ListParagraph"/>
        <w:spacing w:after="0" w:line="240" w:lineRule="auto"/>
        <w:ind w:left="754"/>
        <w:rPr>
          <w:rFonts w:ascii="Arial" w:hAnsi="Arial" w:cs="Arial"/>
        </w:rPr>
      </w:pPr>
    </w:p>
    <w:p w14:paraId="1203F30B" w14:textId="70B21C51" w:rsidR="00AF6C13" w:rsidRPr="009D431C" w:rsidRDefault="002A7919" w:rsidP="00AF6C13">
      <w:pPr>
        <w:pStyle w:val="ListParagraph"/>
        <w:numPr>
          <w:ilvl w:val="0"/>
          <w:numId w:val="2"/>
        </w:numPr>
        <w:spacing w:after="0" w:line="240" w:lineRule="auto"/>
        <w:rPr>
          <w:rFonts w:ascii="Arial" w:hAnsi="Arial" w:cs="Arial"/>
        </w:rPr>
      </w:pPr>
      <w:r w:rsidRPr="009D431C">
        <w:rPr>
          <w:rFonts w:ascii="Arial" w:hAnsi="Arial" w:cs="Arial"/>
        </w:rPr>
        <w:t>Run clinical system searches and review patients suitable for PPI deprescribing.</w:t>
      </w:r>
    </w:p>
    <w:p w14:paraId="506F95EF" w14:textId="5AA726C6" w:rsidR="002A7919" w:rsidRPr="009D431C" w:rsidRDefault="002A7919" w:rsidP="002A7919">
      <w:pPr>
        <w:pStyle w:val="ListParagraph"/>
        <w:numPr>
          <w:ilvl w:val="0"/>
          <w:numId w:val="2"/>
        </w:numPr>
        <w:spacing w:after="0" w:line="240" w:lineRule="auto"/>
        <w:rPr>
          <w:rFonts w:ascii="Arial" w:hAnsi="Arial" w:cs="Arial"/>
        </w:rPr>
      </w:pPr>
      <w:r w:rsidRPr="009D431C">
        <w:rPr>
          <w:rFonts w:ascii="Arial" w:hAnsi="Arial" w:cs="Arial"/>
        </w:rPr>
        <w:t>Complete audit sheet and suggest a reduction plan (authorisation required by prescribing lead or designated GP</w:t>
      </w:r>
      <w:r w:rsidR="00727F54" w:rsidRPr="009D431C">
        <w:rPr>
          <w:rFonts w:ascii="Arial" w:hAnsi="Arial" w:cs="Arial"/>
        </w:rPr>
        <w:t>)</w:t>
      </w:r>
      <w:r w:rsidRPr="009D431C">
        <w:rPr>
          <w:rFonts w:ascii="Arial" w:hAnsi="Arial" w:cs="Arial"/>
        </w:rPr>
        <w:t>.</w:t>
      </w:r>
    </w:p>
    <w:p w14:paraId="63D7D58D" w14:textId="77777777" w:rsidR="002A7919" w:rsidRPr="009D431C" w:rsidRDefault="002A7919" w:rsidP="002A7919">
      <w:pPr>
        <w:pStyle w:val="ListParagraph"/>
        <w:numPr>
          <w:ilvl w:val="0"/>
          <w:numId w:val="2"/>
        </w:numPr>
        <w:spacing w:after="0" w:line="240" w:lineRule="auto"/>
        <w:rPr>
          <w:rFonts w:ascii="Arial" w:hAnsi="Arial" w:cs="Arial"/>
        </w:rPr>
      </w:pPr>
      <w:r w:rsidRPr="009D431C">
        <w:rPr>
          <w:rFonts w:ascii="Arial" w:hAnsi="Arial" w:cs="Arial"/>
        </w:rPr>
        <w:t>Send initial invitation to patient for PPI discussion (method of communication to be agreed with practice- phone call, AccuRx or letter).</w:t>
      </w:r>
    </w:p>
    <w:p w14:paraId="6A28795B" w14:textId="77777777" w:rsidR="002A7919" w:rsidRPr="009D431C" w:rsidRDefault="002A7919" w:rsidP="002A7919">
      <w:pPr>
        <w:pStyle w:val="ListParagraph"/>
        <w:numPr>
          <w:ilvl w:val="0"/>
          <w:numId w:val="2"/>
        </w:numPr>
        <w:spacing w:after="0" w:line="240" w:lineRule="auto"/>
        <w:rPr>
          <w:rFonts w:ascii="Arial" w:hAnsi="Arial" w:cs="Arial"/>
        </w:rPr>
      </w:pPr>
      <w:r w:rsidRPr="009D431C">
        <w:rPr>
          <w:rFonts w:ascii="Arial" w:hAnsi="Arial" w:cs="Arial"/>
        </w:rPr>
        <w:t>Document consultation with patients including agreed next steps (this may include that the patient currently does not wish to reduce/stop their dose) in clinical system record.</w:t>
      </w:r>
    </w:p>
    <w:p w14:paraId="52EAEA91" w14:textId="2D4FCC06" w:rsidR="005818D7" w:rsidRPr="009D431C" w:rsidRDefault="002A7919" w:rsidP="005818D7">
      <w:pPr>
        <w:pStyle w:val="ListParagraph"/>
        <w:numPr>
          <w:ilvl w:val="0"/>
          <w:numId w:val="2"/>
        </w:numPr>
        <w:spacing w:after="0" w:line="240" w:lineRule="auto"/>
        <w:rPr>
          <w:rFonts w:ascii="Arial" w:hAnsi="Arial" w:cs="Arial"/>
        </w:rPr>
      </w:pPr>
      <w:r w:rsidRPr="009D431C">
        <w:rPr>
          <w:rFonts w:ascii="Arial" w:hAnsi="Arial" w:cs="Arial"/>
        </w:rPr>
        <w:t>Make appropriate changes to patients repeat template as agreed with prescribing lead or designated GP.</w:t>
      </w:r>
      <w:r w:rsidR="005818D7" w:rsidRPr="009D431C">
        <w:rPr>
          <w:rFonts w:ascii="Arial" w:hAnsi="Arial" w:cs="Arial"/>
        </w:rPr>
        <w:t xml:space="preserve"> Ensure that there is a clear </w:t>
      </w:r>
      <w:r w:rsidR="005818D7" w:rsidRPr="009D431C">
        <w:rPr>
          <w:rFonts w:ascii="Arial" w:hAnsi="Arial" w:cs="Arial"/>
          <w:b/>
          <w:bCs/>
        </w:rPr>
        <w:t>indication</w:t>
      </w:r>
      <w:r w:rsidR="00F419D6" w:rsidRPr="009D431C">
        <w:rPr>
          <w:rFonts w:ascii="Arial" w:hAnsi="Arial" w:cs="Arial"/>
          <w:b/>
          <w:bCs/>
        </w:rPr>
        <w:t xml:space="preserve"> recorded</w:t>
      </w:r>
      <w:r w:rsidR="005818D7" w:rsidRPr="009D431C">
        <w:rPr>
          <w:rFonts w:ascii="Arial" w:hAnsi="Arial" w:cs="Arial"/>
          <w:b/>
          <w:bCs/>
        </w:rPr>
        <w:t xml:space="preserve"> </w:t>
      </w:r>
      <w:r w:rsidR="005818D7" w:rsidRPr="009D431C">
        <w:rPr>
          <w:rFonts w:ascii="Arial" w:hAnsi="Arial" w:cs="Arial"/>
        </w:rPr>
        <w:t>for treatment and review date.</w:t>
      </w:r>
    </w:p>
    <w:p w14:paraId="68F860AF" w14:textId="77777777" w:rsidR="002A7919" w:rsidRPr="009D431C" w:rsidRDefault="002A7919" w:rsidP="002A7919">
      <w:pPr>
        <w:pStyle w:val="ListParagraph"/>
        <w:numPr>
          <w:ilvl w:val="0"/>
          <w:numId w:val="2"/>
        </w:numPr>
        <w:spacing w:after="0" w:line="240" w:lineRule="auto"/>
        <w:rPr>
          <w:rFonts w:ascii="Arial" w:hAnsi="Arial" w:cs="Arial"/>
        </w:rPr>
      </w:pPr>
      <w:r w:rsidRPr="009D431C">
        <w:rPr>
          <w:rFonts w:ascii="Arial" w:hAnsi="Arial" w:cs="Arial"/>
        </w:rPr>
        <w:t>Follow up with patients at agreed interval.</w:t>
      </w:r>
    </w:p>
    <w:p w14:paraId="56A926BD" w14:textId="77777777" w:rsidR="007D403F" w:rsidRPr="009D431C" w:rsidRDefault="007D403F">
      <w:pPr>
        <w:rPr>
          <w:rFonts w:ascii="Arial" w:hAnsi="Arial" w:cs="Arial"/>
          <w:color w:val="FF0000"/>
        </w:rPr>
      </w:pPr>
    </w:p>
    <w:p w14:paraId="0A6A2D15" w14:textId="26503900" w:rsidR="00FE1541" w:rsidRPr="009D431C" w:rsidRDefault="00A65E2C" w:rsidP="00FE15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FE1541"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1541" w:rsidRPr="009D431C">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there resources that can support GP practices review PPI prescribing?</w:t>
      </w:r>
    </w:p>
    <w:p w14:paraId="660640DF" w14:textId="77777777" w:rsidR="00506794" w:rsidRPr="009D431C" w:rsidRDefault="00506794" w:rsidP="00506794">
      <w:pPr>
        <w:rPr>
          <w:rFonts w:ascii="Arial" w:hAnsi="Arial" w:cs="Arial"/>
          <w:color w:val="000000" w:themeColor="text1"/>
        </w:rPr>
      </w:pPr>
    </w:p>
    <w:p w14:paraId="0E9D3F46" w14:textId="31A08186" w:rsidR="003D58D2" w:rsidRPr="009D431C" w:rsidRDefault="00DF6A6E" w:rsidP="00DF6A6E">
      <w:pPr>
        <w:rPr>
          <w:rFonts w:ascii="Arial" w:hAnsi="Arial" w:cs="Arial"/>
          <w:color w:val="000000" w:themeColor="text1"/>
        </w:rPr>
      </w:pPr>
      <w:r w:rsidRPr="009D431C">
        <w:rPr>
          <w:rFonts w:ascii="Arial" w:hAnsi="Arial" w:cs="Arial"/>
          <w:b/>
          <w:bCs/>
          <w:color w:val="000000" w:themeColor="text1"/>
        </w:rPr>
        <w:t>A</w:t>
      </w:r>
      <w:r w:rsidRPr="009D431C">
        <w:rPr>
          <w:rFonts w:ascii="Arial" w:hAnsi="Arial" w:cs="Arial"/>
          <w:color w:val="000000" w:themeColor="text1"/>
        </w:rPr>
        <w:t xml:space="preserve">: </w:t>
      </w:r>
      <w:r w:rsidRPr="009D431C">
        <w:rPr>
          <w:rFonts w:ascii="Arial" w:hAnsi="Arial" w:cs="Arial"/>
          <w:b/>
          <w:bCs/>
          <w:color w:val="000000" w:themeColor="text1"/>
        </w:rPr>
        <w:t>Yes</w:t>
      </w:r>
      <w:r w:rsidRPr="009D431C">
        <w:rPr>
          <w:rFonts w:ascii="Arial" w:hAnsi="Arial" w:cs="Arial"/>
          <w:color w:val="000000" w:themeColor="text1"/>
        </w:rPr>
        <w:t xml:space="preserve">, </w:t>
      </w:r>
      <w:r w:rsidR="003D58D2" w:rsidRPr="009D431C">
        <w:rPr>
          <w:rFonts w:ascii="Arial" w:hAnsi="Arial" w:cs="Arial"/>
          <w:color w:val="000000" w:themeColor="text1"/>
        </w:rPr>
        <w:t xml:space="preserve">the </w:t>
      </w:r>
      <w:hyperlink r:id="rId41" w:history="1">
        <w:r w:rsidR="003D58D2" w:rsidRPr="009D431C">
          <w:rPr>
            <w:rStyle w:val="Hyperlink"/>
            <w:rFonts w:ascii="Arial" w:eastAsia="Times New Roman" w:hAnsi="Arial" w:cs="Arial"/>
            <w:color w:val="0000FF"/>
            <w:lang w:eastAsia="en-GB"/>
          </w:rPr>
          <w:t>Proton Pump Inhibitor (PPI): Deprescribing algorithm (adults)</w:t>
        </w:r>
      </w:hyperlink>
      <w:r w:rsidR="003D58D2" w:rsidRPr="009D431C">
        <w:rPr>
          <w:rFonts w:ascii="Arial" w:hAnsi="Arial" w:cs="Arial"/>
          <w:color w:val="0000FF"/>
        </w:rPr>
        <w:t xml:space="preserve"> </w:t>
      </w:r>
      <w:r w:rsidR="003D58D2" w:rsidRPr="009D431C">
        <w:rPr>
          <w:rFonts w:ascii="Arial" w:hAnsi="Arial" w:cs="Arial"/>
          <w:color w:val="000000" w:themeColor="text1"/>
        </w:rPr>
        <w:t xml:space="preserve">as well as the </w:t>
      </w:r>
      <w:r w:rsidR="00D52C76" w:rsidRPr="009D431C">
        <w:rPr>
          <w:rFonts w:ascii="Arial" w:hAnsi="Arial" w:cs="Arial"/>
          <w:color w:val="000000" w:themeColor="text1"/>
        </w:rPr>
        <w:t>following</w:t>
      </w:r>
      <w:r w:rsidR="003D58D2" w:rsidRPr="009D431C">
        <w:rPr>
          <w:rFonts w:ascii="Arial" w:hAnsi="Arial" w:cs="Arial"/>
          <w:color w:val="000000" w:themeColor="text1"/>
        </w:rPr>
        <w:t xml:space="preserve"> resources can all be accessed from </w:t>
      </w:r>
      <w:hyperlink r:id="rId42" w:history="1">
        <w:r w:rsidR="003D58D2" w:rsidRPr="009D431C">
          <w:rPr>
            <w:rStyle w:val="Hyperlink"/>
            <w:rFonts w:ascii="Arial" w:hAnsi="Arial" w:cs="Arial"/>
            <w:color w:val="0000FF"/>
          </w:rPr>
          <w:t>PrescQIPP</w:t>
        </w:r>
      </w:hyperlink>
      <w:r w:rsidR="00D52C76" w:rsidRPr="009D431C">
        <w:rPr>
          <w:rStyle w:val="Hyperlink"/>
          <w:rFonts w:ascii="Arial" w:hAnsi="Arial" w:cs="Arial"/>
          <w:color w:val="0000FF"/>
        </w:rPr>
        <w:t>,</w:t>
      </w:r>
      <w:r w:rsidR="003D58D2" w:rsidRPr="009D431C">
        <w:rPr>
          <w:rFonts w:ascii="Arial" w:hAnsi="Arial" w:cs="Arial"/>
          <w:color w:val="000000" w:themeColor="text1"/>
        </w:rPr>
        <w:t xml:space="preserve"> once registered</w:t>
      </w:r>
      <w:r w:rsidR="00751C0D" w:rsidRPr="009D431C">
        <w:rPr>
          <w:rFonts w:ascii="Arial" w:hAnsi="Arial" w:cs="Arial"/>
          <w:color w:val="000000" w:themeColor="text1"/>
        </w:rPr>
        <w:t>. See below:</w:t>
      </w:r>
    </w:p>
    <w:p w14:paraId="00793521" w14:textId="77777777" w:rsidR="00DF6A6E" w:rsidRPr="009D431C" w:rsidRDefault="00DF6A6E" w:rsidP="00DF6A6E">
      <w:pPr>
        <w:pStyle w:val="ListParagraph"/>
        <w:rPr>
          <w:rFonts w:ascii="Arial" w:hAnsi="Arial" w:cs="Arial"/>
          <w:color w:val="00B050"/>
        </w:rPr>
      </w:pPr>
    </w:p>
    <w:p w14:paraId="1027AB53" w14:textId="77777777" w:rsidR="00751C0D" w:rsidRPr="009D431C" w:rsidRDefault="00DF6A6E" w:rsidP="00751C0D">
      <w:pPr>
        <w:pStyle w:val="ListParagraph"/>
        <w:numPr>
          <w:ilvl w:val="0"/>
          <w:numId w:val="12"/>
        </w:numPr>
        <w:rPr>
          <w:rFonts w:ascii="Arial" w:hAnsi="Arial" w:cs="Arial"/>
          <w:color w:val="00B050"/>
        </w:rPr>
      </w:pPr>
      <w:r w:rsidRPr="009D431C">
        <w:rPr>
          <w:rFonts w:ascii="Arial" w:hAnsi="Arial" w:cs="Arial"/>
          <w:color w:val="000000" w:themeColor="text1"/>
        </w:rPr>
        <w:t>A resource pack providing information and searches that GP practices can upload into SystmOne or EMIS Web.</w:t>
      </w:r>
    </w:p>
    <w:p w14:paraId="29EA8FA0" w14:textId="77777777" w:rsidR="00751C0D" w:rsidRPr="009D431C" w:rsidRDefault="00751C0D" w:rsidP="00751C0D">
      <w:pPr>
        <w:pStyle w:val="ListParagraph"/>
        <w:rPr>
          <w:rFonts w:ascii="Arial" w:hAnsi="Arial" w:cs="Arial"/>
        </w:rPr>
      </w:pPr>
    </w:p>
    <w:p w14:paraId="3B435FBF" w14:textId="0C6F6E63" w:rsidR="00DF6A6E" w:rsidRPr="009D431C" w:rsidRDefault="00C532D8" w:rsidP="00751C0D">
      <w:pPr>
        <w:pStyle w:val="ListParagraph"/>
        <w:rPr>
          <w:rFonts w:ascii="Arial" w:hAnsi="Arial" w:cs="Arial"/>
          <w:color w:val="0000FF"/>
        </w:rPr>
      </w:pPr>
      <w:hyperlink r:id="rId43" w:history="1">
        <w:r w:rsidR="00DF6A6E" w:rsidRPr="009D431C">
          <w:rPr>
            <w:rStyle w:val="Hyperlink"/>
            <w:rFonts w:ascii="Arial" w:hAnsi="Arial" w:cs="Arial"/>
            <w:color w:val="0000FF"/>
          </w:rPr>
          <w:t>PrescQIPP Bulletin 267: PPIs - Long term safety and gastroprotection</w:t>
        </w:r>
      </w:hyperlink>
      <w:r w:rsidR="00DF6A6E" w:rsidRPr="009D431C">
        <w:rPr>
          <w:rFonts w:ascii="Arial" w:hAnsi="Arial" w:cs="Arial"/>
          <w:color w:val="0000FF"/>
        </w:rPr>
        <w:t xml:space="preserve"> </w:t>
      </w:r>
    </w:p>
    <w:p w14:paraId="22BD036C" w14:textId="420C0BC1" w:rsidR="00DF6A6E" w:rsidRPr="009D431C" w:rsidRDefault="00DF6A6E" w:rsidP="00DF6A6E">
      <w:pPr>
        <w:rPr>
          <w:rFonts w:ascii="Arial" w:hAnsi="Arial" w:cs="Arial"/>
          <w:color w:val="000000" w:themeColor="text1"/>
        </w:rPr>
      </w:pPr>
      <w:r w:rsidRPr="009D431C">
        <w:rPr>
          <w:rFonts w:ascii="Arial" w:hAnsi="Arial" w:cs="Arial"/>
          <w:color w:val="000000" w:themeColor="text1"/>
        </w:rPr>
        <w:t xml:space="preserve">*Note: PrescQIPP searches include PPIs prescribed as an </w:t>
      </w:r>
      <w:r w:rsidRPr="009D431C">
        <w:rPr>
          <w:rFonts w:ascii="Arial" w:hAnsi="Arial" w:cs="Arial"/>
          <w:b/>
          <w:bCs/>
          <w:color w:val="000000" w:themeColor="text1"/>
        </w:rPr>
        <w:t>acute</w:t>
      </w:r>
      <w:r w:rsidRPr="009D431C">
        <w:rPr>
          <w:rFonts w:ascii="Arial" w:hAnsi="Arial" w:cs="Arial"/>
          <w:color w:val="000000" w:themeColor="text1"/>
        </w:rPr>
        <w:t xml:space="preserve"> or </w:t>
      </w:r>
      <w:r w:rsidRPr="009D431C">
        <w:rPr>
          <w:rFonts w:ascii="Arial" w:hAnsi="Arial" w:cs="Arial"/>
          <w:b/>
          <w:bCs/>
          <w:color w:val="000000" w:themeColor="text1"/>
        </w:rPr>
        <w:t>repeat</w:t>
      </w:r>
      <w:r w:rsidRPr="009D431C">
        <w:rPr>
          <w:rFonts w:ascii="Arial" w:hAnsi="Arial" w:cs="Arial"/>
          <w:color w:val="000000" w:themeColor="text1"/>
        </w:rPr>
        <w:t xml:space="preserve"> prescription in the last 12 months. </w:t>
      </w:r>
      <w:r w:rsidRPr="009D431C">
        <w:rPr>
          <w:rFonts w:ascii="Arial" w:hAnsi="Arial" w:cs="Arial"/>
          <w:b/>
          <w:color w:val="000000" w:themeColor="text1"/>
        </w:rPr>
        <w:t>The search criteria can be amended once uploaded into the clinical system to remove acutes</w:t>
      </w:r>
      <w:r w:rsidR="00751C0D" w:rsidRPr="009D431C">
        <w:rPr>
          <w:rFonts w:ascii="Arial" w:hAnsi="Arial" w:cs="Arial"/>
          <w:b/>
          <w:color w:val="000000" w:themeColor="text1"/>
        </w:rPr>
        <w:t xml:space="preserve"> from the search</w:t>
      </w:r>
      <w:r w:rsidRPr="009D431C">
        <w:rPr>
          <w:rFonts w:ascii="Arial" w:hAnsi="Arial" w:cs="Arial"/>
          <w:b/>
          <w:color w:val="000000" w:themeColor="text1"/>
        </w:rPr>
        <w:t xml:space="preserve"> if required</w:t>
      </w:r>
      <w:r w:rsidRPr="009D431C">
        <w:rPr>
          <w:rFonts w:ascii="Arial" w:hAnsi="Arial" w:cs="Arial"/>
          <w:color w:val="000000" w:themeColor="text1"/>
        </w:rPr>
        <w:t xml:space="preserve">.  </w:t>
      </w:r>
    </w:p>
    <w:p w14:paraId="48390254" w14:textId="77777777" w:rsidR="00DF6A6E" w:rsidRPr="009D431C" w:rsidRDefault="00DF6A6E" w:rsidP="00DF6A6E">
      <w:pPr>
        <w:rPr>
          <w:rFonts w:ascii="Arial" w:hAnsi="Arial" w:cs="Arial"/>
          <w:color w:val="000000" w:themeColor="text1"/>
        </w:rPr>
      </w:pPr>
    </w:p>
    <w:p w14:paraId="4E1B1DEB" w14:textId="77777777" w:rsidR="00DF6A6E" w:rsidRPr="009D431C" w:rsidRDefault="00DF6A6E" w:rsidP="00DF6A6E">
      <w:pPr>
        <w:pStyle w:val="ListParagraph"/>
        <w:numPr>
          <w:ilvl w:val="0"/>
          <w:numId w:val="12"/>
        </w:numPr>
        <w:rPr>
          <w:rFonts w:ascii="Arial" w:eastAsia="Times New Roman" w:hAnsi="Arial" w:cs="Arial"/>
        </w:rPr>
      </w:pPr>
      <w:r w:rsidRPr="009D431C">
        <w:rPr>
          <w:rFonts w:ascii="Arial" w:eastAsia="Times New Roman" w:hAnsi="Arial" w:cs="Arial"/>
        </w:rPr>
        <w:t xml:space="preserve">PrescQIPP audit guide and collection sheet. </w:t>
      </w:r>
    </w:p>
    <w:p w14:paraId="01578C34" w14:textId="77777777" w:rsidR="00DF6A6E" w:rsidRPr="009D431C" w:rsidRDefault="00DF6A6E" w:rsidP="00DF6A6E">
      <w:pPr>
        <w:pStyle w:val="ListParagraph"/>
        <w:rPr>
          <w:rFonts w:ascii="Arial" w:eastAsia="Times New Roman" w:hAnsi="Arial" w:cs="Arial"/>
        </w:rPr>
      </w:pPr>
    </w:p>
    <w:bookmarkStart w:id="0" w:name="_MON_1803905823"/>
    <w:bookmarkEnd w:id="0"/>
    <w:p w14:paraId="16AA537A" w14:textId="70D4EF2A" w:rsidR="00DF6A6E" w:rsidRPr="009D431C" w:rsidRDefault="007D403F" w:rsidP="00DF6A6E">
      <w:pPr>
        <w:pStyle w:val="ListParagraph"/>
        <w:rPr>
          <w:rFonts w:ascii="Arial" w:hAnsi="Arial" w:cs="Arial"/>
        </w:rPr>
      </w:pPr>
      <w:r w:rsidRPr="009D431C">
        <w:rPr>
          <w:rFonts w:ascii="Arial" w:hAnsi="Arial" w:cs="Arial"/>
        </w:rPr>
        <w:object w:dxaOrig="1440" w:dyaOrig="932" w14:anchorId="7C77F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9pt" o:ole="">
            <v:imagedata r:id="rId44" o:title=""/>
          </v:shape>
          <o:OLEObject Type="Embed" ProgID="Excel.Sheet.12" ShapeID="_x0000_i1025" DrawAspect="Icon" ObjectID="_1812441864" r:id="rId45"/>
        </w:object>
      </w:r>
    </w:p>
    <w:p w14:paraId="1F5125B9" w14:textId="77777777" w:rsidR="00DF6A6E" w:rsidRPr="009D431C" w:rsidRDefault="00DF6A6E" w:rsidP="00DF6A6E">
      <w:pPr>
        <w:pStyle w:val="ListParagraph"/>
        <w:rPr>
          <w:rFonts w:ascii="Arial" w:eastAsia="Times New Roman" w:hAnsi="Arial" w:cs="Arial"/>
        </w:rPr>
      </w:pPr>
    </w:p>
    <w:p w14:paraId="0720E43E" w14:textId="77777777" w:rsidR="00DF6A6E" w:rsidRPr="009D431C" w:rsidRDefault="00DF6A6E" w:rsidP="00DF6A6E">
      <w:pPr>
        <w:pStyle w:val="ListParagraph"/>
        <w:numPr>
          <w:ilvl w:val="0"/>
          <w:numId w:val="12"/>
        </w:numPr>
        <w:spacing w:after="0" w:line="276" w:lineRule="auto"/>
        <w:rPr>
          <w:rFonts w:ascii="Arial" w:hAnsi="Arial" w:cs="Arial"/>
        </w:rPr>
      </w:pPr>
      <w:r w:rsidRPr="009D431C">
        <w:rPr>
          <w:rFonts w:ascii="Arial" w:hAnsi="Arial" w:cs="Arial"/>
        </w:rPr>
        <w:t>PrescQIPP PPI checklist when considering initiating a PPI, or when reviewing or monitoring a patient on a PPI to:</w:t>
      </w:r>
    </w:p>
    <w:p w14:paraId="13E0D8EF" w14:textId="77777777" w:rsidR="00DF6A6E" w:rsidRPr="009D431C" w:rsidRDefault="00DF6A6E" w:rsidP="00DF6A6E">
      <w:pPr>
        <w:pStyle w:val="ListParagraph"/>
        <w:spacing w:after="0" w:line="276" w:lineRule="auto"/>
        <w:rPr>
          <w:rFonts w:ascii="Arial" w:hAnsi="Arial" w:cs="Arial"/>
        </w:rPr>
      </w:pPr>
    </w:p>
    <w:p w14:paraId="33EEFFB6" w14:textId="2753BAD8" w:rsidR="00DF6A6E" w:rsidRPr="009D431C" w:rsidRDefault="00DF6A6E" w:rsidP="00DF6A6E">
      <w:pPr>
        <w:pStyle w:val="ListParagraph"/>
        <w:spacing w:after="0" w:line="276" w:lineRule="auto"/>
        <w:rPr>
          <w:rFonts w:ascii="Arial" w:hAnsi="Arial" w:cs="Arial"/>
        </w:rPr>
      </w:pPr>
      <w:r w:rsidRPr="009D431C">
        <w:rPr>
          <w:rFonts w:ascii="Arial" w:hAnsi="Arial" w:cs="Arial"/>
        </w:rPr>
        <w:t>-Review the patient for risk factors</w:t>
      </w:r>
    </w:p>
    <w:p w14:paraId="72D4B1C2" w14:textId="238C9C6C" w:rsidR="00DF6A6E" w:rsidRPr="009D431C" w:rsidRDefault="00DF6A6E" w:rsidP="00DF6A6E">
      <w:pPr>
        <w:pStyle w:val="ListParagraph"/>
        <w:spacing w:after="0" w:line="276" w:lineRule="auto"/>
        <w:rPr>
          <w:rFonts w:ascii="Arial" w:hAnsi="Arial" w:cs="Arial"/>
        </w:rPr>
      </w:pPr>
      <w:r w:rsidRPr="009D431C">
        <w:rPr>
          <w:rFonts w:ascii="Arial" w:hAnsi="Arial" w:cs="Arial"/>
        </w:rPr>
        <w:t>-Review the patient for contraindications/cautions in use for PPI treatment</w:t>
      </w:r>
    </w:p>
    <w:p w14:paraId="64B4505B" w14:textId="77777777" w:rsidR="00DF6A6E" w:rsidRPr="009D431C" w:rsidRDefault="00DF6A6E" w:rsidP="00DF6A6E">
      <w:pPr>
        <w:pStyle w:val="ListParagraph"/>
        <w:spacing w:after="0" w:line="276" w:lineRule="auto"/>
        <w:rPr>
          <w:rFonts w:ascii="Arial" w:hAnsi="Arial" w:cs="Arial"/>
        </w:rPr>
      </w:pPr>
      <w:r w:rsidRPr="009D431C">
        <w:rPr>
          <w:rFonts w:ascii="Arial" w:hAnsi="Arial" w:cs="Arial"/>
        </w:rPr>
        <w:t>-Review whether the benefits of treatment outweigh the risks of treatment. There are additional considerations for patients at risk in specific patient groups.</w:t>
      </w:r>
    </w:p>
    <w:p w14:paraId="747B9270" w14:textId="77777777" w:rsidR="00DF6A6E" w:rsidRPr="009D431C" w:rsidRDefault="00DF6A6E" w:rsidP="00DF6A6E">
      <w:pPr>
        <w:pStyle w:val="ListParagraph"/>
        <w:rPr>
          <w:rFonts w:ascii="Arial" w:hAnsi="Arial" w:cs="Arial"/>
          <w:color w:val="00B050"/>
        </w:rPr>
      </w:pPr>
    </w:p>
    <w:bookmarkStart w:id="1" w:name="_MON_1806825611"/>
    <w:bookmarkEnd w:id="1"/>
    <w:p w14:paraId="43ADDBA8" w14:textId="77777777" w:rsidR="00DF6A6E" w:rsidRPr="009D431C" w:rsidRDefault="00DF6A6E" w:rsidP="00DF6A6E">
      <w:pPr>
        <w:pStyle w:val="ListParagraph"/>
        <w:rPr>
          <w:rFonts w:ascii="Arial" w:hAnsi="Arial" w:cs="Arial"/>
          <w:color w:val="00B050"/>
        </w:rPr>
      </w:pPr>
      <w:r w:rsidRPr="009D431C">
        <w:rPr>
          <w:rFonts w:ascii="Arial" w:hAnsi="Arial" w:cs="Arial"/>
          <w:color w:val="00B050"/>
        </w:rPr>
        <w:object w:dxaOrig="1520" w:dyaOrig="987" w14:anchorId="215F5334">
          <v:shape id="_x0000_i1026" type="#_x0000_t75" style="width:76.9pt;height:49.1pt" o:ole="">
            <v:imagedata r:id="rId46" o:title=""/>
          </v:shape>
          <o:OLEObject Type="Embed" ProgID="Word.Document.12" ShapeID="_x0000_i1026" DrawAspect="Icon" ObjectID="_1812441865" r:id="rId47">
            <o:FieldCodes>\s</o:FieldCodes>
          </o:OLEObject>
        </w:object>
      </w:r>
    </w:p>
    <w:p w14:paraId="7FD0975E" w14:textId="77777777" w:rsidR="00DF6A6E" w:rsidRPr="009D431C" w:rsidRDefault="00DF6A6E" w:rsidP="00DF6A6E">
      <w:pPr>
        <w:pStyle w:val="ListParagraph"/>
        <w:rPr>
          <w:rFonts w:ascii="Arial" w:hAnsi="Arial" w:cs="Arial"/>
          <w:color w:val="00B050"/>
        </w:rPr>
      </w:pPr>
    </w:p>
    <w:p w14:paraId="0BFA99F6" w14:textId="6451CE6C" w:rsidR="00DF6A6E" w:rsidRPr="009D431C" w:rsidRDefault="00751C0D" w:rsidP="00DF6A6E">
      <w:pPr>
        <w:pStyle w:val="ListParagraph"/>
        <w:numPr>
          <w:ilvl w:val="0"/>
          <w:numId w:val="15"/>
        </w:numPr>
        <w:rPr>
          <w:rFonts w:ascii="Arial" w:hAnsi="Arial" w:cs="Arial"/>
          <w:color w:val="0000FF"/>
        </w:rPr>
      </w:pPr>
      <w:r w:rsidRPr="009D431C">
        <w:rPr>
          <w:rFonts w:ascii="Arial" w:hAnsi="Arial" w:cs="Arial"/>
        </w:rPr>
        <w:t xml:space="preserve">A </w:t>
      </w:r>
      <w:hyperlink r:id="rId48" w:history="1">
        <w:r w:rsidR="00DF6A6E" w:rsidRPr="009D431C">
          <w:rPr>
            <w:rStyle w:val="Hyperlink"/>
            <w:rFonts w:ascii="Arial" w:hAnsi="Arial" w:cs="Arial"/>
            <w:color w:val="0000FF"/>
          </w:rPr>
          <w:t>PPI Stopping or Reducing patient letter</w:t>
        </w:r>
      </w:hyperlink>
    </w:p>
    <w:p w14:paraId="30772055" w14:textId="77777777" w:rsidR="002C69BC" w:rsidRPr="009D431C" w:rsidRDefault="002C69BC" w:rsidP="00506794">
      <w:pPr>
        <w:rPr>
          <w:rFonts w:ascii="Arial" w:hAnsi="Arial" w:cs="Arial"/>
          <w:b/>
          <w:bCs/>
          <w:color w:val="000000" w:themeColor="text1"/>
        </w:rPr>
      </w:pPr>
    </w:p>
    <w:p w14:paraId="7B47155A" w14:textId="77777777" w:rsidR="00A55B54" w:rsidRDefault="00A55B54" w:rsidP="00506794">
      <w:pPr>
        <w:rPr>
          <w:rFonts w:ascii="Arial" w:hAnsi="Arial" w:cs="Arial"/>
          <w:b/>
          <w:bCs/>
          <w:color w:val="000000" w:themeColor="text1"/>
        </w:rPr>
      </w:pPr>
    </w:p>
    <w:p w14:paraId="6AB9ECBD" w14:textId="77777777" w:rsidR="009D431C" w:rsidRDefault="009D431C" w:rsidP="00506794">
      <w:pPr>
        <w:rPr>
          <w:rFonts w:ascii="Arial" w:hAnsi="Arial" w:cs="Arial"/>
          <w:b/>
          <w:bCs/>
          <w:color w:val="000000" w:themeColor="text1"/>
          <w:sz w:val="24"/>
          <w:szCs w:val="24"/>
        </w:rPr>
      </w:pPr>
    </w:p>
    <w:p w14:paraId="64185011" w14:textId="77777777" w:rsidR="00AF361B" w:rsidRDefault="00AF361B" w:rsidP="00506794">
      <w:pPr>
        <w:rPr>
          <w:rFonts w:ascii="Arial" w:hAnsi="Arial" w:cs="Arial"/>
          <w:b/>
          <w:bCs/>
          <w:color w:val="000000" w:themeColor="text1"/>
          <w:sz w:val="24"/>
          <w:szCs w:val="24"/>
        </w:rPr>
      </w:pPr>
    </w:p>
    <w:p w14:paraId="76B05DED" w14:textId="77777777" w:rsidR="00AF361B" w:rsidRDefault="00AF361B" w:rsidP="00506794">
      <w:pPr>
        <w:rPr>
          <w:rFonts w:ascii="Arial" w:hAnsi="Arial" w:cs="Arial"/>
          <w:b/>
          <w:bCs/>
          <w:color w:val="000000" w:themeColor="text1"/>
          <w:sz w:val="24"/>
          <w:szCs w:val="24"/>
        </w:rPr>
      </w:pPr>
    </w:p>
    <w:p w14:paraId="78134D79" w14:textId="77777777" w:rsidR="00AF361B" w:rsidRDefault="00AF361B" w:rsidP="00506794">
      <w:pPr>
        <w:rPr>
          <w:rFonts w:ascii="Arial" w:hAnsi="Arial" w:cs="Arial"/>
          <w:b/>
          <w:bCs/>
          <w:color w:val="000000" w:themeColor="text1"/>
          <w:sz w:val="24"/>
          <w:szCs w:val="24"/>
        </w:rPr>
      </w:pPr>
    </w:p>
    <w:p w14:paraId="0F51DB81" w14:textId="77777777" w:rsidR="00AF361B" w:rsidRDefault="00AF361B" w:rsidP="00506794">
      <w:pPr>
        <w:rPr>
          <w:rFonts w:ascii="Arial" w:hAnsi="Arial" w:cs="Arial"/>
          <w:b/>
          <w:bCs/>
          <w:color w:val="000000" w:themeColor="text1"/>
          <w:sz w:val="24"/>
          <w:szCs w:val="24"/>
        </w:rPr>
      </w:pPr>
    </w:p>
    <w:p w14:paraId="111A5F34" w14:textId="77777777" w:rsidR="00AF361B" w:rsidRPr="009D431C" w:rsidRDefault="00AF361B" w:rsidP="00506794">
      <w:pPr>
        <w:rPr>
          <w:rFonts w:ascii="Arial" w:hAnsi="Arial" w:cs="Arial"/>
          <w:b/>
          <w:bCs/>
          <w:color w:val="000000" w:themeColor="text1"/>
          <w:sz w:val="24"/>
          <w:szCs w:val="24"/>
        </w:rPr>
      </w:pPr>
    </w:p>
    <w:p w14:paraId="104E867B" w14:textId="7112DA21" w:rsidR="00912B9C" w:rsidRPr="009D431C" w:rsidRDefault="00506794" w:rsidP="00506794">
      <w:pPr>
        <w:rPr>
          <w:rFonts w:ascii="Arial" w:hAnsi="Arial" w:cs="Arial"/>
          <w:b/>
          <w:bCs/>
          <w:color w:val="000000" w:themeColor="text1"/>
          <w:u w:val="single"/>
        </w:rPr>
      </w:pPr>
      <w:r w:rsidRPr="009D431C">
        <w:rPr>
          <w:rFonts w:ascii="Arial" w:hAnsi="Arial" w:cs="Arial"/>
          <w:b/>
          <w:bCs/>
          <w:color w:val="000000" w:themeColor="text1"/>
          <w:sz w:val="24"/>
          <w:szCs w:val="24"/>
          <w:u w:val="single"/>
        </w:rPr>
        <w:t>References</w:t>
      </w:r>
      <w:r w:rsidRPr="009D431C">
        <w:rPr>
          <w:rFonts w:ascii="Arial" w:hAnsi="Arial" w:cs="Arial"/>
          <w:b/>
          <w:bCs/>
          <w:color w:val="000000" w:themeColor="text1"/>
          <w:u w:val="single"/>
        </w:rPr>
        <w:t>:</w:t>
      </w:r>
    </w:p>
    <w:p w14:paraId="7D7B3088" w14:textId="77777777" w:rsidR="00E47622" w:rsidRPr="009D431C" w:rsidRDefault="00E47622" w:rsidP="00506794">
      <w:pPr>
        <w:rPr>
          <w:rFonts w:ascii="Arial" w:hAnsi="Arial" w:cs="Arial"/>
          <w:b/>
          <w:bCs/>
          <w:color w:val="000000" w:themeColor="text1"/>
        </w:rPr>
      </w:pPr>
    </w:p>
    <w:p w14:paraId="55934019" w14:textId="22325A4F" w:rsidR="00912B9C" w:rsidRPr="009D431C" w:rsidRDefault="00C532D8" w:rsidP="00AE4B3E">
      <w:pPr>
        <w:pStyle w:val="ListParagraph"/>
        <w:numPr>
          <w:ilvl w:val="0"/>
          <w:numId w:val="17"/>
        </w:numPr>
        <w:rPr>
          <w:rFonts w:ascii="Arial" w:hAnsi="Arial" w:cs="Arial"/>
          <w:b/>
          <w:bCs/>
          <w:color w:val="3333CC"/>
          <w:u w:val="single"/>
        </w:rPr>
      </w:pPr>
      <w:hyperlink r:id="rId49" w:history="1">
        <w:r w:rsidR="00AF7C67" w:rsidRPr="009D431C">
          <w:rPr>
            <w:rFonts w:ascii="Arial" w:hAnsi="Arial" w:cs="Arial"/>
            <w:color w:val="0000FF"/>
            <w:kern w:val="2"/>
            <w14:ligatures w14:val="standardContextual"/>
          </w:rPr>
          <w:t>BJGP Open</w:t>
        </w:r>
      </w:hyperlink>
      <w:r w:rsidR="00AF7C67" w:rsidRPr="009D431C">
        <w:rPr>
          <w:rFonts w:ascii="Arial" w:hAnsi="Arial" w:cs="Arial"/>
          <w:kern w:val="2"/>
          <w14:ligatures w14:val="standardContextual"/>
        </w:rPr>
        <w:t xml:space="preserve">: </w:t>
      </w:r>
      <w:r w:rsidR="00AE4B3E" w:rsidRPr="009D431C">
        <w:rPr>
          <w:rFonts w:ascii="Arial" w:hAnsi="Arial" w:cs="Arial"/>
        </w:rPr>
        <w:t>Prescribing practices for proton pump inhibitors among primary care physicians in England: an evaluation</w:t>
      </w:r>
      <w:r w:rsidR="00AE4B3E" w:rsidRPr="009D431C">
        <w:rPr>
          <w:rFonts w:ascii="Arial" w:hAnsi="Arial" w:cs="Arial"/>
          <w:color w:val="3333CC"/>
        </w:rPr>
        <w:t xml:space="preserve"> </w:t>
      </w:r>
      <w:r w:rsidR="00AE4B3E" w:rsidRPr="009D431C">
        <w:rPr>
          <w:rFonts w:ascii="Arial" w:hAnsi="Arial" w:cs="Arial"/>
          <w:color w:val="000000" w:themeColor="text1"/>
        </w:rPr>
        <w:t xml:space="preserve">(published April 2025). </w:t>
      </w:r>
    </w:p>
    <w:p w14:paraId="4EE857A6" w14:textId="665453B6" w:rsidR="00506794" w:rsidRPr="009D431C" w:rsidRDefault="00D56AF0" w:rsidP="00AE4B3E">
      <w:pPr>
        <w:pStyle w:val="ListParagraph"/>
        <w:numPr>
          <w:ilvl w:val="0"/>
          <w:numId w:val="17"/>
        </w:numPr>
        <w:rPr>
          <w:rFonts w:ascii="Arial" w:hAnsi="Arial" w:cs="Arial"/>
          <w:color w:val="3333CC"/>
        </w:rPr>
      </w:pPr>
      <w:r w:rsidRPr="009D431C">
        <w:rPr>
          <w:rFonts w:ascii="Arial" w:hAnsi="Arial" w:cs="Arial"/>
        </w:rPr>
        <w:t xml:space="preserve">National Library of </w:t>
      </w:r>
      <w:r w:rsidR="00AF7C67" w:rsidRPr="009D431C">
        <w:rPr>
          <w:rFonts w:ascii="Arial" w:hAnsi="Arial" w:cs="Arial"/>
        </w:rPr>
        <w:t xml:space="preserve">Medicine: </w:t>
      </w:r>
      <w:hyperlink r:id="rId50" w:history="1">
        <w:r w:rsidR="00912B9C" w:rsidRPr="009D431C">
          <w:rPr>
            <w:rFonts w:ascii="Arial" w:hAnsi="Arial" w:cs="Arial"/>
            <w:color w:val="3333CC"/>
          </w:rPr>
          <w:t>Deprescribing proton pump inhibitors: Evidence-based clinical practice guideline - PMC</w:t>
        </w:r>
      </w:hyperlink>
    </w:p>
    <w:p w14:paraId="3EE11CB4" w14:textId="70820123" w:rsidR="00E47622" w:rsidRPr="009D431C" w:rsidRDefault="00C532D8" w:rsidP="00E47622">
      <w:pPr>
        <w:pStyle w:val="ListParagraph"/>
        <w:numPr>
          <w:ilvl w:val="0"/>
          <w:numId w:val="17"/>
        </w:numPr>
        <w:rPr>
          <w:rStyle w:val="Hyperlink"/>
          <w:rFonts w:ascii="Arial" w:hAnsi="Arial" w:cs="Arial"/>
          <w:color w:val="3333CC"/>
          <w:u w:val="none"/>
        </w:rPr>
      </w:pPr>
      <w:hyperlink r:id="rId51" w:history="1">
        <w:r w:rsidR="00912B9C" w:rsidRPr="009D431C">
          <w:rPr>
            <w:rStyle w:val="Hyperlink"/>
            <w:rFonts w:ascii="Arial" w:hAnsi="Arial" w:cs="Arial"/>
            <w:color w:val="3333CC"/>
            <w:u w:val="none"/>
          </w:rPr>
          <w:t>ACB calculator</w:t>
        </w:r>
      </w:hyperlink>
      <w:r w:rsidR="00E47622" w:rsidRPr="009D431C">
        <w:rPr>
          <w:rFonts w:ascii="Arial" w:hAnsi="Arial" w:cs="Arial"/>
        </w:rPr>
        <w:t xml:space="preserve">: Last </w:t>
      </w:r>
      <w:r w:rsidR="00AF7C67" w:rsidRPr="009D431C">
        <w:rPr>
          <w:rFonts w:ascii="Arial" w:hAnsi="Arial" w:cs="Arial"/>
        </w:rPr>
        <w:t>updated 3</w:t>
      </w:r>
      <w:r w:rsidR="00AF7C67" w:rsidRPr="009D431C">
        <w:rPr>
          <w:rFonts w:ascii="Arial" w:hAnsi="Arial" w:cs="Arial"/>
          <w:vertAlign w:val="superscript"/>
        </w:rPr>
        <w:t>rd</w:t>
      </w:r>
      <w:r w:rsidR="00AF7C67" w:rsidRPr="009D431C">
        <w:rPr>
          <w:rFonts w:ascii="Arial" w:hAnsi="Arial" w:cs="Arial"/>
        </w:rPr>
        <w:t xml:space="preserve"> July 2024</w:t>
      </w:r>
      <w:r w:rsidR="00E47622" w:rsidRPr="009D431C">
        <w:rPr>
          <w:rFonts w:ascii="Arial" w:hAnsi="Arial" w:cs="Arial"/>
        </w:rPr>
        <w:t>.</w:t>
      </w:r>
    </w:p>
    <w:p w14:paraId="5E98A49F" w14:textId="6006FA78" w:rsidR="00912B9C" w:rsidRPr="009D431C" w:rsidRDefault="00C532D8" w:rsidP="00AE4B3E">
      <w:pPr>
        <w:pStyle w:val="ListParagraph"/>
        <w:numPr>
          <w:ilvl w:val="0"/>
          <w:numId w:val="17"/>
        </w:numPr>
        <w:rPr>
          <w:rStyle w:val="Hyperlink"/>
          <w:rFonts w:ascii="Arial" w:hAnsi="Arial" w:cs="Arial"/>
          <w:color w:val="3333CC"/>
          <w:u w:val="none"/>
        </w:rPr>
      </w:pPr>
      <w:hyperlink r:id="rId52" w:history="1">
        <w:r w:rsidR="00912B9C" w:rsidRPr="009D431C">
          <w:rPr>
            <w:rStyle w:val="Hyperlink"/>
            <w:rFonts w:ascii="Arial" w:hAnsi="Arial" w:cs="Arial"/>
            <w:color w:val="3333CC"/>
            <w:u w:val="none"/>
          </w:rPr>
          <w:t>OpenPrescribing</w:t>
        </w:r>
      </w:hyperlink>
      <w:r w:rsidR="00AF7C67" w:rsidRPr="009D431C">
        <w:rPr>
          <w:rFonts w:ascii="Arial" w:hAnsi="Arial" w:cs="Arial"/>
        </w:rPr>
        <w:t xml:space="preserve">: NHS Hertfordshire and West Essex ICB- Prescribing measure for Gastrointestinal system. </w:t>
      </w:r>
    </w:p>
    <w:p w14:paraId="6803B91B" w14:textId="0CBA592B" w:rsidR="00475B7D" w:rsidRPr="009D431C" w:rsidRDefault="00C532D8" w:rsidP="00AE4B3E">
      <w:pPr>
        <w:pStyle w:val="ListParagraph"/>
        <w:numPr>
          <w:ilvl w:val="0"/>
          <w:numId w:val="17"/>
        </w:numPr>
        <w:rPr>
          <w:rFonts w:ascii="Arial" w:hAnsi="Arial" w:cs="Arial"/>
        </w:rPr>
      </w:pPr>
      <w:hyperlink r:id="rId53" w:history="1">
        <w:r w:rsidR="00AA37E1" w:rsidRPr="009D431C">
          <w:rPr>
            <w:rFonts w:ascii="Arial" w:hAnsi="Arial" w:cs="Arial"/>
            <w:color w:val="0000FF"/>
            <w:kern w:val="2"/>
            <w:u w:val="single"/>
            <w14:ligatures w14:val="standardContextual"/>
          </w:rPr>
          <w:t>Dyspepsia - unidentified cause | Health topics A to Z | CKS | NICE</w:t>
        </w:r>
      </w:hyperlink>
      <w:r w:rsidR="00AA37E1" w:rsidRPr="009D431C">
        <w:rPr>
          <w:rFonts w:ascii="Arial" w:hAnsi="Arial" w:cs="Arial"/>
          <w:kern w:val="2"/>
          <w14:ligatures w14:val="standardContextual"/>
        </w:rPr>
        <w:t>: Last revised in May 2024</w:t>
      </w:r>
    </w:p>
    <w:p w14:paraId="0BA8FD73" w14:textId="747C66B8" w:rsidR="00912B9C" w:rsidRPr="009D431C" w:rsidRDefault="00C532D8" w:rsidP="00AE4B3E">
      <w:pPr>
        <w:pStyle w:val="ListParagraph"/>
        <w:numPr>
          <w:ilvl w:val="0"/>
          <w:numId w:val="17"/>
        </w:numPr>
        <w:rPr>
          <w:rStyle w:val="Hyperlink"/>
          <w:rFonts w:ascii="Arial" w:hAnsi="Arial" w:cs="Arial"/>
          <w:color w:val="3333CC"/>
          <w:u w:val="none"/>
        </w:rPr>
      </w:pPr>
      <w:hyperlink r:id="rId54" w:history="1">
        <w:r w:rsidR="00AA37E1" w:rsidRPr="009D431C">
          <w:rPr>
            <w:rFonts w:ascii="Arial" w:hAnsi="Arial" w:cs="Arial"/>
            <w:color w:val="0000FF"/>
            <w:kern w:val="2"/>
            <w:u w:val="single"/>
            <w14:ligatures w14:val="standardContextual"/>
          </w:rPr>
          <w:t>Scenario: Dyspepsia - proven GORD | Management | Dyspepsia - proven GORD | CKS | NICE</w:t>
        </w:r>
      </w:hyperlink>
      <w:r w:rsidR="00AA37E1" w:rsidRPr="009D431C">
        <w:rPr>
          <w:rFonts w:ascii="Arial" w:hAnsi="Arial" w:cs="Arial"/>
          <w:kern w:val="2"/>
          <w14:ligatures w14:val="standardContextual"/>
        </w:rPr>
        <w:t xml:space="preserve">: Last revised in July 2023. </w:t>
      </w:r>
    </w:p>
    <w:p w14:paraId="723EEADC" w14:textId="46728F8E" w:rsidR="00912B9C" w:rsidRPr="009D431C" w:rsidRDefault="00C532D8" w:rsidP="00AE4B3E">
      <w:pPr>
        <w:pStyle w:val="ListParagraph"/>
        <w:numPr>
          <w:ilvl w:val="0"/>
          <w:numId w:val="17"/>
        </w:numPr>
        <w:rPr>
          <w:rStyle w:val="Hyperlink"/>
          <w:rFonts w:ascii="Arial" w:hAnsi="Arial" w:cs="Arial"/>
          <w:color w:val="3333CC"/>
          <w:u w:val="none"/>
        </w:rPr>
      </w:pPr>
      <w:hyperlink r:id="rId55" w:history="1">
        <w:r w:rsidR="00AA37E1" w:rsidRPr="009D431C">
          <w:rPr>
            <w:rFonts w:ascii="Arial" w:hAnsi="Arial" w:cs="Arial"/>
            <w:color w:val="0000FF"/>
            <w:kern w:val="2"/>
            <w:u w:val="single"/>
            <w14:ligatures w14:val="standardContextual"/>
          </w:rPr>
          <w:t>Scenario: Management - proven peptic ulcer | Management | Dyspepsia - proven peptic ulcer | CKS | NICE</w:t>
        </w:r>
      </w:hyperlink>
      <w:r w:rsidR="00AA37E1" w:rsidRPr="009D431C">
        <w:rPr>
          <w:rFonts w:ascii="Arial" w:hAnsi="Arial" w:cs="Arial"/>
          <w:kern w:val="2"/>
          <w14:ligatures w14:val="standardContextual"/>
        </w:rPr>
        <w:t>: Last revised in May 2024</w:t>
      </w:r>
      <w:r w:rsidR="00E47622" w:rsidRPr="009D431C">
        <w:rPr>
          <w:rFonts w:ascii="Arial" w:hAnsi="Arial" w:cs="Arial"/>
          <w:kern w:val="2"/>
          <w14:ligatures w14:val="standardContextual"/>
        </w:rPr>
        <w:t>.</w:t>
      </w:r>
    </w:p>
    <w:p w14:paraId="44A6F087" w14:textId="33FA0D88" w:rsidR="00912B9C" w:rsidRPr="009D431C" w:rsidRDefault="00C532D8" w:rsidP="00AE4B3E">
      <w:pPr>
        <w:pStyle w:val="ListParagraph"/>
        <w:numPr>
          <w:ilvl w:val="0"/>
          <w:numId w:val="17"/>
        </w:numPr>
        <w:rPr>
          <w:rStyle w:val="Hyperlink"/>
          <w:rFonts w:ascii="Arial" w:hAnsi="Arial" w:cs="Arial"/>
          <w:color w:val="3333CC"/>
          <w:u w:val="none"/>
        </w:rPr>
      </w:pPr>
      <w:hyperlink r:id="rId56" w:anchor="first-line-h-pylori-eradication-regimens" w:history="1">
        <w:r w:rsidR="00AA37E1" w:rsidRPr="009D431C">
          <w:rPr>
            <w:rFonts w:ascii="Arial" w:hAnsi="Arial" w:cs="Arial"/>
            <w:color w:val="0000FF"/>
            <w:kern w:val="2"/>
            <w:u w:val="single"/>
            <w14:ligatures w14:val="standardContextual"/>
          </w:rPr>
          <w:t>Scenario: Dyspepsia - unidentified cause | Management | Dyspepsia - unidentified cause | CKS | NICE</w:t>
        </w:r>
      </w:hyperlink>
      <w:r w:rsidR="00AA37E1" w:rsidRPr="009D431C">
        <w:rPr>
          <w:rFonts w:ascii="Arial" w:hAnsi="Arial" w:cs="Arial"/>
          <w:kern w:val="2"/>
          <w14:ligatures w14:val="standardContextual"/>
        </w:rPr>
        <w:t>: Last revised in May 2024</w:t>
      </w:r>
      <w:r w:rsidR="00E47622" w:rsidRPr="009D431C">
        <w:rPr>
          <w:rFonts w:ascii="Arial" w:hAnsi="Arial" w:cs="Arial"/>
          <w:kern w:val="2"/>
          <w14:ligatures w14:val="standardContextual"/>
        </w:rPr>
        <w:t>.</w:t>
      </w:r>
    </w:p>
    <w:p w14:paraId="110B2ADD" w14:textId="1AE5F72C" w:rsidR="00912B9C" w:rsidRPr="009D431C" w:rsidRDefault="00C532D8" w:rsidP="00AE4B3E">
      <w:pPr>
        <w:pStyle w:val="ListParagraph"/>
        <w:numPr>
          <w:ilvl w:val="0"/>
          <w:numId w:val="17"/>
        </w:numPr>
        <w:rPr>
          <w:rStyle w:val="Hyperlink"/>
          <w:rFonts w:ascii="Arial" w:hAnsi="Arial" w:cs="Arial"/>
          <w:color w:val="3333CC"/>
          <w:u w:val="none"/>
        </w:rPr>
      </w:pPr>
      <w:hyperlink r:id="rId57" w:anchor="pharmacological-interventions" w:history="1">
        <w:r w:rsidR="00AA37E1" w:rsidRPr="009D431C">
          <w:rPr>
            <w:rFonts w:ascii="Arial" w:hAnsi="Arial" w:cs="Arial"/>
            <w:color w:val="0000FF"/>
            <w:kern w:val="2"/>
            <w:u w:val="single"/>
            <w14:ligatures w14:val="standardContextual"/>
          </w:rPr>
          <w:t>Recommendations | Barrett's oesophagus and stage 1 oesophageal adenocarcinoma: monitoring and management | Guidance | NICE</w:t>
        </w:r>
      </w:hyperlink>
      <w:r w:rsidR="00AA37E1" w:rsidRPr="009D431C">
        <w:rPr>
          <w:rFonts w:ascii="Arial" w:hAnsi="Arial" w:cs="Arial"/>
          <w:kern w:val="2"/>
          <w14:ligatures w14:val="standardContextual"/>
        </w:rPr>
        <w:t>: NICE guideline/NG231/Published: 08 February 2023</w:t>
      </w:r>
      <w:r w:rsidR="00E47622" w:rsidRPr="009D431C">
        <w:rPr>
          <w:rFonts w:ascii="Arial" w:hAnsi="Arial" w:cs="Arial"/>
          <w:kern w:val="2"/>
          <w14:ligatures w14:val="standardContextual"/>
        </w:rPr>
        <w:t>.</w:t>
      </w:r>
      <w:hyperlink r:id="rId58" w:anchor="pharmacological-interventions" w:history="1"/>
    </w:p>
    <w:p w14:paraId="062CE031" w14:textId="71DD79E1" w:rsidR="00912B9C" w:rsidRPr="009D431C" w:rsidRDefault="00C532D8" w:rsidP="00AE4B3E">
      <w:pPr>
        <w:pStyle w:val="ListParagraph"/>
        <w:numPr>
          <w:ilvl w:val="0"/>
          <w:numId w:val="17"/>
        </w:numPr>
        <w:rPr>
          <w:rStyle w:val="Hyperlink"/>
          <w:rFonts w:ascii="Arial" w:hAnsi="Arial" w:cs="Arial"/>
          <w:color w:val="3333CC"/>
          <w:u w:val="none"/>
        </w:rPr>
      </w:pPr>
      <w:hyperlink r:id="rId59" w:history="1">
        <w:r w:rsidR="00AA37E1" w:rsidRPr="009D431C">
          <w:rPr>
            <w:rFonts w:ascii="Arial" w:hAnsi="Arial" w:cs="Arial"/>
            <w:color w:val="0000FF"/>
            <w:kern w:val="2"/>
            <w:u w:val="single"/>
            <w14:ligatures w14:val="standardContextual"/>
          </w:rPr>
          <w:t>Proton pump inhibitors | Treatment summaries | BNF | NICE</w:t>
        </w:r>
      </w:hyperlink>
    </w:p>
    <w:p w14:paraId="7F1E66DF" w14:textId="03480185" w:rsidR="00912B9C" w:rsidRPr="009D431C" w:rsidRDefault="00C532D8" w:rsidP="00AE4B3E">
      <w:pPr>
        <w:pStyle w:val="ListParagraph"/>
        <w:numPr>
          <w:ilvl w:val="0"/>
          <w:numId w:val="17"/>
        </w:numPr>
        <w:rPr>
          <w:rStyle w:val="Hyperlink"/>
          <w:rFonts w:ascii="Arial" w:hAnsi="Arial" w:cs="Arial"/>
          <w:color w:val="3333CC"/>
          <w:u w:val="none"/>
        </w:rPr>
      </w:pPr>
      <w:hyperlink r:id="rId60" w:history="1">
        <w:r w:rsidR="00AA37E1" w:rsidRPr="009D431C">
          <w:rPr>
            <w:rFonts w:ascii="Arial" w:hAnsi="Arial" w:cs="Arial"/>
            <w:color w:val="0000FF"/>
            <w:kern w:val="2"/>
            <w:u w:val="single"/>
            <w14:ligatures w14:val="standardContextual"/>
          </w:rPr>
          <w:t>Scenario: Dyspepsia - unidentified cause | Management | Dyspepsia - unidentified cause | CKS | NICE</w:t>
        </w:r>
      </w:hyperlink>
      <w:r w:rsidR="00AA37E1" w:rsidRPr="009D431C">
        <w:rPr>
          <w:rFonts w:ascii="Arial" w:hAnsi="Arial" w:cs="Arial"/>
          <w:kern w:val="2"/>
          <w14:ligatures w14:val="standardContextual"/>
        </w:rPr>
        <w:t>: Last revised in May 2024</w:t>
      </w:r>
      <w:r w:rsidR="00E47622" w:rsidRPr="009D431C">
        <w:rPr>
          <w:rFonts w:ascii="Arial" w:hAnsi="Arial" w:cs="Arial"/>
          <w:kern w:val="2"/>
          <w14:ligatures w14:val="standardContextual"/>
        </w:rPr>
        <w:t>.</w:t>
      </w:r>
    </w:p>
    <w:p w14:paraId="2669146B" w14:textId="717093A9" w:rsidR="00912B9C" w:rsidRPr="009D431C" w:rsidRDefault="00C532D8" w:rsidP="00AE4B3E">
      <w:pPr>
        <w:pStyle w:val="ListParagraph"/>
        <w:numPr>
          <w:ilvl w:val="0"/>
          <w:numId w:val="17"/>
        </w:numPr>
        <w:rPr>
          <w:rStyle w:val="Hyperlink"/>
          <w:rFonts w:ascii="Arial" w:hAnsi="Arial" w:cs="Arial"/>
          <w:color w:val="3333CC"/>
          <w:u w:val="none"/>
        </w:rPr>
      </w:pPr>
      <w:hyperlink r:id="rId61" w:history="1">
        <w:r w:rsidR="002C69BC" w:rsidRPr="009D431C">
          <w:rPr>
            <w:rStyle w:val="Hyperlink"/>
            <w:rFonts w:ascii="Arial" w:hAnsi="Arial" w:cs="Arial"/>
            <w:color w:val="3333CC"/>
            <w:u w:val="none"/>
          </w:rPr>
          <w:t>HWE Clinical Guidance: Proton pump inhibitors</w:t>
        </w:r>
      </w:hyperlink>
      <w:r w:rsidR="00AA37E1" w:rsidRPr="009D431C">
        <w:rPr>
          <w:rFonts w:ascii="Arial" w:hAnsi="Arial" w:cs="Arial"/>
        </w:rPr>
        <w:t xml:space="preserve">: Hertfordshire and West Essex ICB Prescribing, Polices and Pathways website. </w:t>
      </w:r>
    </w:p>
    <w:p w14:paraId="5A63C073" w14:textId="60285D08" w:rsidR="002C69BC" w:rsidRPr="009D431C" w:rsidRDefault="00C532D8" w:rsidP="00AE4B3E">
      <w:pPr>
        <w:pStyle w:val="ListParagraph"/>
        <w:numPr>
          <w:ilvl w:val="0"/>
          <w:numId w:val="17"/>
        </w:numPr>
        <w:rPr>
          <w:rFonts w:ascii="Arial" w:hAnsi="Arial" w:cs="Arial"/>
          <w:color w:val="3333CC"/>
        </w:rPr>
      </w:pPr>
      <w:hyperlink r:id="rId62" w:history="1">
        <w:r w:rsidR="002C69BC" w:rsidRPr="009D431C">
          <w:rPr>
            <w:rStyle w:val="Hyperlink"/>
            <w:rFonts w:ascii="Arial" w:hAnsi="Arial" w:cs="Arial"/>
            <w:color w:val="3333CC"/>
            <w:u w:val="none"/>
          </w:rPr>
          <w:t>PrescQIPP Bulletin 267: PPIs - Long term safety and gastroprotection</w:t>
        </w:r>
      </w:hyperlink>
      <w:r w:rsidR="000D06E0" w:rsidRPr="009D431C">
        <w:rPr>
          <w:rFonts w:ascii="Arial" w:hAnsi="Arial" w:cs="Arial"/>
        </w:rPr>
        <w:t xml:space="preserve">: Implementation resources including an audit, GP clinical system search, medicine safety checklist, PPI deprescribing algorithm and educational presentation. </w:t>
      </w:r>
      <w:r w:rsidR="002C69BC" w:rsidRPr="009D431C">
        <w:rPr>
          <w:rFonts w:ascii="Arial" w:hAnsi="Arial" w:cs="Arial"/>
          <w:color w:val="3333CC"/>
        </w:rPr>
        <w:t xml:space="preserve"> </w:t>
      </w:r>
    </w:p>
    <w:p w14:paraId="7B70E3AA" w14:textId="119DC9FC" w:rsidR="00751C0D" w:rsidRPr="009D431C" w:rsidRDefault="00C532D8" w:rsidP="00AE4B3E">
      <w:pPr>
        <w:pStyle w:val="ListParagraph"/>
        <w:numPr>
          <w:ilvl w:val="0"/>
          <w:numId w:val="17"/>
        </w:numPr>
        <w:rPr>
          <w:rFonts w:ascii="Arial" w:hAnsi="Arial" w:cs="Arial"/>
          <w:color w:val="3333CC"/>
        </w:rPr>
      </w:pPr>
      <w:hyperlink r:id="rId63" w:history="1">
        <w:r w:rsidR="00751C0D" w:rsidRPr="009D431C">
          <w:rPr>
            <w:rFonts w:ascii="Arial" w:hAnsi="Arial" w:cs="Arial"/>
            <w:color w:val="0000FF"/>
          </w:rPr>
          <w:t>Long-term Proton Pump Inhibitor (PPI) prescribing reviews (2024)</w:t>
        </w:r>
      </w:hyperlink>
      <w:r w:rsidR="000D06E0" w:rsidRPr="009D431C">
        <w:rPr>
          <w:rFonts w:ascii="Arial" w:hAnsi="Arial" w:cs="Arial"/>
        </w:rPr>
        <w:t xml:space="preserve">: West Yorkshire ICB, Calderdale Project Summary. </w:t>
      </w:r>
    </w:p>
    <w:p w14:paraId="18DEF0B1" w14:textId="7C6EF712" w:rsidR="002C69BC" w:rsidRPr="009D431C" w:rsidRDefault="00C532D8" w:rsidP="00AE4B3E">
      <w:pPr>
        <w:pStyle w:val="ListParagraph"/>
        <w:numPr>
          <w:ilvl w:val="0"/>
          <w:numId w:val="17"/>
        </w:numPr>
        <w:rPr>
          <w:rStyle w:val="Hyperlink"/>
          <w:rFonts w:ascii="Arial" w:eastAsia="Times New Roman" w:hAnsi="Arial" w:cs="Arial"/>
          <w:color w:val="3333CC"/>
          <w:u w:val="none"/>
          <w:lang w:eastAsia="en-GB"/>
        </w:rPr>
      </w:pPr>
      <w:hyperlink r:id="rId64" w:anchor="appendix-a-dosage-information-on-proton-pump-inhibitors" w:history="1">
        <w:r w:rsidR="000D06E0" w:rsidRPr="009D431C">
          <w:rPr>
            <w:rFonts w:ascii="Arial" w:hAnsi="Arial" w:cs="Arial"/>
            <w:color w:val="0000FF"/>
            <w:kern w:val="2"/>
            <w:u w:val="single"/>
            <w14:ligatures w14:val="standardContextual"/>
          </w:rPr>
          <w:t>Appendix A: Dosage information on proton pump inhibitors | Gastro-oesophageal reflux disease and dyspepsia in adults: investigation and management | Guidance | NICE</w:t>
        </w:r>
      </w:hyperlink>
      <w:r w:rsidR="000D06E0" w:rsidRPr="009D431C">
        <w:rPr>
          <w:rFonts w:ascii="Arial" w:hAnsi="Arial" w:cs="Arial"/>
          <w:kern w:val="2"/>
          <w14:ligatures w14:val="standardContextual"/>
        </w:rPr>
        <w:t>: Clinical guideline/CG184/Published: 3</w:t>
      </w:r>
      <w:r w:rsidR="000D06E0" w:rsidRPr="009D431C">
        <w:rPr>
          <w:rFonts w:ascii="Arial" w:hAnsi="Arial" w:cs="Arial"/>
          <w:kern w:val="2"/>
          <w:vertAlign w:val="superscript"/>
          <w14:ligatures w14:val="standardContextual"/>
        </w:rPr>
        <w:t>rd</w:t>
      </w:r>
      <w:r w:rsidR="000D06E0" w:rsidRPr="009D431C">
        <w:rPr>
          <w:rFonts w:ascii="Arial" w:hAnsi="Arial" w:cs="Arial"/>
          <w:kern w:val="2"/>
          <w14:ligatures w14:val="standardContextual"/>
        </w:rPr>
        <w:t xml:space="preserve"> September 2014/ Last updated: 18</w:t>
      </w:r>
      <w:r w:rsidR="000D06E0" w:rsidRPr="009D431C">
        <w:rPr>
          <w:rFonts w:ascii="Arial" w:hAnsi="Arial" w:cs="Arial"/>
          <w:kern w:val="2"/>
          <w:vertAlign w:val="superscript"/>
          <w14:ligatures w14:val="standardContextual"/>
        </w:rPr>
        <w:t>th</w:t>
      </w:r>
      <w:r w:rsidR="000D06E0" w:rsidRPr="009D431C">
        <w:rPr>
          <w:rFonts w:ascii="Arial" w:hAnsi="Arial" w:cs="Arial"/>
          <w:kern w:val="2"/>
          <w14:ligatures w14:val="standardContextual"/>
        </w:rPr>
        <w:t xml:space="preserve"> October 2019</w:t>
      </w:r>
      <w:r w:rsidR="00E47622" w:rsidRPr="009D431C">
        <w:rPr>
          <w:rFonts w:ascii="Arial" w:hAnsi="Arial" w:cs="Arial"/>
          <w:kern w:val="2"/>
          <w14:ligatures w14:val="standardContextual"/>
        </w:rPr>
        <w:t>.</w:t>
      </w:r>
    </w:p>
    <w:p w14:paraId="1C5C4AFF" w14:textId="6BAAA2A5" w:rsidR="002C69BC" w:rsidRPr="009D431C" w:rsidRDefault="00C532D8" w:rsidP="00AE4B3E">
      <w:pPr>
        <w:pStyle w:val="ListParagraph"/>
        <w:numPr>
          <w:ilvl w:val="0"/>
          <w:numId w:val="17"/>
        </w:numPr>
        <w:rPr>
          <w:rFonts w:ascii="Arial" w:eastAsia="Times New Roman" w:hAnsi="Arial" w:cs="Arial"/>
          <w:color w:val="3333CC"/>
          <w:lang w:eastAsia="en-GB"/>
        </w:rPr>
      </w:pPr>
      <w:hyperlink r:id="rId65" w:anchor=":~:text=Concomitant%20use%20of%20clopidogrel%20and,therapies%20would%20be%20more%20suitable" w:history="1">
        <w:r w:rsidR="000D06E0" w:rsidRPr="009D431C">
          <w:rPr>
            <w:rFonts w:ascii="Arial" w:hAnsi="Arial" w:cs="Arial"/>
            <w:color w:val="0000FF"/>
            <w:kern w:val="2"/>
            <w:u w:val="single"/>
            <w14:ligatures w14:val="standardContextual"/>
          </w:rPr>
          <w:t>Clopidogrel and proton pump inhibitors: interaction—updated advice - GOV.UK</w:t>
        </w:r>
      </w:hyperlink>
      <w:r w:rsidR="000D06E0" w:rsidRPr="009D431C">
        <w:rPr>
          <w:rFonts w:ascii="Arial" w:hAnsi="Arial" w:cs="Arial"/>
          <w:kern w:val="2"/>
          <w14:ligatures w14:val="standardContextual"/>
        </w:rPr>
        <w:t>: Article date 2010</w:t>
      </w:r>
      <w:r w:rsidR="0067240B" w:rsidRPr="009D431C">
        <w:rPr>
          <w:rFonts w:ascii="Arial" w:hAnsi="Arial" w:cs="Arial"/>
          <w:kern w:val="2"/>
          <w14:ligatures w14:val="standardContextual"/>
        </w:rPr>
        <w:t>.</w:t>
      </w:r>
    </w:p>
    <w:p w14:paraId="7AD64D1A" w14:textId="59574A0C" w:rsidR="00EC1807" w:rsidRDefault="00C532D8" w:rsidP="00506794">
      <w:pPr>
        <w:pStyle w:val="ListParagraph"/>
        <w:numPr>
          <w:ilvl w:val="0"/>
          <w:numId w:val="17"/>
        </w:numPr>
        <w:rPr>
          <w:rStyle w:val="Hyperlink"/>
          <w:rFonts w:ascii="Arial" w:eastAsia="Times New Roman" w:hAnsi="Arial" w:cs="Arial"/>
          <w:color w:val="auto"/>
          <w:u w:val="none"/>
          <w:lang w:eastAsia="en-GB"/>
        </w:rPr>
      </w:pPr>
      <w:hyperlink r:id="rId66" w:history="1">
        <w:r w:rsidR="005B6FC1" w:rsidRPr="009D431C">
          <w:rPr>
            <w:rStyle w:val="Hyperlink"/>
            <w:rFonts w:ascii="Arial" w:eastAsia="Times New Roman" w:hAnsi="Arial" w:cs="Arial"/>
            <w:color w:val="0000FF"/>
            <w:lang w:eastAsia="en-GB"/>
          </w:rPr>
          <w:t>HWE Clinical Guidance: Eclipse</w:t>
        </w:r>
      </w:hyperlink>
      <w:r w:rsidR="005B6FC1" w:rsidRPr="009D431C">
        <w:rPr>
          <w:rStyle w:val="Hyperlink"/>
          <w:rFonts w:ascii="Arial" w:eastAsia="Times New Roman" w:hAnsi="Arial" w:cs="Arial"/>
          <w:color w:val="0000FF"/>
          <w:u w:val="none"/>
          <w:lang w:eastAsia="en-GB"/>
        </w:rPr>
        <w:t>:</w:t>
      </w:r>
      <w:r w:rsidR="005B6FC1" w:rsidRPr="009D431C">
        <w:rPr>
          <w:rStyle w:val="Hyperlink"/>
          <w:rFonts w:ascii="Arial" w:eastAsia="Times New Roman" w:hAnsi="Arial" w:cs="Arial"/>
          <w:color w:val="3333CC"/>
          <w:u w:val="none"/>
          <w:lang w:eastAsia="en-GB"/>
        </w:rPr>
        <w:t xml:space="preserve"> </w:t>
      </w:r>
      <w:r w:rsidR="005B6FC1" w:rsidRPr="009D431C">
        <w:rPr>
          <w:rStyle w:val="Hyperlink"/>
          <w:rFonts w:ascii="Arial" w:eastAsia="Times New Roman" w:hAnsi="Arial" w:cs="Arial"/>
          <w:color w:val="auto"/>
          <w:u w:val="none"/>
          <w:lang w:eastAsia="en-GB"/>
        </w:rPr>
        <w:t>Eclipse Advice and Guidance: update April 2024</w:t>
      </w:r>
      <w:r w:rsidR="0067240B" w:rsidRPr="009D431C">
        <w:rPr>
          <w:rStyle w:val="Hyperlink"/>
          <w:rFonts w:ascii="Arial" w:eastAsia="Times New Roman" w:hAnsi="Arial" w:cs="Arial"/>
          <w:color w:val="auto"/>
          <w:u w:val="none"/>
          <w:lang w:eastAsia="en-GB"/>
        </w:rPr>
        <w:t>.</w:t>
      </w:r>
    </w:p>
    <w:p w14:paraId="3B9F07F8" w14:textId="77777777" w:rsidR="009D431C" w:rsidRPr="009D431C" w:rsidRDefault="009D431C" w:rsidP="009D431C">
      <w:pPr>
        <w:pStyle w:val="ListParagraph"/>
        <w:ind w:left="360"/>
        <w:rPr>
          <w:rStyle w:val="Hyperlink"/>
          <w:rFonts w:ascii="Arial" w:eastAsia="Times New Roman" w:hAnsi="Arial" w:cs="Arial"/>
          <w:color w:val="auto"/>
          <w:u w:val="none"/>
          <w:lang w:eastAsia="en-GB"/>
        </w:rPr>
      </w:pPr>
    </w:p>
    <w:tbl>
      <w:tblPr>
        <w:tblStyle w:val="TableGrid"/>
        <w:tblW w:w="0" w:type="auto"/>
        <w:tblLook w:val="04A0" w:firstRow="1" w:lastRow="0" w:firstColumn="1" w:lastColumn="0" w:noHBand="0" w:noVBand="1"/>
      </w:tblPr>
      <w:tblGrid>
        <w:gridCol w:w="3397"/>
        <w:gridCol w:w="5619"/>
      </w:tblGrid>
      <w:tr w:rsidR="00EC1807" w:rsidRPr="009D431C" w14:paraId="5A9C4031" w14:textId="77777777" w:rsidTr="00EC1807">
        <w:tc>
          <w:tcPr>
            <w:tcW w:w="3397" w:type="dxa"/>
          </w:tcPr>
          <w:p w14:paraId="3D079E31" w14:textId="79D34696" w:rsidR="00EC1807" w:rsidRPr="009D431C" w:rsidRDefault="00EC1807" w:rsidP="00506794">
            <w:pPr>
              <w:rPr>
                <w:rStyle w:val="Hyperlink"/>
                <w:rFonts w:ascii="Arial" w:hAnsi="Arial" w:cs="Arial"/>
                <w:b/>
                <w:bCs/>
                <w:color w:val="000000" w:themeColor="text1"/>
                <w:sz w:val="18"/>
                <w:szCs w:val="18"/>
                <w:u w:val="none"/>
              </w:rPr>
            </w:pPr>
            <w:r w:rsidRPr="009D431C">
              <w:rPr>
                <w:rStyle w:val="Hyperlink"/>
                <w:rFonts w:ascii="Arial" w:hAnsi="Arial" w:cs="Arial"/>
                <w:b/>
                <w:bCs/>
                <w:color w:val="000000" w:themeColor="text1"/>
                <w:sz w:val="18"/>
                <w:szCs w:val="18"/>
                <w:u w:val="none"/>
              </w:rPr>
              <w:t>Version</w:t>
            </w:r>
          </w:p>
        </w:tc>
        <w:tc>
          <w:tcPr>
            <w:tcW w:w="5619" w:type="dxa"/>
          </w:tcPr>
          <w:p w14:paraId="684C8521" w14:textId="724226B1" w:rsidR="00EC1807" w:rsidRPr="009D431C" w:rsidRDefault="00A00D01" w:rsidP="00506794">
            <w:pPr>
              <w:rPr>
                <w:rStyle w:val="Hyperlink"/>
                <w:rFonts w:ascii="Arial" w:hAnsi="Arial" w:cs="Arial"/>
                <w:color w:val="000000" w:themeColor="text1"/>
                <w:sz w:val="18"/>
                <w:szCs w:val="18"/>
                <w:u w:val="none"/>
              </w:rPr>
            </w:pPr>
            <w:r w:rsidRPr="009D431C">
              <w:rPr>
                <w:rStyle w:val="Hyperlink"/>
                <w:rFonts w:ascii="Arial" w:hAnsi="Arial" w:cs="Arial"/>
                <w:color w:val="000000" w:themeColor="text1"/>
                <w:sz w:val="18"/>
                <w:szCs w:val="18"/>
                <w:u w:val="none"/>
              </w:rPr>
              <w:t>Version 1.0</w:t>
            </w:r>
          </w:p>
        </w:tc>
      </w:tr>
      <w:tr w:rsidR="00EC1807" w:rsidRPr="009D431C" w14:paraId="592F4B72" w14:textId="77777777" w:rsidTr="00EC1807">
        <w:tc>
          <w:tcPr>
            <w:tcW w:w="3397" w:type="dxa"/>
          </w:tcPr>
          <w:p w14:paraId="375785A6" w14:textId="3E985811" w:rsidR="00EC1807" w:rsidRPr="009D431C" w:rsidRDefault="00EC1807" w:rsidP="00506794">
            <w:pPr>
              <w:rPr>
                <w:rStyle w:val="Hyperlink"/>
                <w:rFonts w:ascii="Arial" w:hAnsi="Arial" w:cs="Arial"/>
                <w:b/>
                <w:bCs/>
                <w:color w:val="000000" w:themeColor="text1"/>
                <w:sz w:val="18"/>
                <w:szCs w:val="18"/>
                <w:u w:val="none"/>
              </w:rPr>
            </w:pPr>
            <w:r w:rsidRPr="009D431C">
              <w:rPr>
                <w:rStyle w:val="Hyperlink"/>
                <w:rFonts w:ascii="Arial" w:hAnsi="Arial" w:cs="Arial"/>
                <w:b/>
                <w:bCs/>
                <w:color w:val="000000" w:themeColor="text1"/>
                <w:sz w:val="18"/>
                <w:szCs w:val="18"/>
                <w:u w:val="none"/>
              </w:rPr>
              <w:t>Developed by</w:t>
            </w:r>
          </w:p>
        </w:tc>
        <w:tc>
          <w:tcPr>
            <w:tcW w:w="5619" w:type="dxa"/>
          </w:tcPr>
          <w:p w14:paraId="33AEEFB9" w14:textId="32478561" w:rsidR="00EC1807" w:rsidRPr="009D431C" w:rsidRDefault="00482903" w:rsidP="00506794">
            <w:pPr>
              <w:rPr>
                <w:rStyle w:val="Hyperlink"/>
                <w:rFonts w:ascii="Arial" w:hAnsi="Arial" w:cs="Arial"/>
                <w:color w:val="000000" w:themeColor="text1"/>
                <w:sz w:val="18"/>
                <w:szCs w:val="18"/>
                <w:u w:val="none"/>
              </w:rPr>
            </w:pPr>
            <w:r w:rsidRPr="009D431C">
              <w:rPr>
                <w:rStyle w:val="Hyperlink"/>
                <w:rFonts w:ascii="Arial" w:hAnsi="Arial" w:cs="Arial"/>
                <w:color w:val="000000" w:themeColor="text1"/>
                <w:sz w:val="18"/>
                <w:szCs w:val="18"/>
                <w:u w:val="none"/>
              </w:rPr>
              <w:t>Niraj Shah</w:t>
            </w:r>
            <w:r w:rsidR="00A00D01" w:rsidRPr="009D431C">
              <w:rPr>
                <w:rStyle w:val="Hyperlink"/>
                <w:rFonts w:ascii="Arial" w:hAnsi="Arial" w:cs="Arial"/>
                <w:color w:val="000000" w:themeColor="text1"/>
                <w:sz w:val="18"/>
                <w:szCs w:val="18"/>
                <w:u w:val="none"/>
              </w:rPr>
              <w:t>,</w:t>
            </w:r>
            <w:r w:rsidRPr="009D431C">
              <w:rPr>
                <w:rStyle w:val="Hyperlink"/>
                <w:rFonts w:ascii="Arial" w:hAnsi="Arial" w:cs="Arial"/>
                <w:color w:val="000000" w:themeColor="text1"/>
                <w:sz w:val="18"/>
                <w:szCs w:val="18"/>
                <w:u w:val="none"/>
              </w:rPr>
              <w:t xml:space="preserve"> Pharmaceutical Advisor</w:t>
            </w:r>
            <w:r w:rsidR="00A00D01" w:rsidRPr="009D431C">
              <w:rPr>
                <w:rStyle w:val="Hyperlink"/>
                <w:rFonts w:ascii="Arial" w:hAnsi="Arial" w:cs="Arial"/>
                <w:color w:val="000000" w:themeColor="text1"/>
                <w:sz w:val="18"/>
                <w:szCs w:val="18"/>
                <w:u w:val="none"/>
              </w:rPr>
              <w:t>, Pharmacy and Medicines Optimisation Team, Hertfordshire and West Essex Integrated Care Board</w:t>
            </w:r>
          </w:p>
        </w:tc>
      </w:tr>
      <w:tr w:rsidR="00EC1807" w:rsidRPr="009D431C" w14:paraId="34E461DA" w14:textId="77777777" w:rsidTr="00A00D01">
        <w:trPr>
          <w:trHeight w:val="371"/>
        </w:trPr>
        <w:tc>
          <w:tcPr>
            <w:tcW w:w="3397" w:type="dxa"/>
          </w:tcPr>
          <w:p w14:paraId="066E39F2" w14:textId="6CC6E098" w:rsidR="00482903" w:rsidRPr="009D431C" w:rsidRDefault="00E26E6C" w:rsidP="00E26E6C">
            <w:pPr>
              <w:rPr>
                <w:rStyle w:val="Hyperlink"/>
                <w:rFonts w:ascii="Arial" w:hAnsi="Arial" w:cs="Arial"/>
                <w:b/>
                <w:bCs/>
                <w:color w:val="000000" w:themeColor="text1"/>
                <w:sz w:val="18"/>
                <w:szCs w:val="18"/>
                <w:u w:val="none"/>
              </w:rPr>
            </w:pPr>
            <w:r w:rsidRPr="009D431C">
              <w:rPr>
                <w:rStyle w:val="Hyperlink"/>
                <w:rFonts w:ascii="Arial" w:hAnsi="Arial" w:cs="Arial"/>
                <w:b/>
                <w:bCs/>
                <w:color w:val="000000" w:themeColor="text1"/>
                <w:sz w:val="18"/>
                <w:szCs w:val="18"/>
                <w:u w:val="none"/>
              </w:rPr>
              <w:t>Approved by</w:t>
            </w:r>
          </w:p>
        </w:tc>
        <w:tc>
          <w:tcPr>
            <w:tcW w:w="5619" w:type="dxa"/>
          </w:tcPr>
          <w:p w14:paraId="4DB1B11C" w14:textId="43110D04" w:rsidR="00EC1807" w:rsidRPr="009D431C" w:rsidRDefault="00E26E6C" w:rsidP="00506794">
            <w:pPr>
              <w:rPr>
                <w:rStyle w:val="Hyperlink"/>
                <w:rFonts w:ascii="Arial" w:hAnsi="Arial" w:cs="Arial"/>
                <w:color w:val="000000" w:themeColor="text1"/>
                <w:sz w:val="18"/>
                <w:szCs w:val="18"/>
                <w:u w:val="none"/>
              </w:rPr>
            </w:pPr>
            <w:r w:rsidRPr="009D431C">
              <w:rPr>
                <w:rFonts w:ascii="Arial" w:hAnsi="Arial" w:cs="Arial"/>
                <w:sz w:val="18"/>
                <w:szCs w:val="18"/>
              </w:rPr>
              <w:t>Medicines Optimisation Delivery and Implementation Group</w:t>
            </w:r>
          </w:p>
        </w:tc>
      </w:tr>
      <w:tr w:rsidR="00EC1807" w:rsidRPr="009D431C" w14:paraId="4AD34896" w14:textId="77777777" w:rsidTr="00E26E6C">
        <w:trPr>
          <w:trHeight w:val="251"/>
        </w:trPr>
        <w:tc>
          <w:tcPr>
            <w:tcW w:w="3397" w:type="dxa"/>
          </w:tcPr>
          <w:p w14:paraId="42630409" w14:textId="77777777" w:rsidR="00E26E6C" w:rsidRPr="009D431C" w:rsidRDefault="00E26E6C" w:rsidP="00E26E6C">
            <w:pPr>
              <w:rPr>
                <w:rStyle w:val="Hyperlink"/>
                <w:rFonts w:ascii="Arial" w:hAnsi="Arial" w:cs="Arial"/>
                <w:b/>
                <w:bCs/>
                <w:color w:val="000000" w:themeColor="text1"/>
                <w:sz w:val="18"/>
                <w:szCs w:val="18"/>
                <w:u w:val="none"/>
              </w:rPr>
            </w:pPr>
            <w:r w:rsidRPr="009D431C">
              <w:rPr>
                <w:rStyle w:val="Hyperlink"/>
                <w:rFonts w:ascii="Arial" w:hAnsi="Arial" w:cs="Arial"/>
                <w:b/>
                <w:bCs/>
                <w:color w:val="000000" w:themeColor="text1"/>
                <w:sz w:val="18"/>
                <w:szCs w:val="18"/>
                <w:u w:val="none"/>
              </w:rPr>
              <w:t>Date ratified</w:t>
            </w:r>
          </w:p>
          <w:p w14:paraId="388ACA81" w14:textId="0B4C2E1E" w:rsidR="00EC1807" w:rsidRPr="009D431C" w:rsidRDefault="00EC1807" w:rsidP="00506794">
            <w:pPr>
              <w:rPr>
                <w:rStyle w:val="Hyperlink"/>
                <w:rFonts w:ascii="Arial" w:hAnsi="Arial" w:cs="Arial"/>
                <w:b/>
                <w:bCs/>
                <w:color w:val="000000" w:themeColor="text1"/>
                <w:sz w:val="18"/>
                <w:szCs w:val="18"/>
                <w:u w:val="none"/>
              </w:rPr>
            </w:pPr>
          </w:p>
        </w:tc>
        <w:tc>
          <w:tcPr>
            <w:tcW w:w="5619" w:type="dxa"/>
          </w:tcPr>
          <w:p w14:paraId="3F877654" w14:textId="18FCF8FB" w:rsidR="00EC1807" w:rsidRPr="009D431C" w:rsidRDefault="00E26E6C" w:rsidP="00506794">
            <w:pPr>
              <w:rPr>
                <w:rStyle w:val="Hyperlink"/>
                <w:rFonts w:ascii="Arial" w:hAnsi="Arial" w:cs="Arial"/>
                <w:color w:val="000000" w:themeColor="text1"/>
                <w:sz w:val="18"/>
                <w:szCs w:val="18"/>
                <w:u w:val="none"/>
              </w:rPr>
            </w:pPr>
            <w:r w:rsidRPr="009D431C">
              <w:rPr>
                <w:rStyle w:val="Hyperlink"/>
                <w:rFonts w:ascii="Arial" w:hAnsi="Arial" w:cs="Arial"/>
                <w:color w:val="000000" w:themeColor="text1"/>
                <w:sz w:val="18"/>
                <w:szCs w:val="18"/>
                <w:u w:val="none"/>
              </w:rPr>
              <w:t>May 2025</w:t>
            </w:r>
          </w:p>
        </w:tc>
      </w:tr>
      <w:tr w:rsidR="00E26E6C" w:rsidRPr="009D431C" w14:paraId="61B60C7D" w14:textId="77777777" w:rsidTr="00A00D01">
        <w:trPr>
          <w:trHeight w:val="577"/>
        </w:trPr>
        <w:tc>
          <w:tcPr>
            <w:tcW w:w="3397" w:type="dxa"/>
          </w:tcPr>
          <w:p w14:paraId="0EF231C7" w14:textId="230BC539" w:rsidR="00E26E6C" w:rsidRPr="009D431C" w:rsidRDefault="009D431C" w:rsidP="00E26E6C">
            <w:pPr>
              <w:rPr>
                <w:rStyle w:val="Hyperlink"/>
                <w:rFonts w:ascii="Arial" w:hAnsi="Arial" w:cs="Arial"/>
                <w:b/>
                <w:bCs/>
                <w:color w:val="000000" w:themeColor="text1"/>
                <w:sz w:val="20"/>
                <w:szCs w:val="20"/>
                <w:u w:val="none"/>
              </w:rPr>
            </w:pPr>
            <w:r>
              <w:rPr>
                <w:rStyle w:val="Hyperlink"/>
                <w:rFonts w:ascii="Arial" w:hAnsi="Arial" w:cs="Arial"/>
                <w:b/>
                <w:bCs/>
                <w:color w:val="000000" w:themeColor="text1"/>
                <w:sz w:val="18"/>
                <w:szCs w:val="18"/>
                <w:u w:val="none"/>
              </w:rPr>
              <w:t>Re</w:t>
            </w:r>
            <w:r w:rsidR="00E26E6C" w:rsidRPr="009D431C">
              <w:rPr>
                <w:rStyle w:val="Hyperlink"/>
                <w:rFonts w:ascii="Arial" w:hAnsi="Arial" w:cs="Arial"/>
                <w:b/>
                <w:bCs/>
                <w:color w:val="000000" w:themeColor="text1"/>
                <w:sz w:val="18"/>
                <w:szCs w:val="18"/>
                <w:u w:val="none"/>
              </w:rPr>
              <w:t xml:space="preserve">view </w:t>
            </w:r>
            <w:r>
              <w:rPr>
                <w:rStyle w:val="Hyperlink"/>
                <w:rFonts w:ascii="Arial" w:hAnsi="Arial" w:cs="Arial"/>
                <w:b/>
                <w:bCs/>
                <w:color w:val="000000" w:themeColor="text1"/>
                <w:sz w:val="18"/>
                <w:szCs w:val="18"/>
                <w:u w:val="none"/>
              </w:rPr>
              <w:t>d</w:t>
            </w:r>
            <w:r w:rsidR="00E26E6C" w:rsidRPr="009D431C">
              <w:rPr>
                <w:rStyle w:val="Hyperlink"/>
                <w:rFonts w:ascii="Arial" w:hAnsi="Arial" w:cs="Arial"/>
                <w:b/>
                <w:bCs/>
                <w:color w:val="000000" w:themeColor="text1"/>
                <w:sz w:val="18"/>
                <w:szCs w:val="18"/>
                <w:u w:val="none"/>
              </w:rPr>
              <w:t>at</w:t>
            </w:r>
            <w:r>
              <w:rPr>
                <w:rStyle w:val="Hyperlink"/>
                <w:rFonts w:ascii="Arial" w:hAnsi="Arial" w:cs="Arial"/>
                <w:b/>
                <w:bCs/>
                <w:color w:val="000000" w:themeColor="text1"/>
                <w:sz w:val="18"/>
                <w:szCs w:val="18"/>
                <w:u w:val="none"/>
              </w:rPr>
              <w:t>e</w:t>
            </w:r>
          </w:p>
        </w:tc>
        <w:tc>
          <w:tcPr>
            <w:tcW w:w="5619" w:type="dxa"/>
          </w:tcPr>
          <w:p w14:paraId="7C6C4C3F" w14:textId="72F57FDD" w:rsidR="00E26E6C" w:rsidRPr="009D431C" w:rsidRDefault="00E26E6C" w:rsidP="00E26E6C">
            <w:pPr>
              <w:rPr>
                <w:rFonts w:ascii="Arial" w:hAnsi="Arial" w:cs="Arial"/>
                <w:sz w:val="20"/>
                <w:szCs w:val="20"/>
              </w:rPr>
            </w:pPr>
            <w:r w:rsidRPr="009D431C">
              <w:rPr>
                <w:rFonts w:ascii="Arial" w:hAnsi="Arial" w:cs="Arial"/>
                <w:sz w:val="18"/>
                <w:szCs w:val="18"/>
              </w:rPr>
              <w:t>The recommendation is based upon the evidence available at the time of publication. This recommendation will be reviewed upon request in the light of new evidence becoming available.</w:t>
            </w:r>
          </w:p>
        </w:tc>
      </w:tr>
    </w:tbl>
    <w:p w14:paraId="70DDFB86" w14:textId="6949BC83" w:rsidR="00EC1807" w:rsidRPr="009D431C" w:rsidRDefault="00EC1807" w:rsidP="009D431C">
      <w:pPr>
        <w:spacing w:after="0"/>
        <w:rPr>
          <w:rStyle w:val="Hyperlink"/>
          <w:rFonts w:ascii="Arial" w:hAnsi="Arial" w:cs="Arial"/>
          <w:color w:val="3333CC"/>
          <w:sz w:val="20"/>
          <w:szCs w:val="20"/>
          <w:u w:val="none"/>
        </w:rPr>
      </w:pPr>
    </w:p>
    <w:sectPr w:rsidR="00EC1807" w:rsidRPr="009D43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431A" w14:textId="77777777" w:rsidR="00CA3ED7" w:rsidRDefault="00CA3ED7" w:rsidP="00482903">
      <w:pPr>
        <w:spacing w:after="0" w:line="240" w:lineRule="auto"/>
      </w:pPr>
      <w:r>
        <w:separator/>
      </w:r>
    </w:p>
  </w:endnote>
  <w:endnote w:type="continuationSeparator" w:id="0">
    <w:p w14:paraId="0A4B48FD" w14:textId="77777777" w:rsidR="00CA3ED7" w:rsidRDefault="00CA3ED7" w:rsidP="00482903">
      <w:pPr>
        <w:spacing w:after="0" w:line="240" w:lineRule="auto"/>
      </w:pPr>
      <w:r>
        <w:continuationSeparator/>
      </w:r>
    </w:p>
  </w:endnote>
  <w:endnote w:type="continuationNotice" w:id="1">
    <w:p w14:paraId="62BF653C" w14:textId="77777777" w:rsidR="00CA3ED7" w:rsidRDefault="00CA3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47E6" w14:textId="77777777" w:rsidR="00CA3ED7" w:rsidRDefault="00CA3ED7" w:rsidP="00482903">
      <w:pPr>
        <w:spacing w:after="0" w:line="240" w:lineRule="auto"/>
      </w:pPr>
      <w:r>
        <w:separator/>
      </w:r>
    </w:p>
  </w:footnote>
  <w:footnote w:type="continuationSeparator" w:id="0">
    <w:p w14:paraId="4D6AA0C4" w14:textId="77777777" w:rsidR="00CA3ED7" w:rsidRDefault="00CA3ED7" w:rsidP="00482903">
      <w:pPr>
        <w:spacing w:after="0" w:line="240" w:lineRule="auto"/>
      </w:pPr>
      <w:r>
        <w:continuationSeparator/>
      </w:r>
    </w:p>
  </w:footnote>
  <w:footnote w:type="continuationNotice" w:id="1">
    <w:p w14:paraId="217BAC99" w14:textId="77777777" w:rsidR="00CA3ED7" w:rsidRDefault="00CA3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0C"/>
    <w:multiLevelType w:val="hybridMultilevel"/>
    <w:tmpl w:val="A6940F80"/>
    <w:lvl w:ilvl="0" w:tplc="EE18AC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41392"/>
    <w:multiLevelType w:val="hybridMultilevel"/>
    <w:tmpl w:val="0B5AB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092591"/>
    <w:multiLevelType w:val="hybridMultilevel"/>
    <w:tmpl w:val="CB16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6655C"/>
    <w:multiLevelType w:val="hybridMultilevel"/>
    <w:tmpl w:val="74DEF57E"/>
    <w:lvl w:ilvl="0" w:tplc="0809000F">
      <w:start w:val="1"/>
      <w:numFmt w:val="decimal"/>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4" w15:restartNumberingAfterBreak="0">
    <w:nsid w:val="15FE675B"/>
    <w:multiLevelType w:val="hybridMultilevel"/>
    <w:tmpl w:val="FD2078DE"/>
    <w:lvl w:ilvl="0" w:tplc="69681990">
      <w:start w:val="1"/>
      <w:numFmt w:val="decimal"/>
      <w:lvlText w:val="%1."/>
      <w:lvlJc w:val="left"/>
      <w:pPr>
        <w:ind w:left="643" w:hanging="360"/>
      </w:pPr>
      <w:rPr>
        <w:color w:val="000000" w:themeColor="text1"/>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24D53A5F"/>
    <w:multiLevelType w:val="multilevel"/>
    <w:tmpl w:val="01A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10216"/>
    <w:multiLevelType w:val="multilevel"/>
    <w:tmpl w:val="8BFA9C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FE212E7"/>
    <w:multiLevelType w:val="hybridMultilevel"/>
    <w:tmpl w:val="D61228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5D3DDA"/>
    <w:multiLevelType w:val="multilevel"/>
    <w:tmpl w:val="16E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E59FE"/>
    <w:multiLevelType w:val="hybridMultilevel"/>
    <w:tmpl w:val="5BBA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8722B"/>
    <w:multiLevelType w:val="multilevel"/>
    <w:tmpl w:val="732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A4BB0"/>
    <w:multiLevelType w:val="hybridMultilevel"/>
    <w:tmpl w:val="2B0CE55A"/>
    <w:lvl w:ilvl="0" w:tplc="3C60A5DE">
      <w:start w:val="1"/>
      <w:numFmt w:val="decimal"/>
      <w:lvlText w:val="%1."/>
      <w:lvlJc w:val="left"/>
      <w:pPr>
        <w:ind w:left="36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D23A0"/>
    <w:multiLevelType w:val="hybridMultilevel"/>
    <w:tmpl w:val="86C471C0"/>
    <w:lvl w:ilvl="0" w:tplc="602CE6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A04F9"/>
    <w:multiLevelType w:val="hybridMultilevel"/>
    <w:tmpl w:val="D0B8D03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71BE4E8F"/>
    <w:multiLevelType w:val="hybridMultilevel"/>
    <w:tmpl w:val="3944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917"/>
    <w:multiLevelType w:val="hybridMultilevel"/>
    <w:tmpl w:val="F00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708818">
    <w:abstractNumId w:val="7"/>
  </w:num>
  <w:num w:numId="2" w16cid:durableId="166555249">
    <w:abstractNumId w:val="13"/>
  </w:num>
  <w:num w:numId="3" w16cid:durableId="1048139526">
    <w:abstractNumId w:val="9"/>
  </w:num>
  <w:num w:numId="4" w16cid:durableId="1978950290">
    <w:abstractNumId w:val="10"/>
  </w:num>
  <w:num w:numId="5" w16cid:durableId="1344699551">
    <w:abstractNumId w:val="6"/>
  </w:num>
  <w:num w:numId="6" w16cid:durableId="151875621">
    <w:abstractNumId w:val="5"/>
  </w:num>
  <w:num w:numId="7" w16cid:durableId="261500459">
    <w:abstractNumId w:val="8"/>
  </w:num>
  <w:num w:numId="8" w16cid:durableId="489448261">
    <w:abstractNumId w:val="1"/>
  </w:num>
  <w:num w:numId="9" w16cid:durableId="1505634382">
    <w:abstractNumId w:val="14"/>
  </w:num>
  <w:num w:numId="10" w16cid:durableId="55595927">
    <w:abstractNumId w:val="2"/>
  </w:num>
  <w:num w:numId="11" w16cid:durableId="771053836">
    <w:abstractNumId w:val="15"/>
  </w:num>
  <w:num w:numId="12" w16cid:durableId="1216358205">
    <w:abstractNumId w:val="0"/>
  </w:num>
  <w:num w:numId="13" w16cid:durableId="671180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2086512">
    <w:abstractNumId w:val="3"/>
  </w:num>
  <w:num w:numId="15" w16cid:durableId="1717393489">
    <w:abstractNumId w:val="12"/>
  </w:num>
  <w:num w:numId="16" w16cid:durableId="2053965724">
    <w:abstractNumId w:val="4"/>
  </w:num>
  <w:num w:numId="17" w16cid:durableId="2114283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5B"/>
    <w:rsid w:val="000010CC"/>
    <w:rsid w:val="0000228D"/>
    <w:rsid w:val="00002881"/>
    <w:rsid w:val="00007711"/>
    <w:rsid w:val="000138BC"/>
    <w:rsid w:val="00017EC1"/>
    <w:rsid w:val="000358C7"/>
    <w:rsid w:val="00036483"/>
    <w:rsid w:val="00037689"/>
    <w:rsid w:val="000376D3"/>
    <w:rsid w:val="00041B89"/>
    <w:rsid w:val="00047706"/>
    <w:rsid w:val="000602A9"/>
    <w:rsid w:val="00081B72"/>
    <w:rsid w:val="00082F0F"/>
    <w:rsid w:val="00084A32"/>
    <w:rsid w:val="00095ECA"/>
    <w:rsid w:val="000A4C32"/>
    <w:rsid w:val="000C1CE1"/>
    <w:rsid w:val="000C2C71"/>
    <w:rsid w:val="000D06E0"/>
    <w:rsid w:val="000E0F1E"/>
    <w:rsid w:val="000F27F7"/>
    <w:rsid w:val="000F3315"/>
    <w:rsid w:val="000F6EF8"/>
    <w:rsid w:val="000F74B4"/>
    <w:rsid w:val="000F7ABE"/>
    <w:rsid w:val="00120AF2"/>
    <w:rsid w:val="0013433F"/>
    <w:rsid w:val="00140BEE"/>
    <w:rsid w:val="001420DA"/>
    <w:rsid w:val="00144183"/>
    <w:rsid w:val="00155E2D"/>
    <w:rsid w:val="00156316"/>
    <w:rsid w:val="001726D1"/>
    <w:rsid w:val="00175C3A"/>
    <w:rsid w:val="00181EBC"/>
    <w:rsid w:val="00186704"/>
    <w:rsid w:val="0019303F"/>
    <w:rsid w:val="001960B6"/>
    <w:rsid w:val="001B2392"/>
    <w:rsid w:val="001B363C"/>
    <w:rsid w:val="001B5989"/>
    <w:rsid w:val="001B5FEA"/>
    <w:rsid w:val="001C0D57"/>
    <w:rsid w:val="001D0D19"/>
    <w:rsid w:val="001D374E"/>
    <w:rsid w:val="001D4DBE"/>
    <w:rsid w:val="001E2F03"/>
    <w:rsid w:val="001E5905"/>
    <w:rsid w:val="001F1B99"/>
    <w:rsid w:val="001F1C31"/>
    <w:rsid w:val="002120F4"/>
    <w:rsid w:val="00226CFD"/>
    <w:rsid w:val="00227540"/>
    <w:rsid w:val="00254D69"/>
    <w:rsid w:val="00262183"/>
    <w:rsid w:val="002630CA"/>
    <w:rsid w:val="00274944"/>
    <w:rsid w:val="00277212"/>
    <w:rsid w:val="002A1CA1"/>
    <w:rsid w:val="002A7919"/>
    <w:rsid w:val="002B17F2"/>
    <w:rsid w:val="002B7047"/>
    <w:rsid w:val="002C4E32"/>
    <w:rsid w:val="002C58BC"/>
    <w:rsid w:val="002C69BC"/>
    <w:rsid w:val="002F5421"/>
    <w:rsid w:val="002F6095"/>
    <w:rsid w:val="0030013C"/>
    <w:rsid w:val="00304146"/>
    <w:rsid w:val="00307E5A"/>
    <w:rsid w:val="0031657C"/>
    <w:rsid w:val="003272F5"/>
    <w:rsid w:val="00334BFF"/>
    <w:rsid w:val="00347875"/>
    <w:rsid w:val="0037140F"/>
    <w:rsid w:val="00372325"/>
    <w:rsid w:val="00375491"/>
    <w:rsid w:val="0037573D"/>
    <w:rsid w:val="0038644B"/>
    <w:rsid w:val="00387441"/>
    <w:rsid w:val="00391E7B"/>
    <w:rsid w:val="003928AC"/>
    <w:rsid w:val="00392F7A"/>
    <w:rsid w:val="00395D76"/>
    <w:rsid w:val="00397DB9"/>
    <w:rsid w:val="003B0CAD"/>
    <w:rsid w:val="003C4E58"/>
    <w:rsid w:val="003D00C6"/>
    <w:rsid w:val="003D58D2"/>
    <w:rsid w:val="003D7F1C"/>
    <w:rsid w:val="003E0799"/>
    <w:rsid w:val="003E1E46"/>
    <w:rsid w:val="003E64C3"/>
    <w:rsid w:val="003F0D47"/>
    <w:rsid w:val="003F6DB9"/>
    <w:rsid w:val="0040399C"/>
    <w:rsid w:val="004048BD"/>
    <w:rsid w:val="00405855"/>
    <w:rsid w:val="004105BC"/>
    <w:rsid w:val="0041508F"/>
    <w:rsid w:val="00422D63"/>
    <w:rsid w:val="0043344F"/>
    <w:rsid w:val="00434748"/>
    <w:rsid w:val="004460D9"/>
    <w:rsid w:val="00447954"/>
    <w:rsid w:val="00457E46"/>
    <w:rsid w:val="00465379"/>
    <w:rsid w:val="00466F55"/>
    <w:rsid w:val="00475B7D"/>
    <w:rsid w:val="00482903"/>
    <w:rsid w:val="004843D4"/>
    <w:rsid w:val="00491744"/>
    <w:rsid w:val="004B5E1D"/>
    <w:rsid w:val="004C71BC"/>
    <w:rsid w:val="004D0F19"/>
    <w:rsid w:val="004D6CDC"/>
    <w:rsid w:val="004E13E6"/>
    <w:rsid w:val="004F2C65"/>
    <w:rsid w:val="004F42A4"/>
    <w:rsid w:val="004F7836"/>
    <w:rsid w:val="0050145C"/>
    <w:rsid w:val="00506794"/>
    <w:rsid w:val="005112C1"/>
    <w:rsid w:val="00533BF3"/>
    <w:rsid w:val="00533E8A"/>
    <w:rsid w:val="0053518E"/>
    <w:rsid w:val="0055697E"/>
    <w:rsid w:val="00561C10"/>
    <w:rsid w:val="00565CA2"/>
    <w:rsid w:val="00572498"/>
    <w:rsid w:val="005728F7"/>
    <w:rsid w:val="0057376E"/>
    <w:rsid w:val="005818D7"/>
    <w:rsid w:val="005826A2"/>
    <w:rsid w:val="00590813"/>
    <w:rsid w:val="005A75BC"/>
    <w:rsid w:val="005B30BC"/>
    <w:rsid w:val="005B5866"/>
    <w:rsid w:val="005B6FC1"/>
    <w:rsid w:val="005C0A43"/>
    <w:rsid w:val="005C1171"/>
    <w:rsid w:val="005C3481"/>
    <w:rsid w:val="005C362D"/>
    <w:rsid w:val="005C3FE7"/>
    <w:rsid w:val="005C6E0A"/>
    <w:rsid w:val="005D7082"/>
    <w:rsid w:val="005E6267"/>
    <w:rsid w:val="006056A7"/>
    <w:rsid w:val="00614FAC"/>
    <w:rsid w:val="006211D4"/>
    <w:rsid w:val="00626489"/>
    <w:rsid w:val="006366DB"/>
    <w:rsid w:val="006374CF"/>
    <w:rsid w:val="00643492"/>
    <w:rsid w:val="00655283"/>
    <w:rsid w:val="006564C8"/>
    <w:rsid w:val="00670CA6"/>
    <w:rsid w:val="0067240B"/>
    <w:rsid w:val="00677038"/>
    <w:rsid w:val="006A41E2"/>
    <w:rsid w:val="006A7C7E"/>
    <w:rsid w:val="006B040F"/>
    <w:rsid w:val="006B6C63"/>
    <w:rsid w:val="006D350F"/>
    <w:rsid w:val="006E57FA"/>
    <w:rsid w:val="006E7DC4"/>
    <w:rsid w:val="0071136D"/>
    <w:rsid w:val="007134F3"/>
    <w:rsid w:val="00716FE2"/>
    <w:rsid w:val="00717365"/>
    <w:rsid w:val="00721593"/>
    <w:rsid w:val="00721DBB"/>
    <w:rsid w:val="00726BEF"/>
    <w:rsid w:val="00727F54"/>
    <w:rsid w:val="00731BA3"/>
    <w:rsid w:val="00741D20"/>
    <w:rsid w:val="00744185"/>
    <w:rsid w:val="00744C5B"/>
    <w:rsid w:val="00744E0E"/>
    <w:rsid w:val="00751BAE"/>
    <w:rsid w:val="00751C0D"/>
    <w:rsid w:val="00761048"/>
    <w:rsid w:val="00762375"/>
    <w:rsid w:val="00764D91"/>
    <w:rsid w:val="00775C90"/>
    <w:rsid w:val="00775F43"/>
    <w:rsid w:val="00776C82"/>
    <w:rsid w:val="00785961"/>
    <w:rsid w:val="007B06F2"/>
    <w:rsid w:val="007D108E"/>
    <w:rsid w:val="007D403F"/>
    <w:rsid w:val="007D7234"/>
    <w:rsid w:val="007E091A"/>
    <w:rsid w:val="007E6970"/>
    <w:rsid w:val="008038B7"/>
    <w:rsid w:val="00803F3A"/>
    <w:rsid w:val="00807596"/>
    <w:rsid w:val="00810ED8"/>
    <w:rsid w:val="00814567"/>
    <w:rsid w:val="00814832"/>
    <w:rsid w:val="00815653"/>
    <w:rsid w:val="00815A7B"/>
    <w:rsid w:val="00821E51"/>
    <w:rsid w:val="00827E24"/>
    <w:rsid w:val="00841E92"/>
    <w:rsid w:val="008510A6"/>
    <w:rsid w:val="00854E6B"/>
    <w:rsid w:val="008554CF"/>
    <w:rsid w:val="008705E4"/>
    <w:rsid w:val="00871D0B"/>
    <w:rsid w:val="008728F1"/>
    <w:rsid w:val="008763AD"/>
    <w:rsid w:val="008811DA"/>
    <w:rsid w:val="008A7836"/>
    <w:rsid w:val="008C0262"/>
    <w:rsid w:val="008D581D"/>
    <w:rsid w:val="008D58E2"/>
    <w:rsid w:val="008D5F6D"/>
    <w:rsid w:val="008D69BC"/>
    <w:rsid w:val="008D6A2E"/>
    <w:rsid w:val="008E3493"/>
    <w:rsid w:val="008F0915"/>
    <w:rsid w:val="008F248A"/>
    <w:rsid w:val="008F26D0"/>
    <w:rsid w:val="008F3B3A"/>
    <w:rsid w:val="008F4A17"/>
    <w:rsid w:val="008F5AFF"/>
    <w:rsid w:val="008F6AB6"/>
    <w:rsid w:val="0091004D"/>
    <w:rsid w:val="00912B9C"/>
    <w:rsid w:val="00913501"/>
    <w:rsid w:val="00934800"/>
    <w:rsid w:val="00936F49"/>
    <w:rsid w:val="00957EA9"/>
    <w:rsid w:val="00960023"/>
    <w:rsid w:val="00966FC3"/>
    <w:rsid w:val="00973940"/>
    <w:rsid w:val="00975C1A"/>
    <w:rsid w:val="00975F0D"/>
    <w:rsid w:val="009858C9"/>
    <w:rsid w:val="0098592F"/>
    <w:rsid w:val="009950EC"/>
    <w:rsid w:val="009A6641"/>
    <w:rsid w:val="009A72E3"/>
    <w:rsid w:val="009B0B26"/>
    <w:rsid w:val="009B1FBA"/>
    <w:rsid w:val="009B7658"/>
    <w:rsid w:val="009C1D16"/>
    <w:rsid w:val="009C730B"/>
    <w:rsid w:val="009D0D6C"/>
    <w:rsid w:val="009D3DBE"/>
    <w:rsid w:val="009D431C"/>
    <w:rsid w:val="009F0832"/>
    <w:rsid w:val="009F1B48"/>
    <w:rsid w:val="009F5335"/>
    <w:rsid w:val="00A00460"/>
    <w:rsid w:val="00A00D01"/>
    <w:rsid w:val="00A00F72"/>
    <w:rsid w:val="00A02EDE"/>
    <w:rsid w:val="00A04196"/>
    <w:rsid w:val="00A13373"/>
    <w:rsid w:val="00A26BCF"/>
    <w:rsid w:val="00A33013"/>
    <w:rsid w:val="00A413E0"/>
    <w:rsid w:val="00A45E32"/>
    <w:rsid w:val="00A46AA5"/>
    <w:rsid w:val="00A52AB2"/>
    <w:rsid w:val="00A55B54"/>
    <w:rsid w:val="00A56EF3"/>
    <w:rsid w:val="00A60611"/>
    <w:rsid w:val="00A65E2C"/>
    <w:rsid w:val="00A67340"/>
    <w:rsid w:val="00A807AD"/>
    <w:rsid w:val="00A812C9"/>
    <w:rsid w:val="00A90D89"/>
    <w:rsid w:val="00A95234"/>
    <w:rsid w:val="00AA37E1"/>
    <w:rsid w:val="00AB2F3C"/>
    <w:rsid w:val="00AE3C7F"/>
    <w:rsid w:val="00AE4B3E"/>
    <w:rsid w:val="00AF361B"/>
    <w:rsid w:val="00AF59F1"/>
    <w:rsid w:val="00AF6C13"/>
    <w:rsid w:val="00AF7A9F"/>
    <w:rsid w:val="00AF7C67"/>
    <w:rsid w:val="00B0492C"/>
    <w:rsid w:val="00B14824"/>
    <w:rsid w:val="00B25BB9"/>
    <w:rsid w:val="00B27A7E"/>
    <w:rsid w:val="00B311A9"/>
    <w:rsid w:val="00B366BA"/>
    <w:rsid w:val="00B3699C"/>
    <w:rsid w:val="00B36E49"/>
    <w:rsid w:val="00B40D7E"/>
    <w:rsid w:val="00B46277"/>
    <w:rsid w:val="00B513A9"/>
    <w:rsid w:val="00B53931"/>
    <w:rsid w:val="00B5797A"/>
    <w:rsid w:val="00B606BF"/>
    <w:rsid w:val="00B66495"/>
    <w:rsid w:val="00B705B1"/>
    <w:rsid w:val="00B93778"/>
    <w:rsid w:val="00BB33E7"/>
    <w:rsid w:val="00BC13EA"/>
    <w:rsid w:val="00BD24D2"/>
    <w:rsid w:val="00BD2C1E"/>
    <w:rsid w:val="00BD601D"/>
    <w:rsid w:val="00BD7213"/>
    <w:rsid w:val="00BE0F47"/>
    <w:rsid w:val="00BF1AAF"/>
    <w:rsid w:val="00C00500"/>
    <w:rsid w:val="00C17CEC"/>
    <w:rsid w:val="00C30745"/>
    <w:rsid w:val="00C348EC"/>
    <w:rsid w:val="00C365D5"/>
    <w:rsid w:val="00C41FFD"/>
    <w:rsid w:val="00C532D8"/>
    <w:rsid w:val="00C7327A"/>
    <w:rsid w:val="00C74942"/>
    <w:rsid w:val="00C755DD"/>
    <w:rsid w:val="00C839DB"/>
    <w:rsid w:val="00C90605"/>
    <w:rsid w:val="00C97306"/>
    <w:rsid w:val="00CA3ED7"/>
    <w:rsid w:val="00CA43E5"/>
    <w:rsid w:val="00CA615A"/>
    <w:rsid w:val="00CF0995"/>
    <w:rsid w:val="00CF1751"/>
    <w:rsid w:val="00CF5170"/>
    <w:rsid w:val="00CF7CFB"/>
    <w:rsid w:val="00D03E82"/>
    <w:rsid w:val="00D13639"/>
    <w:rsid w:val="00D169A4"/>
    <w:rsid w:val="00D17816"/>
    <w:rsid w:val="00D20856"/>
    <w:rsid w:val="00D35F5C"/>
    <w:rsid w:val="00D40760"/>
    <w:rsid w:val="00D523C8"/>
    <w:rsid w:val="00D52C76"/>
    <w:rsid w:val="00D56AF0"/>
    <w:rsid w:val="00D604E6"/>
    <w:rsid w:val="00D663B6"/>
    <w:rsid w:val="00D7107F"/>
    <w:rsid w:val="00D715C9"/>
    <w:rsid w:val="00D80DC0"/>
    <w:rsid w:val="00D81EDC"/>
    <w:rsid w:val="00D84168"/>
    <w:rsid w:val="00DA7101"/>
    <w:rsid w:val="00DB3F85"/>
    <w:rsid w:val="00DB54F9"/>
    <w:rsid w:val="00DC145A"/>
    <w:rsid w:val="00DC623E"/>
    <w:rsid w:val="00DD30DF"/>
    <w:rsid w:val="00DD49C5"/>
    <w:rsid w:val="00DE121F"/>
    <w:rsid w:val="00DE335B"/>
    <w:rsid w:val="00DE4C47"/>
    <w:rsid w:val="00DF000F"/>
    <w:rsid w:val="00DF113B"/>
    <w:rsid w:val="00DF6A6E"/>
    <w:rsid w:val="00E13B2F"/>
    <w:rsid w:val="00E17331"/>
    <w:rsid w:val="00E2290D"/>
    <w:rsid w:val="00E26CB5"/>
    <w:rsid w:val="00E26E6C"/>
    <w:rsid w:val="00E3229D"/>
    <w:rsid w:val="00E435E5"/>
    <w:rsid w:val="00E47622"/>
    <w:rsid w:val="00E50E67"/>
    <w:rsid w:val="00E52A63"/>
    <w:rsid w:val="00E56289"/>
    <w:rsid w:val="00E574A2"/>
    <w:rsid w:val="00E71B1A"/>
    <w:rsid w:val="00E73756"/>
    <w:rsid w:val="00E74425"/>
    <w:rsid w:val="00E8200C"/>
    <w:rsid w:val="00E83019"/>
    <w:rsid w:val="00E839BC"/>
    <w:rsid w:val="00E9766F"/>
    <w:rsid w:val="00EB5993"/>
    <w:rsid w:val="00EB7D27"/>
    <w:rsid w:val="00EC023E"/>
    <w:rsid w:val="00EC1807"/>
    <w:rsid w:val="00EE2133"/>
    <w:rsid w:val="00EF36CD"/>
    <w:rsid w:val="00EF7788"/>
    <w:rsid w:val="00F126B6"/>
    <w:rsid w:val="00F1428B"/>
    <w:rsid w:val="00F24AFC"/>
    <w:rsid w:val="00F27FE3"/>
    <w:rsid w:val="00F3037B"/>
    <w:rsid w:val="00F35097"/>
    <w:rsid w:val="00F419D6"/>
    <w:rsid w:val="00F446AD"/>
    <w:rsid w:val="00F53C86"/>
    <w:rsid w:val="00F66832"/>
    <w:rsid w:val="00F73565"/>
    <w:rsid w:val="00F73EC7"/>
    <w:rsid w:val="00F92A81"/>
    <w:rsid w:val="00F95EB2"/>
    <w:rsid w:val="00FA13AD"/>
    <w:rsid w:val="00FA42BF"/>
    <w:rsid w:val="00FA5A3A"/>
    <w:rsid w:val="00FB46CE"/>
    <w:rsid w:val="00FB5755"/>
    <w:rsid w:val="00FC1178"/>
    <w:rsid w:val="00FC1452"/>
    <w:rsid w:val="00FD0847"/>
    <w:rsid w:val="00FD2572"/>
    <w:rsid w:val="00FE1541"/>
    <w:rsid w:val="02AE3C0F"/>
    <w:rsid w:val="05ACEEBE"/>
    <w:rsid w:val="0808857B"/>
    <w:rsid w:val="09AFD284"/>
    <w:rsid w:val="0AAB1900"/>
    <w:rsid w:val="0E20356B"/>
    <w:rsid w:val="0F398F7F"/>
    <w:rsid w:val="1049EE94"/>
    <w:rsid w:val="130880B1"/>
    <w:rsid w:val="150E9BB2"/>
    <w:rsid w:val="1887B615"/>
    <w:rsid w:val="1D08DFBB"/>
    <w:rsid w:val="1E395D4C"/>
    <w:rsid w:val="208A577D"/>
    <w:rsid w:val="20FEB498"/>
    <w:rsid w:val="23431C93"/>
    <w:rsid w:val="25C5E871"/>
    <w:rsid w:val="2864B138"/>
    <w:rsid w:val="2937ED95"/>
    <w:rsid w:val="2D466542"/>
    <w:rsid w:val="3369AE0F"/>
    <w:rsid w:val="35E7CF05"/>
    <w:rsid w:val="37FFFA21"/>
    <w:rsid w:val="3961EB7C"/>
    <w:rsid w:val="3B075045"/>
    <w:rsid w:val="3BD910FE"/>
    <w:rsid w:val="3C396E33"/>
    <w:rsid w:val="3EC93A86"/>
    <w:rsid w:val="3F26C2A8"/>
    <w:rsid w:val="3FAA4A8C"/>
    <w:rsid w:val="40B42EE1"/>
    <w:rsid w:val="417D84BC"/>
    <w:rsid w:val="459DC082"/>
    <w:rsid w:val="46336B27"/>
    <w:rsid w:val="4D224A21"/>
    <w:rsid w:val="4E336729"/>
    <w:rsid w:val="5800FD23"/>
    <w:rsid w:val="5AB206C2"/>
    <w:rsid w:val="5B42FB79"/>
    <w:rsid w:val="5BEED876"/>
    <w:rsid w:val="5EF20ECB"/>
    <w:rsid w:val="60B8FBAC"/>
    <w:rsid w:val="63061AF8"/>
    <w:rsid w:val="66DE4101"/>
    <w:rsid w:val="6A941718"/>
    <w:rsid w:val="6BB91523"/>
    <w:rsid w:val="76E282A6"/>
    <w:rsid w:val="7957378F"/>
    <w:rsid w:val="7A34A10D"/>
    <w:rsid w:val="7A4890D4"/>
    <w:rsid w:val="7B6B72F9"/>
    <w:rsid w:val="7D136B61"/>
    <w:rsid w:val="7D34055F"/>
    <w:rsid w:val="7F748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60051D"/>
  <w15:chartTrackingRefBased/>
  <w15:docId w15:val="{CFA128A8-610F-49E5-9992-068CFE79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9C"/>
  </w:style>
  <w:style w:type="paragraph" w:styleId="Heading3">
    <w:name w:val="heading 3"/>
    <w:basedOn w:val="Normal"/>
    <w:link w:val="Heading3Char"/>
    <w:uiPriority w:val="9"/>
    <w:qFormat/>
    <w:rsid w:val="008E34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aHeading 2 - Sussex,lev2 list,F5 List Paragraph,Dot pt,No Spacing1,List Paragraph Char Char Char,Indicator Text,Colorful List - Accent 11,Numbered Para 1,Bullet 1,Bullet Points,MAIN CONTENT,List Paragraph2,Normal numbered"/>
    <w:basedOn w:val="Normal"/>
    <w:link w:val="ListParagraphChar"/>
    <w:uiPriority w:val="34"/>
    <w:qFormat/>
    <w:rsid w:val="00744C5B"/>
    <w:pPr>
      <w:ind w:left="720"/>
      <w:contextualSpacing/>
    </w:pPr>
    <w:rPr>
      <w:kern w:val="0"/>
      <w14:ligatures w14:val="none"/>
    </w:rPr>
  </w:style>
  <w:style w:type="character" w:customStyle="1" w:styleId="ListParagraphChar">
    <w:name w:val="List Paragraph Char"/>
    <w:aliases w:val="List Paragraph1 Char,aHeading 2 - Sussex Char,lev2 list Char,F5 List Paragraph Char,Dot pt Char,No Spacing1 Char,List Paragraph Char Char Char Char,Indicator Text Char,Colorful List - Accent 11 Char,Numbered Para 1 Char,Bullet 1 Char"/>
    <w:link w:val="ListParagraph"/>
    <w:uiPriority w:val="34"/>
    <w:qFormat/>
    <w:locked/>
    <w:rsid w:val="00744C5B"/>
    <w:rPr>
      <w:kern w:val="0"/>
      <w14:ligatures w14:val="none"/>
    </w:rPr>
  </w:style>
  <w:style w:type="character" w:styleId="Hyperlink">
    <w:name w:val="Hyperlink"/>
    <w:basedOn w:val="DefaultParagraphFont"/>
    <w:uiPriority w:val="99"/>
    <w:unhideWhenUsed/>
    <w:rsid w:val="00A60611"/>
    <w:rPr>
      <w:color w:val="0563C1" w:themeColor="hyperlink"/>
      <w:u w:val="single"/>
    </w:rPr>
  </w:style>
  <w:style w:type="character" w:styleId="UnresolvedMention">
    <w:name w:val="Unresolved Mention"/>
    <w:basedOn w:val="DefaultParagraphFont"/>
    <w:uiPriority w:val="99"/>
    <w:semiHidden/>
    <w:unhideWhenUsed/>
    <w:rsid w:val="00A60611"/>
    <w:rPr>
      <w:color w:val="605E5C"/>
      <w:shd w:val="clear" w:color="auto" w:fill="E1DFDD"/>
    </w:rPr>
  </w:style>
  <w:style w:type="character" w:styleId="FollowedHyperlink">
    <w:name w:val="FollowedHyperlink"/>
    <w:basedOn w:val="DefaultParagraphFont"/>
    <w:uiPriority w:val="99"/>
    <w:semiHidden/>
    <w:unhideWhenUsed/>
    <w:rsid w:val="00C839DB"/>
    <w:rPr>
      <w:color w:val="954F72" w:themeColor="followedHyperlink"/>
      <w:u w:val="single"/>
    </w:rPr>
  </w:style>
  <w:style w:type="table" w:styleId="TableGrid">
    <w:name w:val="Table Grid"/>
    <w:basedOn w:val="TableNormal"/>
    <w:uiPriority w:val="3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3493"/>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8E3493"/>
    <w:rPr>
      <w:b/>
      <w:bCs/>
    </w:rPr>
  </w:style>
  <w:style w:type="paragraph" w:styleId="NormalWeb">
    <w:name w:val="Normal (Web)"/>
    <w:basedOn w:val="Normal"/>
    <w:uiPriority w:val="99"/>
    <w:semiHidden/>
    <w:unhideWhenUsed/>
    <w:rsid w:val="008E34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677038"/>
    <w:pPr>
      <w:spacing w:after="0" w:line="240" w:lineRule="auto"/>
    </w:pPr>
  </w:style>
  <w:style w:type="character" w:styleId="CommentReference">
    <w:name w:val="annotation reference"/>
    <w:basedOn w:val="DefaultParagraphFont"/>
    <w:uiPriority w:val="99"/>
    <w:semiHidden/>
    <w:unhideWhenUsed/>
    <w:rsid w:val="009C730B"/>
    <w:rPr>
      <w:sz w:val="16"/>
      <w:szCs w:val="16"/>
    </w:rPr>
  </w:style>
  <w:style w:type="paragraph" w:styleId="CommentText">
    <w:name w:val="annotation text"/>
    <w:basedOn w:val="Normal"/>
    <w:link w:val="CommentTextChar"/>
    <w:uiPriority w:val="99"/>
    <w:unhideWhenUsed/>
    <w:rsid w:val="009C730B"/>
    <w:pPr>
      <w:spacing w:line="240" w:lineRule="auto"/>
    </w:pPr>
    <w:rPr>
      <w:sz w:val="20"/>
      <w:szCs w:val="20"/>
    </w:rPr>
  </w:style>
  <w:style w:type="character" w:customStyle="1" w:styleId="CommentTextChar">
    <w:name w:val="Comment Text Char"/>
    <w:basedOn w:val="DefaultParagraphFont"/>
    <w:link w:val="CommentText"/>
    <w:uiPriority w:val="99"/>
    <w:rsid w:val="009C730B"/>
    <w:rPr>
      <w:sz w:val="20"/>
      <w:szCs w:val="20"/>
    </w:rPr>
  </w:style>
  <w:style w:type="paragraph" w:styleId="CommentSubject">
    <w:name w:val="annotation subject"/>
    <w:basedOn w:val="CommentText"/>
    <w:next w:val="CommentText"/>
    <w:link w:val="CommentSubjectChar"/>
    <w:uiPriority w:val="99"/>
    <w:semiHidden/>
    <w:unhideWhenUsed/>
    <w:rsid w:val="009C730B"/>
    <w:rPr>
      <w:b/>
      <w:bCs/>
    </w:rPr>
  </w:style>
  <w:style w:type="character" w:customStyle="1" w:styleId="CommentSubjectChar">
    <w:name w:val="Comment Subject Char"/>
    <w:basedOn w:val="CommentTextChar"/>
    <w:link w:val="CommentSubject"/>
    <w:uiPriority w:val="99"/>
    <w:semiHidden/>
    <w:rsid w:val="009C730B"/>
    <w:rPr>
      <w:b/>
      <w:bCs/>
      <w:sz w:val="20"/>
      <w:szCs w:val="20"/>
    </w:rPr>
  </w:style>
  <w:style w:type="paragraph" w:styleId="Header">
    <w:name w:val="header"/>
    <w:basedOn w:val="Normal"/>
    <w:link w:val="HeaderChar"/>
    <w:uiPriority w:val="99"/>
    <w:unhideWhenUsed/>
    <w:rsid w:val="0048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903"/>
  </w:style>
  <w:style w:type="paragraph" w:styleId="Footer">
    <w:name w:val="footer"/>
    <w:basedOn w:val="Normal"/>
    <w:link w:val="FooterChar"/>
    <w:uiPriority w:val="99"/>
    <w:unhideWhenUsed/>
    <w:rsid w:val="0048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2600">
      <w:bodyDiv w:val="1"/>
      <w:marLeft w:val="0"/>
      <w:marRight w:val="0"/>
      <w:marTop w:val="0"/>
      <w:marBottom w:val="0"/>
      <w:divBdr>
        <w:top w:val="none" w:sz="0" w:space="0" w:color="auto"/>
        <w:left w:val="none" w:sz="0" w:space="0" w:color="auto"/>
        <w:bottom w:val="none" w:sz="0" w:space="0" w:color="auto"/>
        <w:right w:val="none" w:sz="0" w:space="0" w:color="auto"/>
      </w:divBdr>
    </w:div>
    <w:div w:id="235018008">
      <w:bodyDiv w:val="1"/>
      <w:marLeft w:val="0"/>
      <w:marRight w:val="0"/>
      <w:marTop w:val="0"/>
      <w:marBottom w:val="0"/>
      <w:divBdr>
        <w:top w:val="none" w:sz="0" w:space="0" w:color="auto"/>
        <w:left w:val="none" w:sz="0" w:space="0" w:color="auto"/>
        <w:bottom w:val="none" w:sz="0" w:space="0" w:color="auto"/>
        <w:right w:val="none" w:sz="0" w:space="0" w:color="auto"/>
      </w:divBdr>
    </w:div>
    <w:div w:id="278072032">
      <w:bodyDiv w:val="1"/>
      <w:marLeft w:val="0"/>
      <w:marRight w:val="0"/>
      <w:marTop w:val="0"/>
      <w:marBottom w:val="0"/>
      <w:divBdr>
        <w:top w:val="none" w:sz="0" w:space="0" w:color="auto"/>
        <w:left w:val="none" w:sz="0" w:space="0" w:color="auto"/>
        <w:bottom w:val="none" w:sz="0" w:space="0" w:color="auto"/>
        <w:right w:val="none" w:sz="0" w:space="0" w:color="auto"/>
      </w:divBdr>
    </w:div>
    <w:div w:id="386417219">
      <w:bodyDiv w:val="1"/>
      <w:marLeft w:val="0"/>
      <w:marRight w:val="0"/>
      <w:marTop w:val="0"/>
      <w:marBottom w:val="0"/>
      <w:divBdr>
        <w:top w:val="none" w:sz="0" w:space="0" w:color="auto"/>
        <w:left w:val="none" w:sz="0" w:space="0" w:color="auto"/>
        <w:bottom w:val="none" w:sz="0" w:space="0" w:color="auto"/>
        <w:right w:val="none" w:sz="0" w:space="0" w:color="auto"/>
      </w:divBdr>
    </w:div>
    <w:div w:id="996037362">
      <w:bodyDiv w:val="1"/>
      <w:marLeft w:val="0"/>
      <w:marRight w:val="0"/>
      <w:marTop w:val="0"/>
      <w:marBottom w:val="0"/>
      <w:divBdr>
        <w:top w:val="none" w:sz="0" w:space="0" w:color="auto"/>
        <w:left w:val="none" w:sz="0" w:space="0" w:color="auto"/>
        <w:bottom w:val="none" w:sz="0" w:space="0" w:color="auto"/>
        <w:right w:val="none" w:sz="0" w:space="0" w:color="auto"/>
      </w:divBdr>
    </w:div>
    <w:div w:id="1037856666">
      <w:bodyDiv w:val="1"/>
      <w:marLeft w:val="0"/>
      <w:marRight w:val="0"/>
      <w:marTop w:val="0"/>
      <w:marBottom w:val="0"/>
      <w:divBdr>
        <w:top w:val="none" w:sz="0" w:space="0" w:color="auto"/>
        <w:left w:val="none" w:sz="0" w:space="0" w:color="auto"/>
        <w:bottom w:val="none" w:sz="0" w:space="0" w:color="auto"/>
        <w:right w:val="none" w:sz="0" w:space="0" w:color="auto"/>
      </w:divBdr>
    </w:div>
    <w:div w:id="1146118993">
      <w:bodyDiv w:val="1"/>
      <w:marLeft w:val="0"/>
      <w:marRight w:val="0"/>
      <w:marTop w:val="0"/>
      <w:marBottom w:val="0"/>
      <w:divBdr>
        <w:top w:val="none" w:sz="0" w:space="0" w:color="auto"/>
        <w:left w:val="none" w:sz="0" w:space="0" w:color="auto"/>
        <w:bottom w:val="none" w:sz="0" w:space="0" w:color="auto"/>
        <w:right w:val="none" w:sz="0" w:space="0" w:color="auto"/>
      </w:divBdr>
    </w:div>
    <w:div w:id="1341588565">
      <w:bodyDiv w:val="1"/>
      <w:marLeft w:val="0"/>
      <w:marRight w:val="0"/>
      <w:marTop w:val="0"/>
      <w:marBottom w:val="0"/>
      <w:divBdr>
        <w:top w:val="none" w:sz="0" w:space="0" w:color="auto"/>
        <w:left w:val="none" w:sz="0" w:space="0" w:color="auto"/>
        <w:bottom w:val="none" w:sz="0" w:space="0" w:color="auto"/>
        <w:right w:val="none" w:sz="0" w:space="0" w:color="auto"/>
      </w:divBdr>
    </w:div>
    <w:div w:id="1362171617">
      <w:bodyDiv w:val="1"/>
      <w:marLeft w:val="0"/>
      <w:marRight w:val="0"/>
      <w:marTop w:val="0"/>
      <w:marBottom w:val="0"/>
      <w:divBdr>
        <w:top w:val="none" w:sz="0" w:space="0" w:color="auto"/>
        <w:left w:val="none" w:sz="0" w:space="0" w:color="auto"/>
        <w:bottom w:val="none" w:sz="0" w:space="0" w:color="auto"/>
        <w:right w:val="none" w:sz="0" w:space="0" w:color="auto"/>
      </w:divBdr>
    </w:div>
    <w:div w:id="1637904628">
      <w:bodyDiv w:val="1"/>
      <w:marLeft w:val="0"/>
      <w:marRight w:val="0"/>
      <w:marTop w:val="0"/>
      <w:marBottom w:val="0"/>
      <w:divBdr>
        <w:top w:val="none" w:sz="0" w:space="0" w:color="auto"/>
        <w:left w:val="none" w:sz="0" w:space="0" w:color="auto"/>
        <w:bottom w:val="none" w:sz="0" w:space="0" w:color="auto"/>
        <w:right w:val="none" w:sz="0" w:space="0" w:color="auto"/>
      </w:divBdr>
    </w:div>
    <w:div w:id="1666014769">
      <w:bodyDiv w:val="1"/>
      <w:marLeft w:val="0"/>
      <w:marRight w:val="0"/>
      <w:marTop w:val="0"/>
      <w:marBottom w:val="0"/>
      <w:divBdr>
        <w:top w:val="none" w:sz="0" w:space="0" w:color="auto"/>
        <w:left w:val="none" w:sz="0" w:space="0" w:color="auto"/>
        <w:bottom w:val="none" w:sz="0" w:space="0" w:color="auto"/>
        <w:right w:val="none" w:sz="0" w:space="0" w:color="auto"/>
      </w:divBdr>
    </w:div>
    <w:div w:id="2060202195">
      <w:bodyDiv w:val="1"/>
      <w:marLeft w:val="0"/>
      <w:marRight w:val="0"/>
      <w:marTop w:val="0"/>
      <w:marBottom w:val="0"/>
      <w:divBdr>
        <w:top w:val="none" w:sz="0" w:space="0" w:color="auto"/>
        <w:left w:val="none" w:sz="0" w:space="0" w:color="auto"/>
        <w:bottom w:val="none" w:sz="0" w:space="0" w:color="auto"/>
        <w:right w:val="none" w:sz="0" w:space="0" w:color="auto"/>
      </w:divBdr>
    </w:div>
    <w:div w:id="20635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ks.nice.org.uk/topics/dyspepsia-unidentified-cause/management/dyspepsia-unidentified-cause/" TargetMode="External"/><Relationship Id="rId21" Type="http://schemas.openxmlformats.org/officeDocument/2006/relationships/hyperlink" Target="https://cks.nice.org.uk/topics/dyspepsia-unidentified-cause/prescribing-information/proton-pump-inhibitors-ppis/" TargetMode="External"/><Relationship Id="rId34" Type="http://schemas.openxmlformats.org/officeDocument/2006/relationships/hyperlink" Target="https://www.hweclinicalguidance.nhs.uk/all-clinical-areas-documents/download?cid=3983&amp;checksum=5e4450dc93010bbeea7cd28eba296850" TargetMode="External"/><Relationship Id="rId42" Type="http://schemas.openxmlformats.org/officeDocument/2006/relationships/hyperlink" Target="https://www.prescqipp.info/" TargetMode="External"/><Relationship Id="rId47" Type="http://schemas.openxmlformats.org/officeDocument/2006/relationships/package" Target="embeddings/Microsoft_Word_Document.docx"/><Relationship Id="rId50" Type="http://schemas.openxmlformats.org/officeDocument/2006/relationships/hyperlink" Target="https://pmc.ncbi.nlm.nih.gov/articles/PMC5429051/" TargetMode="External"/><Relationship Id="rId55" Type="http://schemas.openxmlformats.org/officeDocument/2006/relationships/hyperlink" Target="https://cks.nice.org.uk/topics/dyspepsia-proven-peptic-ulcer/management/management-proven-peptic-ulcer/" TargetMode="External"/><Relationship Id="rId63" Type="http://schemas.openxmlformats.org/officeDocument/2006/relationships/hyperlink" Target="https://www.prescqipp.info/community-resources/innovation-and-best-practice/long-term-proton-pump-inhibitor-ppi-prescribing-reviews-2024/"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cg184/chapter/appendix-a-dosage-information-on-proton-pump-inhibitors" TargetMode="External"/><Relationship Id="rId29" Type="http://schemas.openxmlformats.org/officeDocument/2006/relationships/hyperlink" Target="https://www.hweclinicalguidance.nhs.uk/all-clinical-areas-documents/search-results?Search=proton+pump+inhibitors" TargetMode="External"/><Relationship Id="rId11" Type="http://schemas.openxmlformats.org/officeDocument/2006/relationships/image" Target="media/image1.png"/><Relationship Id="rId24" Type="http://schemas.openxmlformats.org/officeDocument/2006/relationships/hyperlink" Target="https://cks.nice.org.uk/topics/dyspepsia-proven-gord/management/dyspepsia-proven-gord/" TargetMode="External"/><Relationship Id="rId32" Type="http://schemas.openxmlformats.org/officeDocument/2006/relationships/hyperlink" Target="https://www.hweclinicalguidance.nhs.uk/all-clinical-areas-documents/download?cid=3884&amp;checksum=8dcf2420e78a64333a59674678fb283b" TargetMode="External"/><Relationship Id="rId37" Type="http://schemas.openxmlformats.org/officeDocument/2006/relationships/hyperlink" Target="https://gbr01.safelinks.protection.outlook.com/?url=https%3A%2F%2Fwww.nhspathways.org%2F&amp;data=05%7C02%7Cniraj.shah1%40nhs.net%7C2f2a74fc37f44b07170708dc1d8cda01%7C37c354b285b047f5b22207b48d774ee3%7C0%7C0%7C638417738003447968%7CUnknown%7CTWFpbGZsb3d8eyJWIjoiMC4wLjAwMDAiLCJQIjoiV2luMzIiLCJBTiI6Ik1haWwiLCJXVCI6Mn0%3D%7C3000%7C%7C%7C&amp;sdata=m5da8osbEj7%2FOjsdItGJjMvc5kc3oJmsUC1OP1von4A%3D&amp;reserved=0" TargetMode="External"/><Relationship Id="rId40" Type="http://schemas.openxmlformats.org/officeDocument/2006/relationships/hyperlink" Target="https://bjgpopen.org/content/bjgpoa/early/2025/04/07/BJGPO.2024.0059.full.pdf" TargetMode="External"/><Relationship Id="rId45" Type="http://schemas.openxmlformats.org/officeDocument/2006/relationships/package" Target="embeddings/Microsoft_Excel_Worksheet.xlsx"/><Relationship Id="rId53" Type="http://schemas.openxmlformats.org/officeDocument/2006/relationships/hyperlink" Target="https://cks.nice.org.uk/topics/dyspepsia-unidentified-cause/" TargetMode="External"/><Relationship Id="rId58" Type="http://schemas.openxmlformats.org/officeDocument/2006/relationships/hyperlink" Target="https://www.nice.org.uk/guidance/ng231/chapter/Recommendations" TargetMode="External"/><Relationship Id="rId66" Type="http://schemas.openxmlformats.org/officeDocument/2006/relationships/hyperlink" Target="https://www.hweclinicalguidance.nhs.uk/all-clinical-areas-documents/search-results/eclipse/" TargetMode="External"/><Relationship Id="rId5" Type="http://schemas.openxmlformats.org/officeDocument/2006/relationships/numbering" Target="numbering.xml"/><Relationship Id="rId61" Type="http://schemas.openxmlformats.org/officeDocument/2006/relationships/hyperlink" Target="https://www.hweclinicalguidance.nhs.uk/all-clinical-areas-documents/search-results?Search=proton+pump+inhibitors" TargetMode="External"/><Relationship Id="rId19" Type="http://schemas.openxmlformats.org/officeDocument/2006/relationships/hyperlink" Target="https://www.nhs.uk/conditions/indigestion/" TargetMode="External"/><Relationship Id="rId14" Type="http://schemas.openxmlformats.org/officeDocument/2006/relationships/hyperlink" Target="https://openprescribing.net/icb/QM7/measures/?tags=gastrointestinal" TargetMode="External"/><Relationship Id="rId22" Type="http://schemas.openxmlformats.org/officeDocument/2006/relationships/hyperlink" Target="https://cks.nice.org.uk/topics/dyspepsia-unidentified-cause/management/dyspepsia-unidentified-cause/" TargetMode="External"/><Relationship Id="rId27" Type="http://schemas.openxmlformats.org/officeDocument/2006/relationships/hyperlink" Target="https://bnf.nice.org.uk/treatment-summaries/proton-pump-inhibitors/" TargetMode="External"/><Relationship Id="rId30" Type="http://schemas.openxmlformats.org/officeDocument/2006/relationships/hyperlink" Target="https://www.hweclinicalguidance.nhs.uk/all-clinical-areas-documents/download?cid=3881&amp;checksum=a1c5aff9679455a233086e26b72b9a06" TargetMode="External"/><Relationship Id="rId35" Type="http://schemas.openxmlformats.org/officeDocument/2006/relationships/hyperlink" Target="https://www.gov.uk/drug-safety-update/clopidogrel-and-proton-pump-inhibitors-interaction-updated-advice" TargetMode="External"/><Relationship Id="rId43" Type="http://schemas.openxmlformats.org/officeDocument/2006/relationships/hyperlink" Target="https://www.prescqipp.info/our-resources/bulletins/bulletin-267-ppis-long-term-safety-and-gastroprotection/" TargetMode="External"/><Relationship Id="rId48" Type="http://schemas.openxmlformats.org/officeDocument/2006/relationships/hyperlink" Target="https://www.hweclinicalguidance.nhs.uk/all-clinical-areas-documents/search-results/ppi-stopping-or-reducing-patient-letter/" TargetMode="External"/><Relationship Id="rId56" Type="http://schemas.openxmlformats.org/officeDocument/2006/relationships/hyperlink" Target="https://cks.nice.org.uk/topics/dyspepsia-unidentified-cause/management/dyspepsia-unidentified-cause/" TargetMode="External"/><Relationship Id="rId64" Type="http://schemas.openxmlformats.org/officeDocument/2006/relationships/hyperlink" Target="https://www.nice.org.uk/guidance/cg184/chapter/appendix-a-dosage-information-on-proton-pump-inhibitors" TargetMode="External"/><Relationship Id="rId8" Type="http://schemas.openxmlformats.org/officeDocument/2006/relationships/webSettings" Target="webSettings.xml"/><Relationship Id="rId51" Type="http://schemas.openxmlformats.org/officeDocument/2006/relationships/hyperlink" Target="https://www.acbcalc.com/"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bjgpopen.org/content/bjgpoa/early/2025/04/07/BJGPO.2024.0059.full.pdf" TargetMode="External"/><Relationship Id="rId25" Type="http://schemas.openxmlformats.org/officeDocument/2006/relationships/hyperlink" Target="https://cks.nice.org.uk/topics/dyspepsia-proven-peptic-ulcer/management/management-proven-peptic-ulcer/" TargetMode="External"/><Relationship Id="rId33" Type="http://schemas.openxmlformats.org/officeDocument/2006/relationships/hyperlink" Target="https://www.hweclinicalguidance.nhs.uk/all-clinical-areas-documents/download?cid=3883&amp;checksum=51f3eb940fd73a19119534c063967bff" TargetMode="External"/><Relationship Id="rId38" Type="http://schemas.openxmlformats.org/officeDocument/2006/relationships/hyperlink" Target="https://gbr01.safelinks.protection.outlook.com/?url=https%3A%2F%2Fsecure.nhspathways.org%2FNHSPathways%2Fmembers%2Fsonar%2Findex.aspx%3Fsonarid%3D1599%26EpactSurgeryID%3D-1%26SurgeryGroupID%3D-1&amp;data=05%7C02%7Cniraj.shah1%40nhs.net%7C0f5a0e9b4311440eb94d08dd8332fd87%7C37c354b285b047f5b22207b48d774ee3%7C0%7C0%7C638810977256548395%7CUnknown%7CTWFpbGZsb3d8eyJFbXB0eU1hcGkiOnRydWUsIlYiOiIwLjAuMDAwMCIsIlAiOiJXaW4zMiIsIkFOIjoiTWFpbCIsIldUIjoyfQ%3D%3D%7C0%7C%7C%7C&amp;sdata=sf6aGD6LWE3HQtrxO5YbUIisWqSnw%2FhRvUm6P6BzQBU%3D&amp;reserved=0" TargetMode="External"/><Relationship Id="rId46" Type="http://schemas.openxmlformats.org/officeDocument/2006/relationships/image" Target="media/image5.emf"/><Relationship Id="rId59" Type="http://schemas.openxmlformats.org/officeDocument/2006/relationships/hyperlink" Target="https://bnf.nice.org.uk/treatment-summaries/proton-pump-inhibitors/" TargetMode="External"/><Relationship Id="rId67" Type="http://schemas.openxmlformats.org/officeDocument/2006/relationships/fontTable" Target="fontTable.xml"/><Relationship Id="rId20" Type="http://schemas.openxmlformats.org/officeDocument/2006/relationships/hyperlink" Target="https://www.nice.org.uk/guidance/cg184" TargetMode="External"/><Relationship Id="rId41" Type="http://schemas.openxmlformats.org/officeDocument/2006/relationships/hyperlink" Target="https://www.hweclinicalguidance.nhs.uk/all-clinical-areas-documents/download?cid=3983&amp;checksum=5e4450dc93010bbeea7cd28eba296850" TargetMode="External"/><Relationship Id="rId54" Type="http://schemas.openxmlformats.org/officeDocument/2006/relationships/hyperlink" Target="https://cks.nice.org.uk/topics/dyspepsia-proven-gord/management/dyspepsia-proven-gord/" TargetMode="External"/><Relationship Id="rId62" Type="http://schemas.openxmlformats.org/officeDocument/2006/relationships/hyperlink" Target="https://www.prescqipp.info/our-resources/bulletins/bulletin-267-ppis-long-term-safety-and-gastroprotec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cks.nice.org.uk/topics/dyspepsia-proven-gord/prescribing-information/proton-pump-inhibitors/" TargetMode="External"/><Relationship Id="rId28" Type="http://schemas.openxmlformats.org/officeDocument/2006/relationships/hyperlink" Target="https://www.nice.org.uk/guidance/ng231/chapter/Recommendations" TargetMode="External"/><Relationship Id="rId36" Type="http://schemas.openxmlformats.org/officeDocument/2006/relationships/hyperlink" Target="https://bjgpopen.org/content/bjgpoa/early/2025/04/07/BJGPO.2024.0059.full.pdf" TargetMode="External"/><Relationship Id="rId49" Type="http://schemas.openxmlformats.org/officeDocument/2006/relationships/hyperlink" Target="https://bjgpopen.org/content/bjgpoa/early/2025/04/07/BJGPO.2024.0059.full.pdf" TargetMode="External"/><Relationship Id="rId57" Type="http://schemas.openxmlformats.org/officeDocument/2006/relationships/hyperlink" Target="https://www.nice.org.uk/guidance/ng231/chapter/Recommendations" TargetMode="External"/><Relationship Id="rId10" Type="http://schemas.openxmlformats.org/officeDocument/2006/relationships/endnotes" Target="endnotes.xml"/><Relationship Id="rId31" Type="http://schemas.openxmlformats.org/officeDocument/2006/relationships/hyperlink" Target="https://www.hweclinicalguidance.nhs.uk/all-clinical-areas-documents/download?cid=3882&amp;checksum=df42e2244c97a0d80d565ae8176d3351" TargetMode="External"/><Relationship Id="rId44" Type="http://schemas.openxmlformats.org/officeDocument/2006/relationships/image" Target="media/image4.emf"/><Relationship Id="rId52" Type="http://schemas.openxmlformats.org/officeDocument/2006/relationships/hyperlink" Target="https://openprescribing.net/icb/QM7/measures/?tags=gastrointestinal" TargetMode="External"/><Relationship Id="rId60" Type="http://schemas.openxmlformats.org/officeDocument/2006/relationships/hyperlink" Target="https://cks.nice.org.uk/topics/dyspepsia-unidentified-cause/management/dyspepsia-unidentified-cause/" TargetMode="External"/><Relationship Id="rId65" Type="http://schemas.openxmlformats.org/officeDocument/2006/relationships/hyperlink" Target="https://www.gov.uk/drug-safety-update/clopidogrel-and-proton-pump-inhibitors-interaction-updated-advi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bcalc.com/" TargetMode="External"/><Relationship Id="rId18" Type="http://schemas.openxmlformats.org/officeDocument/2006/relationships/hyperlink" Target="https://bnf.nice.org.uk/treatment-summaries/dyspepsia/" TargetMode="External"/><Relationship Id="rId39" Type="http://schemas.openxmlformats.org/officeDocument/2006/relationships/hyperlink" Target="https://cks.nice.org.uk/topics/dyspepsia-unidentified-cause/prescribing-information/proton-pump-inhibitors-p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66F5E4-47EE-4228-A66D-8C5626800D7A}">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141E31655724BAC9FC6671C71E622" ma:contentTypeVersion="16" ma:contentTypeDescription="Create a new document." ma:contentTypeScope="" ma:versionID="6e945d257ac67fc4a51f54f70a2759d1">
  <xsd:schema xmlns:xsd="http://www.w3.org/2001/XMLSchema" xmlns:xs="http://www.w3.org/2001/XMLSchema" xmlns:p="http://schemas.microsoft.com/office/2006/metadata/properties" xmlns:ns3="a1ed6808-2aeb-4c19-af6e-2087f132de2c" xmlns:ns4="9c601666-5153-48d8-bf2b-7b45e417da0f" targetNamespace="http://schemas.microsoft.com/office/2006/metadata/properties" ma:root="true" ma:fieldsID="a2875947eb94ed8b56c836b34d26270c" ns3:_="" ns4:_="">
    <xsd:import namespace="a1ed6808-2aeb-4c19-af6e-2087f132de2c"/>
    <xsd:import namespace="9c601666-5153-48d8-bf2b-7b45e417da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d6808-2aeb-4c19-af6e-2087f132de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01666-5153-48d8-bf2b-7b45e417da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c601666-5153-48d8-bf2b-7b45e417da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3E1EA-317E-4631-A06D-409F334F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d6808-2aeb-4c19-af6e-2087f132de2c"/>
    <ds:schemaRef ds:uri="9c601666-5153-48d8-bf2b-7b45e417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01DFF-3F94-4FB3-8122-DE4082747381}">
  <ds:schemaRefs>
    <ds:schemaRef ds:uri="http://schemas.openxmlformats.org/officeDocument/2006/bibliography"/>
  </ds:schemaRefs>
</ds:datastoreItem>
</file>

<file path=customXml/itemProps3.xml><?xml version="1.0" encoding="utf-8"?>
<ds:datastoreItem xmlns:ds="http://schemas.openxmlformats.org/officeDocument/2006/customXml" ds:itemID="{2606D64D-CF18-40C8-9EC2-21FD28C20D04}">
  <ds:schemaRefs>
    <ds:schemaRef ds:uri="http://schemas.microsoft.com/office/2006/metadata/properties"/>
    <ds:schemaRef ds:uri="http://schemas.microsoft.com/office/infopath/2007/PartnerControls"/>
    <ds:schemaRef ds:uri="9c601666-5153-48d8-bf2b-7b45e417da0f"/>
  </ds:schemaRefs>
</ds:datastoreItem>
</file>

<file path=customXml/itemProps4.xml><?xml version="1.0" encoding="utf-8"?>
<ds:datastoreItem xmlns:ds="http://schemas.openxmlformats.org/officeDocument/2006/customXml" ds:itemID="{0F8B250A-B85B-41B9-9240-84766E96EEA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48</TotalTime>
  <Pages>7</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Links>
    <vt:vector size="258" baseType="variant">
      <vt:variant>
        <vt:i4>5046357</vt:i4>
      </vt:variant>
      <vt:variant>
        <vt:i4>132</vt:i4>
      </vt:variant>
      <vt:variant>
        <vt:i4>0</vt:i4>
      </vt:variant>
      <vt:variant>
        <vt:i4>5</vt:i4>
      </vt:variant>
      <vt:variant>
        <vt:lpwstr>https://www.gov.uk/drug-safety-update/clopidogrel-and-proton-pump-inhibitors-interaction-updated-advice</vt:lpwstr>
      </vt:variant>
      <vt:variant>
        <vt:lpwstr>:~:text=Concomitant%20use%20of%20clopidogrel%20and,therapies%20would%20be%20more%20suitable</vt:lpwstr>
      </vt:variant>
      <vt:variant>
        <vt:i4>6029332</vt:i4>
      </vt:variant>
      <vt:variant>
        <vt:i4>129</vt:i4>
      </vt:variant>
      <vt:variant>
        <vt:i4>0</vt:i4>
      </vt:variant>
      <vt:variant>
        <vt:i4>5</vt:i4>
      </vt:variant>
      <vt:variant>
        <vt:lpwstr>https://www.nice.org.uk/guidance/cg184/chapter/appendix-a-dosage-information-on-proton-pump-inhibitors</vt:lpwstr>
      </vt:variant>
      <vt:variant>
        <vt:lpwstr>appendix-a-dosage-information-on-proton-pump-inhibitors</vt:lpwstr>
      </vt:variant>
      <vt:variant>
        <vt:i4>6160459</vt:i4>
      </vt:variant>
      <vt:variant>
        <vt:i4>126</vt:i4>
      </vt:variant>
      <vt:variant>
        <vt:i4>0</vt:i4>
      </vt:variant>
      <vt:variant>
        <vt:i4>5</vt:i4>
      </vt:variant>
      <vt:variant>
        <vt:lpwstr>https://www.prescqipp.info/community-resources/innovation-and-best-practice/long-term-proton-pump-inhibitor-ppi-prescribing-reviews-2024/</vt:lpwstr>
      </vt:variant>
      <vt:variant>
        <vt:lpwstr/>
      </vt:variant>
      <vt:variant>
        <vt:i4>6815783</vt:i4>
      </vt:variant>
      <vt:variant>
        <vt:i4>123</vt:i4>
      </vt:variant>
      <vt:variant>
        <vt:i4>0</vt:i4>
      </vt:variant>
      <vt:variant>
        <vt:i4>5</vt:i4>
      </vt:variant>
      <vt:variant>
        <vt:lpwstr>https://www.prescqipp.info/our-resources/bulletins/bulletin-267-ppis-long-term-safety-and-gastroprotection/</vt:lpwstr>
      </vt:variant>
      <vt:variant>
        <vt:lpwstr/>
      </vt:variant>
      <vt:variant>
        <vt:i4>720914</vt:i4>
      </vt:variant>
      <vt:variant>
        <vt:i4>120</vt:i4>
      </vt:variant>
      <vt:variant>
        <vt:i4>0</vt:i4>
      </vt:variant>
      <vt:variant>
        <vt:i4>5</vt:i4>
      </vt:variant>
      <vt:variant>
        <vt:lpwstr>https://www.hweclinicalguidance.nhs.uk/all-clinical-areas-documents/search-results?Search=proton+pump+inhibitors</vt:lpwstr>
      </vt:variant>
      <vt:variant>
        <vt:lpwstr/>
      </vt:variant>
      <vt:variant>
        <vt:i4>3670140</vt:i4>
      </vt:variant>
      <vt:variant>
        <vt:i4>117</vt:i4>
      </vt:variant>
      <vt:variant>
        <vt:i4>0</vt:i4>
      </vt:variant>
      <vt:variant>
        <vt:i4>5</vt:i4>
      </vt:variant>
      <vt:variant>
        <vt:lpwstr>https://bnf.nice.org.uk/treatment-summaries/proton-pump-inhibitors/</vt:lpwstr>
      </vt:variant>
      <vt:variant>
        <vt:lpwstr/>
      </vt:variant>
      <vt:variant>
        <vt:i4>720964</vt:i4>
      </vt:variant>
      <vt:variant>
        <vt:i4>114</vt:i4>
      </vt:variant>
      <vt:variant>
        <vt:i4>0</vt:i4>
      </vt:variant>
      <vt:variant>
        <vt:i4>5</vt:i4>
      </vt:variant>
      <vt:variant>
        <vt:lpwstr>https://cks.nice.org.uk/topics/dyspepsia-unidentified-cause/management/dyspepsia-unidentified-cause/</vt:lpwstr>
      </vt:variant>
      <vt:variant>
        <vt:lpwstr/>
      </vt:variant>
      <vt:variant>
        <vt:i4>3670140</vt:i4>
      </vt:variant>
      <vt:variant>
        <vt:i4>111</vt:i4>
      </vt:variant>
      <vt:variant>
        <vt:i4>0</vt:i4>
      </vt:variant>
      <vt:variant>
        <vt:i4>5</vt:i4>
      </vt:variant>
      <vt:variant>
        <vt:lpwstr>https://bnf.nice.org.uk/treatment-summaries/proton-pump-inhibitors/</vt:lpwstr>
      </vt:variant>
      <vt:variant>
        <vt:lpwstr/>
      </vt:variant>
      <vt:variant>
        <vt:i4>3801147</vt:i4>
      </vt:variant>
      <vt:variant>
        <vt:i4>108</vt:i4>
      </vt:variant>
      <vt:variant>
        <vt:i4>0</vt:i4>
      </vt:variant>
      <vt:variant>
        <vt:i4>5</vt:i4>
      </vt:variant>
      <vt:variant>
        <vt:lpwstr>https://www.nice.org.uk/guidance/ng231/chapter/Recommendations</vt:lpwstr>
      </vt:variant>
      <vt:variant>
        <vt:lpwstr>pharmacological-interventions</vt:lpwstr>
      </vt:variant>
      <vt:variant>
        <vt:i4>4325444</vt:i4>
      </vt:variant>
      <vt:variant>
        <vt:i4>105</vt:i4>
      </vt:variant>
      <vt:variant>
        <vt:i4>0</vt:i4>
      </vt:variant>
      <vt:variant>
        <vt:i4>5</vt:i4>
      </vt:variant>
      <vt:variant>
        <vt:lpwstr>https://cks.nice.org.uk/topics/dyspepsia-unidentified-cause/management/dyspepsia-unidentified-cause/</vt:lpwstr>
      </vt:variant>
      <vt:variant>
        <vt:lpwstr>first-line-h-pylori-eradication-regimens</vt:lpwstr>
      </vt:variant>
      <vt:variant>
        <vt:i4>2293792</vt:i4>
      </vt:variant>
      <vt:variant>
        <vt:i4>102</vt:i4>
      </vt:variant>
      <vt:variant>
        <vt:i4>0</vt:i4>
      </vt:variant>
      <vt:variant>
        <vt:i4>5</vt:i4>
      </vt:variant>
      <vt:variant>
        <vt:lpwstr>https://cks.nice.org.uk/topics/dyspepsia-proven-peptic-ulcer/management/management-proven-peptic-ulcer/</vt:lpwstr>
      </vt:variant>
      <vt:variant>
        <vt:lpwstr/>
      </vt:variant>
      <vt:variant>
        <vt:i4>6684713</vt:i4>
      </vt:variant>
      <vt:variant>
        <vt:i4>99</vt:i4>
      </vt:variant>
      <vt:variant>
        <vt:i4>0</vt:i4>
      </vt:variant>
      <vt:variant>
        <vt:i4>5</vt:i4>
      </vt:variant>
      <vt:variant>
        <vt:lpwstr>https://cks.nice.org.uk/topics/dyspepsia-proven-gord/management/dyspepsia-proven-gord/</vt:lpwstr>
      </vt:variant>
      <vt:variant>
        <vt:lpwstr/>
      </vt:variant>
      <vt:variant>
        <vt:i4>65602</vt:i4>
      </vt:variant>
      <vt:variant>
        <vt:i4>96</vt:i4>
      </vt:variant>
      <vt:variant>
        <vt:i4>0</vt:i4>
      </vt:variant>
      <vt:variant>
        <vt:i4>5</vt:i4>
      </vt:variant>
      <vt:variant>
        <vt:lpwstr>https://cks.nice.org.uk/topics/dyspepsia-unidentified-cause/</vt:lpwstr>
      </vt:variant>
      <vt:variant>
        <vt:lpwstr/>
      </vt:variant>
      <vt:variant>
        <vt:i4>2097274</vt:i4>
      </vt:variant>
      <vt:variant>
        <vt:i4>93</vt:i4>
      </vt:variant>
      <vt:variant>
        <vt:i4>0</vt:i4>
      </vt:variant>
      <vt:variant>
        <vt:i4>5</vt:i4>
      </vt:variant>
      <vt:variant>
        <vt:lpwstr>https://openprescribing.net/icb/QM7/measures/?tags=gastrointestinal</vt:lpwstr>
      </vt:variant>
      <vt:variant>
        <vt:lpwstr/>
      </vt:variant>
      <vt:variant>
        <vt:i4>4849743</vt:i4>
      </vt:variant>
      <vt:variant>
        <vt:i4>90</vt:i4>
      </vt:variant>
      <vt:variant>
        <vt:i4>0</vt:i4>
      </vt:variant>
      <vt:variant>
        <vt:i4>5</vt:i4>
      </vt:variant>
      <vt:variant>
        <vt:lpwstr>https://www.acbcalc.com/</vt:lpwstr>
      </vt:variant>
      <vt:variant>
        <vt:lpwstr/>
      </vt:variant>
      <vt:variant>
        <vt:i4>1769499</vt:i4>
      </vt:variant>
      <vt:variant>
        <vt:i4>87</vt:i4>
      </vt:variant>
      <vt:variant>
        <vt:i4>0</vt:i4>
      </vt:variant>
      <vt:variant>
        <vt:i4>5</vt:i4>
      </vt:variant>
      <vt:variant>
        <vt:lpwstr>https://pmc.ncbi.nlm.nih.gov/articles/PMC5429051/</vt:lpwstr>
      </vt:variant>
      <vt:variant>
        <vt:lpwstr/>
      </vt:variant>
      <vt:variant>
        <vt:i4>4587525</vt:i4>
      </vt:variant>
      <vt:variant>
        <vt:i4>84</vt:i4>
      </vt:variant>
      <vt:variant>
        <vt:i4>0</vt:i4>
      </vt:variant>
      <vt:variant>
        <vt:i4>5</vt:i4>
      </vt:variant>
      <vt:variant>
        <vt:lpwstr>https://bjgpopen.org/content/bjgpoa/early/2025/04/07/BJGPO.2024.0059.full.pdf</vt:lpwstr>
      </vt:variant>
      <vt:variant>
        <vt:lpwstr/>
      </vt:variant>
      <vt:variant>
        <vt:i4>1507419</vt:i4>
      </vt:variant>
      <vt:variant>
        <vt:i4>81</vt:i4>
      </vt:variant>
      <vt:variant>
        <vt:i4>0</vt:i4>
      </vt:variant>
      <vt:variant>
        <vt:i4>5</vt:i4>
      </vt:variant>
      <vt:variant>
        <vt:lpwstr>https://cks.nice.org.uk/topics/dyspepsia-unidentified-cause/prescribing-information/proton-pump-inhibitors-ppis/</vt:lpwstr>
      </vt:variant>
      <vt:variant>
        <vt:lpwstr/>
      </vt:variant>
      <vt:variant>
        <vt:i4>5046357</vt:i4>
      </vt:variant>
      <vt:variant>
        <vt:i4>78</vt:i4>
      </vt:variant>
      <vt:variant>
        <vt:i4>0</vt:i4>
      </vt:variant>
      <vt:variant>
        <vt:i4>5</vt:i4>
      </vt:variant>
      <vt:variant>
        <vt:lpwstr>https://www.gov.uk/drug-safety-update/clopidogrel-and-proton-pump-inhibitors-interaction-updated-advice</vt:lpwstr>
      </vt:variant>
      <vt:variant>
        <vt:lpwstr>:~:text=Concomitant%20use%20of%20clopidogrel%20and,therapies%20would%20be%20more%20suitable</vt:lpwstr>
      </vt:variant>
      <vt:variant>
        <vt:i4>3211301</vt:i4>
      </vt:variant>
      <vt:variant>
        <vt:i4>75</vt:i4>
      </vt:variant>
      <vt:variant>
        <vt:i4>0</vt:i4>
      </vt:variant>
      <vt:variant>
        <vt:i4>5</vt:i4>
      </vt:variant>
      <vt:variant>
        <vt:lpwstr>https://www.hweclinicalguidance.nhs.uk/all-clinical-areas-documents/search-results/ppi-stopping-or-reducing-patient-letter/</vt:lpwstr>
      </vt:variant>
      <vt:variant>
        <vt:lpwstr/>
      </vt:variant>
      <vt:variant>
        <vt:i4>6815783</vt:i4>
      </vt:variant>
      <vt:variant>
        <vt:i4>66</vt:i4>
      </vt:variant>
      <vt:variant>
        <vt:i4>0</vt:i4>
      </vt:variant>
      <vt:variant>
        <vt:i4>5</vt:i4>
      </vt:variant>
      <vt:variant>
        <vt:lpwstr>https://www.prescqipp.info/our-resources/bulletins/bulletin-267-ppis-long-term-safety-and-gastroprotection/</vt:lpwstr>
      </vt:variant>
      <vt:variant>
        <vt:lpwstr/>
      </vt:variant>
      <vt:variant>
        <vt:i4>6750240</vt:i4>
      </vt:variant>
      <vt:variant>
        <vt:i4>63</vt:i4>
      </vt:variant>
      <vt:variant>
        <vt:i4>0</vt:i4>
      </vt:variant>
      <vt:variant>
        <vt:i4>5</vt:i4>
      </vt:variant>
      <vt:variant>
        <vt:lpwstr>https://www.prescqipp.info/</vt:lpwstr>
      </vt:variant>
      <vt:variant>
        <vt:lpwstr/>
      </vt:variant>
      <vt:variant>
        <vt:i4>6881337</vt:i4>
      </vt:variant>
      <vt:variant>
        <vt:i4>60</vt:i4>
      </vt:variant>
      <vt:variant>
        <vt:i4>0</vt:i4>
      </vt:variant>
      <vt:variant>
        <vt:i4>5</vt:i4>
      </vt:variant>
      <vt:variant>
        <vt:lpwstr>https://www.hweclinicalguidance.nhs.uk/all-clinical-areas-documents/download?cid=3983&amp;checksum=5e4450dc93010bbeea7cd28eba296850</vt:lpwstr>
      </vt:variant>
      <vt:variant>
        <vt:lpwstr/>
      </vt:variant>
      <vt:variant>
        <vt:i4>4587525</vt:i4>
      </vt:variant>
      <vt:variant>
        <vt:i4>57</vt:i4>
      </vt:variant>
      <vt:variant>
        <vt:i4>0</vt:i4>
      </vt:variant>
      <vt:variant>
        <vt:i4>5</vt:i4>
      </vt:variant>
      <vt:variant>
        <vt:lpwstr>https://bjgpopen.org/content/bjgpoa/early/2025/04/07/BJGPO.2024.0059.full.pdf</vt:lpwstr>
      </vt:variant>
      <vt:variant>
        <vt:lpwstr/>
      </vt:variant>
      <vt:variant>
        <vt:i4>917577</vt:i4>
      </vt:variant>
      <vt:variant>
        <vt:i4>54</vt:i4>
      </vt:variant>
      <vt:variant>
        <vt:i4>0</vt:i4>
      </vt:variant>
      <vt:variant>
        <vt:i4>5</vt:i4>
      </vt:variant>
      <vt:variant>
        <vt:lpwstr>http://www.medicines.org.uk/</vt:lpwstr>
      </vt:variant>
      <vt:variant>
        <vt:lpwstr/>
      </vt:variant>
      <vt:variant>
        <vt:i4>6881337</vt:i4>
      </vt:variant>
      <vt:variant>
        <vt:i4>51</vt:i4>
      </vt:variant>
      <vt:variant>
        <vt:i4>0</vt:i4>
      </vt:variant>
      <vt:variant>
        <vt:i4>5</vt:i4>
      </vt:variant>
      <vt:variant>
        <vt:lpwstr>https://www.hweclinicalguidance.nhs.uk/all-clinical-areas-documents/download?cid=3983&amp;checksum=5e4450dc93010bbeea7cd28eba296850</vt:lpwstr>
      </vt:variant>
      <vt:variant>
        <vt:lpwstr/>
      </vt:variant>
      <vt:variant>
        <vt:i4>6291504</vt:i4>
      </vt:variant>
      <vt:variant>
        <vt:i4>48</vt:i4>
      </vt:variant>
      <vt:variant>
        <vt:i4>0</vt:i4>
      </vt:variant>
      <vt:variant>
        <vt:i4>5</vt:i4>
      </vt:variant>
      <vt:variant>
        <vt:lpwstr>https://www.hweclinicalguidance.nhs.uk/all-clinical-areas-documents/download?cid=3883&amp;checksum=51f3eb940fd73a19119534c063967bff</vt:lpwstr>
      </vt:variant>
      <vt:variant>
        <vt:lpwstr/>
      </vt:variant>
      <vt:variant>
        <vt:i4>6815841</vt:i4>
      </vt:variant>
      <vt:variant>
        <vt:i4>45</vt:i4>
      </vt:variant>
      <vt:variant>
        <vt:i4>0</vt:i4>
      </vt:variant>
      <vt:variant>
        <vt:i4>5</vt:i4>
      </vt:variant>
      <vt:variant>
        <vt:lpwstr>https://www.hweclinicalguidance.nhs.uk/all-clinical-areas-documents/download?cid=3884&amp;checksum=8dcf2420e78a64333a59674678fb283b</vt:lpwstr>
      </vt:variant>
      <vt:variant>
        <vt:lpwstr/>
      </vt:variant>
      <vt:variant>
        <vt:i4>6553710</vt:i4>
      </vt:variant>
      <vt:variant>
        <vt:i4>42</vt:i4>
      </vt:variant>
      <vt:variant>
        <vt:i4>0</vt:i4>
      </vt:variant>
      <vt:variant>
        <vt:i4>5</vt:i4>
      </vt:variant>
      <vt:variant>
        <vt:lpwstr>https://www.hweclinicalguidance.nhs.uk/all-clinical-areas-documents/download?cid=3882&amp;checksum=df42e2244c97a0d80d565ae8176d3351</vt:lpwstr>
      </vt:variant>
      <vt:variant>
        <vt:lpwstr/>
      </vt:variant>
      <vt:variant>
        <vt:i4>4128827</vt:i4>
      </vt:variant>
      <vt:variant>
        <vt:i4>39</vt:i4>
      </vt:variant>
      <vt:variant>
        <vt:i4>0</vt:i4>
      </vt:variant>
      <vt:variant>
        <vt:i4>5</vt:i4>
      </vt:variant>
      <vt:variant>
        <vt:lpwstr>https://www.hweclinicalguidance.nhs.uk/all-clinical-areas-documents/download?cid=3881&amp;checksum=a1c5aff9679455a233086e26b72b9a06</vt:lpwstr>
      </vt:variant>
      <vt:variant>
        <vt:lpwstr/>
      </vt:variant>
      <vt:variant>
        <vt:i4>720914</vt:i4>
      </vt:variant>
      <vt:variant>
        <vt:i4>36</vt:i4>
      </vt:variant>
      <vt:variant>
        <vt:i4>0</vt:i4>
      </vt:variant>
      <vt:variant>
        <vt:i4>5</vt:i4>
      </vt:variant>
      <vt:variant>
        <vt:lpwstr>https://www.hweclinicalguidance.nhs.uk/all-clinical-areas-documents/search-results?Search=proton+pump+inhibitors</vt:lpwstr>
      </vt:variant>
      <vt:variant>
        <vt:lpwstr/>
      </vt:variant>
      <vt:variant>
        <vt:i4>720964</vt:i4>
      </vt:variant>
      <vt:variant>
        <vt:i4>33</vt:i4>
      </vt:variant>
      <vt:variant>
        <vt:i4>0</vt:i4>
      </vt:variant>
      <vt:variant>
        <vt:i4>5</vt:i4>
      </vt:variant>
      <vt:variant>
        <vt:lpwstr>https://cks.nice.org.uk/topics/dyspepsia-unidentified-cause/management/dyspepsia-unidentified-cause/</vt:lpwstr>
      </vt:variant>
      <vt:variant>
        <vt:lpwstr/>
      </vt:variant>
      <vt:variant>
        <vt:i4>3801147</vt:i4>
      </vt:variant>
      <vt:variant>
        <vt:i4>30</vt:i4>
      </vt:variant>
      <vt:variant>
        <vt:i4>0</vt:i4>
      </vt:variant>
      <vt:variant>
        <vt:i4>5</vt:i4>
      </vt:variant>
      <vt:variant>
        <vt:lpwstr>https://www.nice.org.uk/guidance/ng231/chapter/Recommendations</vt:lpwstr>
      </vt:variant>
      <vt:variant>
        <vt:lpwstr>pharmacological-interventions</vt:lpwstr>
      </vt:variant>
      <vt:variant>
        <vt:i4>3670140</vt:i4>
      </vt:variant>
      <vt:variant>
        <vt:i4>27</vt:i4>
      </vt:variant>
      <vt:variant>
        <vt:i4>0</vt:i4>
      </vt:variant>
      <vt:variant>
        <vt:i4>5</vt:i4>
      </vt:variant>
      <vt:variant>
        <vt:lpwstr>https://bnf.nice.org.uk/treatment-summaries/proton-pump-inhibitors/</vt:lpwstr>
      </vt:variant>
      <vt:variant>
        <vt:lpwstr/>
      </vt:variant>
      <vt:variant>
        <vt:i4>4325444</vt:i4>
      </vt:variant>
      <vt:variant>
        <vt:i4>24</vt:i4>
      </vt:variant>
      <vt:variant>
        <vt:i4>0</vt:i4>
      </vt:variant>
      <vt:variant>
        <vt:i4>5</vt:i4>
      </vt:variant>
      <vt:variant>
        <vt:lpwstr>https://cks.nice.org.uk/topics/dyspepsia-unidentified-cause/management/dyspepsia-unidentified-cause/</vt:lpwstr>
      </vt:variant>
      <vt:variant>
        <vt:lpwstr>first-line-h-pylori-eradication-regimens</vt:lpwstr>
      </vt:variant>
      <vt:variant>
        <vt:i4>2293792</vt:i4>
      </vt:variant>
      <vt:variant>
        <vt:i4>21</vt:i4>
      </vt:variant>
      <vt:variant>
        <vt:i4>0</vt:i4>
      </vt:variant>
      <vt:variant>
        <vt:i4>5</vt:i4>
      </vt:variant>
      <vt:variant>
        <vt:lpwstr>https://cks.nice.org.uk/topics/dyspepsia-proven-peptic-ulcer/management/management-proven-peptic-ulcer/</vt:lpwstr>
      </vt:variant>
      <vt:variant>
        <vt:lpwstr/>
      </vt:variant>
      <vt:variant>
        <vt:i4>6684713</vt:i4>
      </vt:variant>
      <vt:variant>
        <vt:i4>18</vt:i4>
      </vt:variant>
      <vt:variant>
        <vt:i4>0</vt:i4>
      </vt:variant>
      <vt:variant>
        <vt:i4>5</vt:i4>
      </vt:variant>
      <vt:variant>
        <vt:lpwstr>https://cks.nice.org.uk/topics/dyspepsia-proven-gord/management/dyspepsia-proven-gord/</vt:lpwstr>
      </vt:variant>
      <vt:variant>
        <vt:lpwstr/>
      </vt:variant>
      <vt:variant>
        <vt:i4>6946856</vt:i4>
      </vt:variant>
      <vt:variant>
        <vt:i4>15</vt:i4>
      </vt:variant>
      <vt:variant>
        <vt:i4>0</vt:i4>
      </vt:variant>
      <vt:variant>
        <vt:i4>5</vt:i4>
      </vt:variant>
      <vt:variant>
        <vt:lpwstr>https://www.nice.org.uk/guidance/cg184</vt:lpwstr>
      </vt:variant>
      <vt:variant>
        <vt:lpwstr/>
      </vt:variant>
      <vt:variant>
        <vt:i4>8323194</vt:i4>
      </vt:variant>
      <vt:variant>
        <vt:i4>12</vt:i4>
      </vt:variant>
      <vt:variant>
        <vt:i4>0</vt:i4>
      </vt:variant>
      <vt:variant>
        <vt:i4>5</vt:i4>
      </vt:variant>
      <vt:variant>
        <vt:lpwstr>https://www.nhs.uk/conditions/indigestion/</vt:lpwstr>
      </vt:variant>
      <vt:variant>
        <vt:lpwstr/>
      </vt:variant>
      <vt:variant>
        <vt:i4>2949153</vt:i4>
      </vt:variant>
      <vt:variant>
        <vt:i4>9</vt:i4>
      </vt:variant>
      <vt:variant>
        <vt:i4>0</vt:i4>
      </vt:variant>
      <vt:variant>
        <vt:i4>5</vt:i4>
      </vt:variant>
      <vt:variant>
        <vt:lpwstr>https://bnf.nice.org.uk/treatment-summaries/dyspepsia/</vt:lpwstr>
      </vt:variant>
      <vt:variant>
        <vt:lpwstr/>
      </vt:variant>
      <vt:variant>
        <vt:i4>6291561</vt:i4>
      </vt:variant>
      <vt:variant>
        <vt:i4>6</vt:i4>
      </vt:variant>
      <vt:variant>
        <vt:i4>0</vt:i4>
      </vt:variant>
      <vt:variant>
        <vt:i4>5</vt:i4>
      </vt:variant>
      <vt:variant>
        <vt:lpwstr>https://www.nice.org.uk/guidance/cg184/chapter/appendix-a-dosage-information-on-proton-pump-inhibitors</vt:lpwstr>
      </vt:variant>
      <vt:variant>
        <vt:lpwstr/>
      </vt:variant>
      <vt:variant>
        <vt:i4>2097274</vt:i4>
      </vt:variant>
      <vt:variant>
        <vt:i4>3</vt:i4>
      </vt:variant>
      <vt:variant>
        <vt:i4>0</vt:i4>
      </vt:variant>
      <vt:variant>
        <vt:i4>5</vt:i4>
      </vt:variant>
      <vt:variant>
        <vt:lpwstr>https://openprescribing.net/icb/QM7/measures/?tags=gastrointestinal</vt:lpwstr>
      </vt:variant>
      <vt:variant>
        <vt:lpwstr/>
      </vt:variant>
      <vt:variant>
        <vt:i4>4849743</vt:i4>
      </vt:variant>
      <vt:variant>
        <vt:i4>0</vt:i4>
      </vt:variant>
      <vt:variant>
        <vt:i4>0</vt:i4>
      </vt:variant>
      <vt:variant>
        <vt:i4>5</vt:i4>
      </vt:variant>
      <vt:variant>
        <vt:lpwstr>https://www.acbcalc.com/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Niraj (NHS HERTFORDSHIRE AND WEST ESSEX ICB - 06K)</dc:creator>
  <cp:keywords/>
  <dc:description/>
  <cp:lastModifiedBy>SHAH, Niraj (NHS HERTFORDSHIRE AND WEST ESSEX ICB - 06K)</cp:lastModifiedBy>
  <cp:revision>3</cp:revision>
  <dcterms:created xsi:type="dcterms:W3CDTF">2025-06-10T09:45:00Z</dcterms:created>
  <dcterms:modified xsi:type="dcterms:W3CDTF">2025-06-26T10:18:00Z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0x010100333141E31655724BAC9FC6671C71E622</vt:lpwstr>
  </property>
</Properties>
</file>