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96B91" w14:textId="77777777" w:rsidR="007F6F24" w:rsidRPr="007F6F24" w:rsidRDefault="007F6F24" w:rsidP="007F6F24">
      <w:pPr>
        <w:rPr>
          <w:b/>
          <w:bCs/>
          <w:sz w:val="48"/>
          <w:szCs w:val="48"/>
        </w:rPr>
      </w:pPr>
      <w:r w:rsidRPr="007F6F24">
        <w:rPr>
          <w:b/>
          <w:bCs/>
          <w:sz w:val="48"/>
          <w:szCs w:val="48"/>
        </w:rPr>
        <w:t xml:space="preserve">Continuous Glucose Monitoring for Adults: Position statement </w:t>
      </w:r>
    </w:p>
    <w:p w14:paraId="14F08713" w14:textId="77777777" w:rsidR="007F6F24" w:rsidRPr="007F6F24" w:rsidRDefault="007F6F24" w:rsidP="007F6F24">
      <w:pPr>
        <w:rPr>
          <w:rFonts w:ascii="Arial" w:hAnsi="Arial" w:cs="Arial"/>
          <w:sz w:val="23"/>
          <w:szCs w:val="23"/>
        </w:rPr>
      </w:pPr>
      <w:r w:rsidRPr="007F6F24">
        <w:rPr>
          <w:rFonts w:ascii="Arial" w:hAnsi="Arial" w:cs="Arial"/>
          <w:sz w:val="23"/>
          <w:szCs w:val="23"/>
        </w:rPr>
        <w:t>v3.1 March 2026</w:t>
      </w:r>
    </w:p>
    <w:p w14:paraId="6A7A9EDE" w14:textId="77777777" w:rsidR="007F6F24" w:rsidRPr="007F6F24" w:rsidRDefault="007F6F24" w:rsidP="007F6F24">
      <w:pPr>
        <w:rPr>
          <w:rFonts w:ascii="Arial" w:hAnsi="Arial" w:cs="Arial"/>
          <w:sz w:val="23"/>
          <w:szCs w:val="23"/>
        </w:rPr>
      </w:pPr>
      <w:r w:rsidRPr="007F6F24">
        <w:rPr>
          <w:rFonts w:ascii="Arial" w:hAnsi="Arial" w:cs="Arial"/>
          <w:b/>
          <w:bCs/>
          <w:sz w:val="23"/>
          <w:szCs w:val="23"/>
        </w:rPr>
        <w:t>1. Introduction</w:t>
      </w:r>
    </w:p>
    <w:p w14:paraId="7D2DA8F9" w14:textId="77777777" w:rsidR="007F6F24" w:rsidRPr="007F6F24" w:rsidRDefault="007F6F24" w:rsidP="007F6F24">
      <w:pPr>
        <w:rPr>
          <w:rFonts w:ascii="Arial" w:hAnsi="Arial" w:cs="Arial"/>
          <w:sz w:val="23"/>
          <w:szCs w:val="23"/>
        </w:rPr>
      </w:pPr>
      <w:r w:rsidRPr="007F6F24">
        <w:rPr>
          <w:rFonts w:ascii="Arial" w:hAnsi="Arial" w:cs="Arial"/>
          <w:sz w:val="23"/>
          <w:szCs w:val="23"/>
        </w:rPr>
        <w:t>People with diabetes on insulin need to regularly monitor their blood glucose levels to judge the amount of insulin they need to inject, to keep their blood glucose within an acceptable range and reduce the risk of short- and long-term complications.</w:t>
      </w:r>
    </w:p>
    <w:p w14:paraId="5BB86219" w14:textId="77777777" w:rsidR="007F6F24" w:rsidRPr="007F6F24" w:rsidRDefault="007F6F24" w:rsidP="007F6F24">
      <w:pPr>
        <w:rPr>
          <w:rFonts w:ascii="Arial" w:hAnsi="Arial" w:cs="Arial"/>
          <w:sz w:val="23"/>
          <w:szCs w:val="23"/>
        </w:rPr>
      </w:pPr>
      <w:r w:rsidRPr="007F6F24">
        <w:rPr>
          <w:rFonts w:ascii="Arial" w:hAnsi="Arial" w:cs="Arial"/>
          <w:sz w:val="23"/>
          <w:szCs w:val="23"/>
        </w:rPr>
        <w:t>Historically, there were three main types of blood glucose monitoring: self-monitored blood glucose testing (using skin prick tests), real-time continuous glucose monitoring (</w:t>
      </w:r>
      <w:proofErr w:type="spellStart"/>
      <w:r w:rsidRPr="007F6F24">
        <w:rPr>
          <w:rFonts w:ascii="Arial" w:hAnsi="Arial" w:cs="Arial"/>
          <w:sz w:val="23"/>
          <w:szCs w:val="23"/>
        </w:rPr>
        <w:t>rtCGM</w:t>
      </w:r>
      <w:proofErr w:type="spellEnd"/>
      <w:r w:rsidRPr="007F6F24">
        <w:rPr>
          <w:rFonts w:ascii="Arial" w:hAnsi="Arial" w:cs="Arial"/>
          <w:sz w:val="23"/>
          <w:szCs w:val="23"/>
        </w:rPr>
        <w:t>) and intermittently scanned continuous glucose monitoring (</w:t>
      </w:r>
      <w:proofErr w:type="spellStart"/>
      <w:r w:rsidRPr="007F6F24">
        <w:rPr>
          <w:rFonts w:ascii="Arial" w:hAnsi="Arial" w:cs="Arial"/>
          <w:sz w:val="23"/>
          <w:szCs w:val="23"/>
        </w:rPr>
        <w:t>isCGM</w:t>
      </w:r>
      <w:proofErr w:type="spellEnd"/>
      <w:r w:rsidRPr="007F6F24">
        <w:rPr>
          <w:rFonts w:ascii="Arial" w:hAnsi="Arial" w:cs="Arial"/>
          <w:sz w:val="23"/>
          <w:szCs w:val="23"/>
        </w:rPr>
        <w:t xml:space="preserve">). </w:t>
      </w:r>
      <w:proofErr w:type="spellStart"/>
      <w:r w:rsidRPr="007F6F24">
        <w:rPr>
          <w:rFonts w:ascii="Arial" w:hAnsi="Arial" w:cs="Arial"/>
          <w:sz w:val="23"/>
          <w:szCs w:val="23"/>
        </w:rPr>
        <w:t>isCGM</w:t>
      </w:r>
      <w:proofErr w:type="spellEnd"/>
      <w:r w:rsidRPr="007F6F24">
        <w:rPr>
          <w:rFonts w:ascii="Arial" w:hAnsi="Arial" w:cs="Arial"/>
          <w:sz w:val="23"/>
          <w:szCs w:val="23"/>
        </w:rPr>
        <w:t xml:space="preserve"> is also sometimes known as ‘flash’.</w:t>
      </w:r>
    </w:p>
    <w:p w14:paraId="4B984CD9" w14:textId="77777777" w:rsidR="007F6F24" w:rsidRPr="007F6F24" w:rsidRDefault="007F6F24" w:rsidP="007F6F24">
      <w:pPr>
        <w:rPr>
          <w:rFonts w:ascii="Arial" w:hAnsi="Arial" w:cs="Arial"/>
          <w:sz w:val="23"/>
          <w:szCs w:val="23"/>
        </w:rPr>
      </w:pPr>
      <w:r w:rsidRPr="007F6F24">
        <w:rPr>
          <w:rFonts w:ascii="Arial" w:hAnsi="Arial" w:cs="Arial"/>
          <w:sz w:val="23"/>
          <w:szCs w:val="23"/>
        </w:rPr>
        <w:t>CGM devices can be divided into "low-cost” and "</w:t>
      </w:r>
      <w:proofErr w:type="gramStart"/>
      <w:r w:rsidRPr="007F6F24">
        <w:rPr>
          <w:rFonts w:ascii="Arial" w:hAnsi="Arial" w:cs="Arial"/>
          <w:sz w:val="23"/>
          <w:szCs w:val="23"/>
        </w:rPr>
        <w:t>high-cost</w:t>
      </w:r>
      <w:proofErr w:type="gramEnd"/>
      <w:r w:rsidRPr="007F6F24">
        <w:rPr>
          <w:rFonts w:ascii="Arial" w:hAnsi="Arial" w:cs="Arial"/>
          <w:sz w:val="23"/>
          <w:szCs w:val="23"/>
        </w:rPr>
        <w:t xml:space="preserve">”. Low-cost CGM are those which cost &lt;£1000 and are usually available to prescribe via a FP10. Formulary choices include </w:t>
      </w:r>
      <w:proofErr w:type="spellStart"/>
      <w:r w:rsidRPr="007F6F24">
        <w:rPr>
          <w:rFonts w:ascii="Arial" w:hAnsi="Arial" w:cs="Arial"/>
          <w:sz w:val="23"/>
          <w:szCs w:val="23"/>
        </w:rPr>
        <w:t>FreeStyle</w:t>
      </w:r>
      <w:proofErr w:type="spellEnd"/>
      <w:r w:rsidRPr="007F6F24">
        <w:rPr>
          <w:rFonts w:ascii="Arial" w:hAnsi="Arial" w:cs="Arial"/>
          <w:sz w:val="23"/>
          <w:szCs w:val="23"/>
        </w:rPr>
        <w:t xml:space="preserve"> Libre 2 plus, Dexcom One+ and </w:t>
      </w:r>
      <w:proofErr w:type="spellStart"/>
      <w:r w:rsidRPr="007F6F24">
        <w:rPr>
          <w:rFonts w:ascii="Arial" w:hAnsi="Arial" w:cs="Arial"/>
          <w:sz w:val="23"/>
          <w:szCs w:val="23"/>
        </w:rPr>
        <w:t>CareSens</w:t>
      </w:r>
      <w:proofErr w:type="spellEnd"/>
      <w:r w:rsidRPr="007F6F24">
        <w:rPr>
          <w:rFonts w:ascii="Arial" w:hAnsi="Arial" w:cs="Arial"/>
          <w:sz w:val="23"/>
          <w:szCs w:val="23"/>
        </w:rPr>
        <w:t xml:space="preserve"> Air sensor. These devices have sufficient functionality to meet the needs of most patients requiring CGM (see appendix 1).</w:t>
      </w:r>
      <w:bookmarkStart w:id="0" w:name="_Hlk172619977"/>
      <w:bookmarkEnd w:id="0"/>
    </w:p>
    <w:p w14:paraId="2CC8ECA9"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Higher cost CGM devices &gt;£1000 on the formulary include Freestyle Libre 3, Dexcom G6 &amp; G7, Medtronic 3 &amp; 4. These have additional functionality which is appropriate for selected groups of patients (see appendix 2). Freestyle Libre 3 can now be upgraded to the </w:t>
      </w:r>
      <w:proofErr w:type="spellStart"/>
      <w:r w:rsidRPr="007F6F24">
        <w:rPr>
          <w:rFonts w:ascii="Arial" w:hAnsi="Arial" w:cs="Arial"/>
          <w:sz w:val="23"/>
          <w:szCs w:val="23"/>
        </w:rPr>
        <w:t>FreeStyle</w:t>
      </w:r>
      <w:proofErr w:type="spellEnd"/>
      <w:r w:rsidRPr="007F6F24">
        <w:rPr>
          <w:rFonts w:ascii="Arial" w:hAnsi="Arial" w:cs="Arial"/>
          <w:sz w:val="23"/>
          <w:szCs w:val="23"/>
        </w:rPr>
        <w:t xml:space="preserve"> Libre 3 plus which offers even more functionality.</w:t>
      </w:r>
    </w:p>
    <w:p w14:paraId="332BE257" w14:textId="77777777" w:rsidR="007F6F24" w:rsidRPr="007F6F24" w:rsidRDefault="007F6F24" w:rsidP="007F6F24">
      <w:pPr>
        <w:rPr>
          <w:rFonts w:ascii="Arial" w:hAnsi="Arial" w:cs="Arial"/>
          <w:sz w:val="23"/>
          <w:szCs w:val="23"/>
        </w:rPr>
      </w:pPr>
      <w:r w:rsidRPr="007F6F24">
        <w:rPr>
          <w:rFonts w:ascii="Arial" w:hAnsi="Arial" w:cs="Arial"/>
          <w:sz w:val="23"/>
          <w:szCs w:val="23"/>
        </w:rPr>
        <w:t>This guidance update adds eligibility criteria for each of the different low and high cost CGM devices available locally, to ensure that the most cost-effective, clinically appropriate device is selected. This is essential to support any future widening of access to CGM for adults.</w:t>
      </w:r>
      <w:r w:rsidRPr="007F6F24">
        <w:rPr>
          <w:rFonts w:ascii="Arial" w:hAnsi="Arial" w:cs="Arial"/>
          <w:sz w:val="23"/>
          <w:szCs w:val="23"/>
        </w:rPr>
        <w:br/>
      </w:r>
    </w:p>
    <w:p w14:paraId="3597005E" w14:textId="77777777" w:rsidR="007F6F24" w:rsidRPr="007F6F24" w:rsidRDefault="007F6F24" w:rsidP="007F6F24">
      <w:pPr>
        <w:rPr>
          <w:rFonts w:ascii="Arial" w:hAnsi="Arial" w:cs="Arial"/>
          <w:sz w:val="23"/>
          <w:szCs w:val="23"/>
        </w:rPr>
      </w:pPr>
      <w:r w:rsidRPr="007F6F24">
        <w:rPr>
          <w:rFonts w:ascii="Arial" w:hAnsi="Arial" w:cs="Arial"/>
          <w:b/>
          <w:bCs/>
          <w:sz w:val="23"/>
          <w:szCs w:val="23"/>
        </w:rPr>
        <w:t>2. Content</w:t>
      </w:r>
    </w:p>
    <w:p w14:paraId="7CF5EB0A" w14:textId="77777777" w:rsidR="007F6F24" w:rsidRPr="007F6F24" w:rsidRDefault="007F6F24" w:rsidP="007F6F24">
      <w:pPr>
        <w:rPr>
          <w:rFonts w:ascii="Arial" w:hAnsi="Arial" w:cs="Arial"/>
          <w:sz w:val="23"/>
          <w:szCs w:val="23"/>
        </w:rPr>
      </w:pPr>
      <w:r w:rsidRPr="007F6F24">
        <w:rPr>
          <w:rFonts w:ascii="Arial" w:hAnsi="Arial" w:cs="Arial"/>
          <w:b/>
          <w:bCs/>
          <w:sz w:val="23"/>
          <w:szCs w:val="23"/>
        </w:rPr>
        <w:t>Eligibility for CGM</w:t>
      </w:r>
    </w:p>
    <w:p w14:paraId="0146D71F" w14:textId="77777777" w:rsidR="007F6F24" w:rsidRPr="007F6F24" w:rsidRDefault="007F6F24" w:rsidP="007F6F24">
      <w:pPr>
        <w:rPr>
          <w:rFonts w:ascii="Arial" w:hAnsi="Arial" w:cs="Arial"/>
          <w:sz w:val="23"/>
          <w:szCs w:val="23"/>
        </w:rPr>
      </w:pPr>
      <w:r w:rsidRPr="007F6F24">
        <w:rPr>
          <w:rFonts w:ascii="Arial" w:hAnsi="Arial" w:cs="Arial"/>
          <w:b/>
          <w:bCs/>
          <w:sz w:val="23"/>
          <w:szCs w:val="23"/>
        </w:rPr>
        <w:t>The following cohorts are eligible for CGM</w:t>
      </w:r>
      <w:r w:rsidRPr="007F6F24">
        <w:rPr>
          <w:rFonts w:ascii="Arial" w:hAnsi="Arial" w:cs="Arial"/>
          <w:sz w:val="23"/>
          <w:szCs w:val="23"/>
        </w:rPr>
        <w:t>:</w:t>
      </w:r>
    </w:p>
    <w:p w14:paraId="15B776BD" w14:textId="77777777" w:rsidR="007F6F24" w:rsidRPr="007F6F24" w:rsidRDefault="007F6F24" w:rsidP="007F6F24">
      <w:pPr>
        <w:numPr>
          <w:ilvl w:val="0"/>
          <w:numId w:val="1"/>
        </w:numPr>
        <w:rPr>
          <w:rFonts w:ascii="Arial" w:hAnsi="Arial" w:cs="Arial"/>
          <w:sz w:val="23"/>
          <w:szCs w:val="23"/>
        </w:rPr>
      </w:pPr>
      <w:r w:rsidRPr="007F6F24">
        <w:rPr>
          <w:rFonts w:ascii="Arial" w:hAnsi="Arial" w:cs="Arial"/>
          <w:b/>
          <w:bCs/>
          <w:sz w:val="23"/>
          <w:szCs w:val="23"/>
        </w:rPr>
        <w:t>Adults with type 1 diabetes who are willing to commit to using CGM at least 70% of the time and to calibrate it as needed, and who have any of the following despite optimised use of insulin therapy and conventional blood glucose monitoring</w:t>
      </w:r>
      <w:r w:rsidRPr="007F6F24">
        <w:rPr>
          <w:rFonts w:ascii="Arial" w:hAnsi="Arial" w:cs="Arial"/>
          <w:sz w:val="23"/>
          <w:szCs w:val="23"/>
        </w:rPr>
        <w:t> (As per the previous National Institute for Health and Care Excellence (NICE) guidance NG17 and criteria from NHS England (NHSE) 2019 Flash guidance):</w:t>
      </w:r>
      <w:r w:rsidRPr="007F6F24">
        <w:rPr>
          <w:rFonts w:ascii="Arial" w:hAnsi="Arial" w:cs="Arial"/>
          <w:sz w:val="23"/>
          <w:szCs w:val="23"/>
        </w:rPr>
        <w:br/>
      </w:r>
    </w:p>
    <w:p w14:paraId="3A52E629"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More than 1 episode a year of severe hypoglycaemia with no obviously preventable precipitating cause.</w:t>
      </w:r>
    </w:p>
    <w:p w14:paraId="19548C66"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Impaired or complete loss of awareness of hypoglycaemia.</w:t>
      </w:r>
    </w:p>
    <w:p w14:paraId="5B9AEA96"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Frequent (more than 2 episodes a week) asymptomatic hypoglycaemia that is causing problems with daily activities.</w:t>
      </w:r>
    </w:p>
    <w:p w14:paraId="61266BE9"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Extreme fear of hypoglycaemia.</w:t>
      </w:r>
    </w:p>
    <w:p w14:paraId="1A06A74F"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Are clinically indicated as requiring intensive monitoring &gt;8 times daily, as demonstrated on a meter download/review over the past 3 months</w:t>
      </w:r>
    </w:p>
    <w:p w14:paraId="0C4D3720"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Are unable to self-monitor due to disability</w:t>
      </w:r>
    </w:p>
    <w:p w14:paraId="09488DA9"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lastRenderedPageBreak/>
        <w:t>The specialist diabetes MDT determines have occupational or psychosocial circumstances that warrant a 6-month trial of CGM</w:t>
      </w:r>
    </w:p>
    <w:p w14:paraId="3F6F475D"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Are living with a learning disability and it is recorded on their GP Learning Disability register</w:t>
      </w:r>
    </w:p>
    <w:p w14:paraId="2B1192C1" w14:textId="77777777" w:rsidR="007F6F24" w:rsidRPr="007F6F24" w:rsidRDefault="007F6F24" w:rsidP="007F6F24">
      <w:pPr>
        <w:numPr>
          <w:ilvl w:val="1"/>
          <w:numId w:val="1"/>
        </w:numPr>
        <w:rPr>
          <w:rFonts w:ascii="Arial" w:hAnsi="Arial" w:cs="Arial"/>
          <w:sz w:val="23"/>
          <w:szCs w:val="23"/>
        </w:rPr>
      </w:pPr>
      <w:r w:rsidRPr="007F6F24">
        <w:rPr>
          <w:rFonts w:ascii="Arial" w:hAnsi="Arial" w:cs="Arial"/>
          <w:sz w:val="23"/>
          <w:szCs w:val="23"/>
        </w:rPr>
        <w:t>Are pregnant (12 months in total inclusive of post-delivery period)</w:t>
      </w:r>
    </w:p>
    <w:p w14:paraId="5C37B307" w14:textId="77777777" w:rsidR="007F6F24" w:rsidRPr="007F6F24" w:rsidRDefault="007F6F24" w:rsidP="007F6F24">
      <w:pPr>
        <w:numPr>
          <w:ilvl w:val="0"/>
          <w:numId w:val="2"/>
        </w:numPr>
        <w:rPr>
          <w:rFonts w:ascii="Arial" w:hAnsi="Arial" w:cs="Arial"/>
          <w:sz w:val="23"/>
          <w:szCs w:val="23"/>
        </w:rPr>
      </w:pPr>
      <w:r w:rsidRPr="007F6F24">
        <w:rPr>
          <w:rFonts w:ascii="Arial" w:hAnsi="Arial" w:cs="Arial"/>
          <w:b/>
          <w:bCs/>
          <w:sz w:val="23"/>
          <w:szCs w:val="23"/>
        </w:rPr>
        <w:t xml:space="preserve">Adults with insulin treated type 2 diabetes who are living with a learning </w:t>
      </w:r>
      <w:proofErr w:type="gramStart"/>
      <w:r w:rsidRPr="007F6F24">
        <w:rPr>
          <w:rFonts w:ascii="Arial" w:hAnsi="Arial" w:cs="Arial"/>
          <w:b/>
          <w:bCs/>
          <w:sz w:val="23"/>
          <w:szCs w:val="23"/>
        </w:rPr>
        <w:t>disability</w:t>
      </w:r>
      <w:proofErr w:type="gramEnd"/>
      <w:r w:rsidRPr="007F6F24">
        <w:rPr>
          <w:rFonts w:ascii="Arial" w:hAnsi="Arial" w:cs="Arial"/>
          <w:b/>
          <w:bCs/>
          <w:sz w:val="23"/>
          <w:szCs w:val="23"/>
        </w:rPr>
        <w:t xml:space="preserve"> and it is recorded on their GP Learning Disability register</w:t>
      </w:r>
      <w:r w:rsidRPr="007F6F24">
        <w:rPr>
          <w:rFonts w:ascii="Arial" w:hAnsi="Arial" w:cs="Arial"/>
          <w:sz w:val="23"/>
          <w:szCs w:val="23"/>
        </w:rPr>
        <w:t> (As per NHSE 2019 Flash guidance,)</w:t>
      </w:r>
      <w:r w:rsidRPr="007F6F24">
        <w:rPr>
          <w:rFonts w:ascii="Arial" w:hAnsi="Arial" w:cs="Arial"/>
          <w:sz w:val="23"/>
          <w:szCs w:val="23"/>
        </w:rPr>
        <w:br/>
      </w:r>
    </w:p>
    <w:p w14:paraId="5FDC073B" w14:textId="77777777" w:rsidR="007F6F24" w:rsidRPr="007F6F24" w:rsidRDefault="007F6F24" w:rsidP="007F6F24">
      <w:pPr>
        <w:numPr>
          <w:ilvl w:val="0"/>
          <w:numId w:val="2"/>
        </w:numPr>
        <w:rPr>
          <w:rFonts w:ascii="Arial" w:hAnsi="Arial" w:cs="Arial"/>
          <w:sz w:val="23"/>
          <w:szCs w:val="23"/>
        </w:rPr>
      </w:pPr>
      <w:r w:rsidRPr="007F6F24">
        <w:rPr>
          <w:rFonts w:ascii="Arial" w:hAnsi="Arial" w:cs="Arial"/>
          <w:b/>
          <w:bCs/>
          <w:sz w:val="23"/>
          <w:szCs w:val="23"/>
        </w:rPr>
        <w:t>People with any form of diabetes on haemodialysis and on insulin treatment who are clinically indicated as requiring intensive monitoring &gt;8 times daily, as demonstrated on a meter download/review over the past 3 months</w:t>
      </w:r>
      <w:r w:rsidRPr="007F6F24">
        <w:rPr>
          <w:rFonts w:ascii="Arial" w:hAnsi="Arial" w:cs="Arial"/>
          <w:sz w:val="23"/>
          <w:szCs w:val="23"/>
        </w:rPr>
        <w:t> (As per NHSE 2019 Flash guidance,)</w:t>
      </w:r>
      <w:r w:rsidRPr="007F6F24">
        <w:rPr>
          <w:rFonts w:ascii="Arial" w:hAnsi="Arial" w:cs="Arial"/>
          <w:sz w:val="23"/>
          <w:szCs w:val="23"/>
        </w:rPr>
        <w:br/>
      </w:r>
    </w:p>
    <w:p w14:paraId="170E4DA9" w14:textId="77777777" w:rsidR="007F6F24" w:rsidRPr="007F6F24" w:rsidRDefault="007F6F24" w:rsidP="007F6F24">
      <w:pPr>
        <w:numPr>
          <w:ilvl w:val="0"/>
          <w:numId w:val="2"/>
        </w:numPr>
        <w:rPr>
          <w:rFonts w:ascii="Arial" w:hAnsi="Arial" w:cs="Arial"/>
          <w:sz w:val="23"/>
          <w:szCs w:val="23"/>
        </w:rPr>
      </w:pPr>
      <w:r w:rsidRPr="007F6F24">
        <w:rPr>
          <w:rFonts w:ascii="Arial" w:hAnsi="Arial" w:cs="Arial"/>
          <w:b/>
          <w:bCs/>
          <w:sz w:val="23"/>
          <w:szCs w:val="23"/>
        </w:rPr>
        <w:t>People with diabetes associated with cystic fibrosis on insulin treatment</w:t>
      </w:r>
      <w:r w:rsidRPr="007F6F24">
        <w:rPr>
          <w:rFonts w:ascii="Arial" w:hAnsi="Arial" w:cs="Arial"/>
          <w:sz w:val="23"/>
          <w:szCs w:val="23"/>
        </w:rPr>
        <w:t> (As per NHSE 2019 Flash guidance,)</w:t>
      </w:r>
    </w:p>
    <w:p w14:paraId="1AC5FD1A" w14:textId="77777777" w:rsidR="007F6F24" w:rsidRPr="007F6F24" w:rsidRDefault="007F6F24" w:rsidP="007F6F24">
      <w:pPr>
        <w:rPr>
          <w:rFonts w:ascii="Arial" w:hAnsi="Arial" w:cs="Arial"/>
          <w:sz w:val="23"/>
          <w:szCs w:val="23"/>
        </w:rPr>
      </w:pPr>
      <w:r w:rsidRPr="007F6F24">
        <w:rPr>
          <w:rFonts w:ascii="Arial" w:hAnsi="Arial" w:cs="Arial"/>
          <w:sz w:val="23"/>
          <w:szCs w:val="23"/>
        </w:rPr>
        <w:t>A summary on process for initiation and supply of low cost CGM has been added as appendix 3.</w:t>
      </w:r>
      <w:r w:rsidRPr="007F6F24">
        <w:rPr>
          <w:rFonts w:ascii="Arial" w:hAnsi="Arial" w:cs="Arial"/>
          <w:sz w:val="23"/>
          <w:szCs w:val="23"/>
        </w:rPr>
        <w:br/>
      </w:r>
      <w:r w:rsidRPr="007F6F24">
        <w:rPr>
          <w:rFonts w:ascii="Arial" w:hAnsi="Arial" w:cs="Arial"/>
          <w:sz w:val="23"/>
          <w:szCs w:val="23"/>
        </w:rPr>
        <w:br/>
      </w:r>
      <w:bookmarkStart w:id="1" w:name="_Hlk206508656"/>
      <w:bookmarkEnd w:id="1"/>
      <w:r w:rsidRPr="007F6F24">
        <w:rPr>
          <w:rFonts w:ascii="Arial" w:hAnsi="Arial" w:cs="Arial"/>
          <w:sz w:val="23"/>
          <w:szCs w:val="23"/>
        </w:rPr>
        <w:t xml:space="preserve">The Dexcom One+, </w:t>
      </w:r>
      <w:proofErr w:type="spellStart"/>
      <w:r w:rsidRPr="007F6F24">
        <w:rPr>
          <w:rFonts w:ascii="Arial" w:hAnsi="Arial" w:cs="Arial"/>
          <w:sz w:val="23"/>
          <w:szCs w:val="23"/>
        </w:rPr>
        <w:t>FreeStyle</w:t>
      </w:r>
      <w:proofErr w:type="spellEnd"/>
      <w:r w:rsidRPr="007F6F24">
        <w:rPr>
          <w:rFonts w:ascii="Arial" w:hAnsi="Arial" w:cs="Arial"/>
          <w:sz w:val="23"/>
          <w:szCs w:val="23"/>
        </w:rPr>
        <w:t xml:space="preserve"> Libre 2 plus and </w:t>
      </w:r>
      <w:proofErr w:type="spellStart"/>
      <w:r w:rsidRPr="007F6F24">
        <w:rPr>
          <w:rFonts w:ascii="Arial" w:hAnsi="Arial" w:cs="Arial"/>
          <w:sz w:val="23"/>
          <w:szCs w:val="23"/>
        </w:rPr>
        <w:t>CareSens</w:t>
      </w:r>
      <w:proofErr w:type="spellEnd"/>
      <w:r w:rsidRPr="007F6F24">
        <w:rPr>
          <w:rFonts w:ascii="Arial" w:hAnsi="Arial" w:cs="Arial"/>
          <w:sz w:val="23"/>
          <w:szCs w:val="23"/>
        </w:rPr>
        <w:t xml:space="preserve"> Air have sufficient functionality to meet the needs of most patients requiring CGM. They all have customisable hypoglycaemia alerts, supporting those with impaired hypoglycaemia awareness. They are both able to do repeat hypoglycaemia alerts (e.g. if hypoglycaemia continues or reoccurs).</w:t>
      </w:r>
      <w:bookmarkStart w:id="2" w:name="_Hlk206140354"/>
    </w:p>
    <w:bookmarkEnd w:id="2"/>
    <w:p w14:paraId="388B8478" w14:textId="77777777" w:rsidR="007F6F24" w:rsidRPr="007F6F24" w:rsidRDefault="007F6F24" w:rsidP="007F6F24">
      <w:pPr>
        <w:rPr>
          <w:rFonts w:ascii="Arial" w:hAnsi="Arial" w:cs="Arial"/>
          <w:sz w:val="23"/>
          <w:szCs w:val="23"/>
        </w:rPr>
      </w:pPr>
      <w:proofErr w:type="spellStart"/>
      <w:r w:rsidRPr="007F6F24">
        <w:rPr>
          <w:rFonts w:ascii="Arial" w:hAnsi="Arial" w:cs="Arial"/>
          <w:sz w:val="23"/>
          <w:szCs w:val="23"/>
        </w:rPr>
        <w:t>CareSens</w:t>
      </w:r>
      <w:proofErr w:type="spellEnd"/>
      <w:r w:rsidRPr="007F6F24">
        <w:rPr>
          <w:rFonts w:ascii="Arial" w:hAnsi="Arial" w:cs="Arial"/>
          <w:sz w:val="23"/>
          <w:szCs w:val="23"/>
        </w:rPr>
        <w:t xml:space="preserve"> Air is currently the most affordable low cost CGM option and has been added to the formulary. The </w:t>
      </w:r>
      <w:proofErr w:type="spellStart"/>
      <w:r w:rsidRPr="007F6F24">
        <w:rPr>
          <w:rFonts w:ascii="Arial" w:hAnsi="Arial" w:cs="Arial"/>
          <w:sz w:val="23"/>
          <w:szCs w:val="23"/>
        </w:rPr>
        <w:t>CareSens</w:t>
      </w:r>
      <w:proofErr w:type="spellEnd"/>
      <w:r w:rsidRPr="007F6F24">
        <w:rPr>
          <w:rFonts w:ascii="Arial" w:hAnsi="Arial" w:cs="Arial"/>
          <w:sz w:val="23"/>
          <w:szCs w:val="23"/>
        </w:rPr>
        <w:t xml:space="preserve"> Air has a </w:t>
      </w:r>
      <w:proofErr w:type="gramStart"/>
      <w:r w:rsidRPr="007F6F24">
        <w:rPr>
          <w:rFonts w:ascii="Arial" w:hAnsi="Arial" w:cs="Arial"/>
          <w:sz w:val="23"/>
          <w:szCs w:val="23"/>
        </w:rPr>
        <w:t>warm up</w:t>
      </w:r>
      <w:proofErr w:type="gramEnd"/>
      <w:r w:rsidRPr="007F6F24">
        <w:rPr>
          <w:rFonts w:ascii="Arial" w:hAnsi="Arial" w:cs="Arial"/>
          <w:sz w:val="23"/>
          <w:szCs w:val="23"/>
        </w:rPr>
        <w:t xml:space="preserve"> time of only 30 minutes, allowing patients to start tracking their readings much sooner. There is an all-in-one applicator for simple use, and it is designed for up to 15 days of wear, provides real-time glucose readings every 5 minutes via </w:t>
      </w:r>
      <w:proofErr w:type="spellStart"/>
      <w:r w:rsidRPr="007F6F24">
        <w:rPr>
          <w:rFonts w:ascii="Arial" w:hAnsi="Arial" w:cs="Arial"/>
          <w:sz w:val="23"/>
          <w:szCs w:val="23"/>
        </w:rPr>
        <w:t>bluetooth</w:t>
      </w:r>
      <w:proofErr w:type="spellEnd"/>
      <w:r w:rsidRPr="007F6F24">
        <w:rPr>
          <w:rFonts w:ascii="Arial" w:hAnsi="Arial" w:cs="Arial"/>
          <w:sz w:val="23"/>
          <w:szCs w:val="23"/>
        </w:rPr>
        <w:t xml:space="preserve">. These readings can be securely shared with unlimited followers. The Freestyle Libre 2 plus is an upgrade to the Freestyle Libre 2. It continues to allow data sharing. The sensors have </w:t>
      </w:r>
      <w:proofErr w:type="gramStart"/>
      <w:r w:rsidRPr="007F6F24">
        <w:rPr>
          <w:rFonts w:ascii="Arial" w:hAnsi="Arial" w:cs="Arial"/>
          <w:sz w:val="23"/>
          <w:szCs w:val="23"/>
        </w:rPr>
        <w:t>15 day</w:t>
      </w:r>
      <w:proofErr w:type="gramEnd"/>
      <w:r w:rsidRPr="007F6F24">
        <w:rPr>
          <w:rFonts w:ascii="Arial" w:hAnsi="Arial" w:cs="Arial"/>
          <w:sz w:val="23"/>
          <w:szCs w:val="23"/>
        </w:rPr>
        <w:t xml:space="preserve"> wear (opposed to 14) and can link with specific insulin pumps to form a hybrid closed loop system.</w:t>
      </w:r>
      <w:bookmarkStart w:id="3" w:name="_Hlk172620378"/>
      <w:bookmarkEnd w:id="3"/>
    </w:p>
    <w:p w14:paraId="5B65C802" w14:textId="77777777" w:rsidR="007F6F24" w:rsidRPr="007F6F24" w:rsidRDefault="007F6F24" w:rsidP="007F6F24">
      <w:pPr>
        <w:rPr>
          <w:rFonts w:ascii="Arial" w:hAnsi="Arial" w:cs="Arial"/>
          <w:sz w:val="23"/>
          <w:szCs w:val="23"/>
        </w:rPr>
      </w:pPr>
      <w:bookmarkStart w:id="4" w:name="_Hlk172620423"/>
      <w:r w:rsidRPr="007F6F24">
        <w:rPr>
          <w:rFonts w:ascii="Arial" w:hAnsi="Arial" w:cs="Arial"/>
          <w:sz w:val="23"/>
          <w:szCs w:val="23"/>
        </w:rPr>
        <w:t>The Dexcom One + is an upgrade to the Dexcom One. It allows data sharing for up to 10 followers, has one-touch sensor applicator with a 30-minute warm up, no separate transmitter, it’s 60% smaller and offers a 12-hour grace period before a sensor must be changed. It is intended as a standalone CGM and does not have the ability to be used for hybrid closed loop systems.</w:t>
      </w:r>
      <w:bookmarkEnd w:id="4"/>
    </w:p>
    <w:p w14:paraId="6AB6DB73"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Initiation of CGM is via specialist diabetes teams only. Applications for low-cost CGM should be made by the specialist teams via the </w:t>
      </w:r>
      <w:proofErr w:type="spellStart"/>
      <w:r w:rsidRPr="007F6F24">
        <w:rPr>
          <w:rFonts w:ascii="Arial" w:hAnsi="Arial" w:cs="Arial"/>
          <w:sz w:val="23"/>
          <w:szCs w:val="23"/>
        </w:rPr>
        <w:t>Blueteq</w:t>
      </w:r>
      <w:proofErr w:type="spellEnd"/>
      <w:r w:rsidRPr="007F6F24">
        <w:rPr>
          <w:rFonts w:ascii="Arial" w:hAnsi="Arial" w:cs="Arial"/>
          <w:sz w:val="23"/>
          <w:szCs w:val="23"/>
        </w:rPr>
        <w:t xml:space="preserve"> drug management system. The low-cost CGM devices, following initiation by the specialists, can be prescribed via FP10 in primary care.</w:t>
      </w:r>
    </w:p>
    <w:p w14:paraId="040DCC1C" w14:textId="77777777" w:rsidR="007F6F24" w:rsidRDefault="007F6F24" w:rsidP="007F6F24">
      <w:pPr>
        <w:rPr>
          <w:rFonts w:ascii="Arial" w:hAnsi="Arial" w:cs="Arial"/>
          <w:sz w:val="23"/>
          <w:szCs w:val="23"/>
        </w:rPr>
      </w:pPr>
      <w:bookmarkStart w:id="5" w:name="_Hlk172620614"/>
      <w:r w:rsidRPr="007F6F24">
        <w:rPr>
          <w:rFonts w:ascii="Arial" w:hAnsi="Arial" w:cs="Arial"/>
          <w:sz w:val="23"/>
          <w:szCs w:val="23"/>
        </w:rPr>
        <w:t>See Appendix 1 for a comparison document for formulary CGM devices that are available on FP10.</w:t>
      </w:r>
      <w:bookmarkEnd w:id="5"/>
    </w:p>
    <w:p w14:paraId="265CC3A8" w14:textId="77777777" w:rsidR="00766686" w:rsidRPr="007F6F24" w:rsidRDefault="00766686" w:rsidP="007F6F24">
      <w:pPr>
        <w:rPr>
          <w:rFonts w:ascii="Arial" w:hAnsi="Arial" w:cs="Arial"/>
          <w:sz w:val="23"/>
          <w:szCs w:val="23"/>
        </w:rPr>
      </w:pPr>
    </w:p>
    <w:p w14:paraId="205BEEEB" w14:textId="77777777" w:rsidR="007F6F24" w:rsidRPr="007F6F24" w:rsidRDefault="007F6F24" w:rsidP="007F6F24">
      <w:pPr>
        <w:numPr>
          <w:ilvl w:val="0"/>
          <w:numId w:val="3"/>
        </w:numPr>
        <w:rPr>
          <w:rFonts w:ascii="Arial" w:hAnsi="Arial" w:cs="Arial"/>
          <w:sz w:val="23"/>
          <w:szCs w:val="23"/>
        </w:rPr>
      </w:pPr>
      <w:r w:rsidRPr="007F6F24">
        <w:rPr>
          <w:rFonts w:ascii="Arial" w:hAnsi="Arial" w:cs="Arial"/>
          <w:b/>
          <w:bCs/>
          <w:sz w:val="23"/>
          <w:szCs w:val="23"/>
        </w:rPr>
        <w:t>Switching between low-cost CGM manufacturers  </w:t>
      </w:r>
    </w:p>
    <w:p w14:paraId="01E96F50" w14:textId="77777777" w:rsidR="007F6F24" w:rsidRDefault="007F6F24" w:rsidP="007F6F24">
      <w:pPr>
        <w:rPr>
          <w:rFonts w:ascii="Arial" w:hAnsi="Arial" w:cs="Arial"/>
          <w:sz w:val="23"/>
          <w:szCs w:val="23"/>
        </w:rPr>
      </w:pPr>
      <w:r w:rsidRPr="007F6F24">
        <w:rPr>
          <w:rFonts w:ascii="Arial" w:hAnsi="Arial" w:cs="Arial"/>
          <w:sz w:val="23"/>
          <w:szCs w:val="23"/>
        </w:rPr>
        <w:t xml:space="preserve">Patients currently receiving NHS-funded low-cost CGM who feel that an alternative manufacturer’s system is better suited to managing their diabetes should be advised to discuss this with their diabetes specialist at their next routine appointment. Specialists may switch patients to an alternative manufacturer’s device </w:t>
      </w:r>
      <w:proofErr w:type="gramStart"/>
      <w:r w:rsidRPr="007F6F24">
        <w:rPr>
          <w:rFonts w:ascii="Arial" w:hAnsi="Arial" w:cs="Arial"/>
          <w:sz w:val="23"/>
          <w:szCs w:val="23"/>
        </w:rPr>
        <w:t>where</w:t>
      </w:r>
      <w:proofErr w:type="gramEnd"/>
      <w:r w:rsidRPr="007F6F24">
        <w:rPr>
          <w:rFonts w:ascii="Arial" w:hAnsi="Arial" w:cs="Arial"/>
          <w:sz w:val="23"/>
          <w:szCs w:val="23"/>
        </w:rPr>
        <w:t xml:space="preserve"> considered suitable. Primary care clinicians should only switch the patient’s prescription to an alternative manufacturer’s device when advised to do so by the patient’s diabetes specialist.  </w:t>
      </w:r>
    </w:p>
    <w:p w14:paraId="061ADA01" w14:textId="77777777" w:rsidR="00766686" w:rsidRDefault="00766686" w:rsidP="007F6F24">
      <w:pPr>
        <w:rPr>
          <w:rFonts w:ascii="Arial" w:hAnsi="Arial" w:cs="Arial"/>
          <w:sz w:val="23"/>
          <w:szCs w:val="23"/>
        </w:rPr>
      </w:pPr>
    </w:p>
    <w:p w14:paraId="1A0C94AE" w14:textId="77777777" w:rsidR="00766686" w:rsidRDefault="00766686" w:rsidP="007F6F24">
      <w:pPr>
        <w:rPr>
          <w:rFonts w:ascii="Arial" w:hAnsi="Arial" w:cs="Arial"/>
          <w:sz w:val="23"/>
          <w:szCs w:val="23"/>
        </w:rPr>
      </w:pPr>
    </w:p>
    <w:p w14:paraId="62079C25" w14:textId="77777777" w:rsidR="00766686" w:rsidRPr="007F6F24" w:rsidRDefault="00766686" w:rsidP="007F6F24">
      <w:pPr>
        <w:rPr>
          <w:rFonts w:ascii="Arial" w:hAnsi="Arial" w:cs="Arial"/>
          <w:sz w:val="23"/>
          <w:szCs w:val="23"/>
        </w:rPr>
      </w:pPr>
    </w:p>
    <w:p w14:paraId="735FFD8B" w14:textId="5044AE85" w:rsidR="007F6F24" w:rsidRPr="007F6F24" w:rsidRDefault="007F6F24" w:rsidP="00766686">
      <w:pPr>
        <w:numPr>
          <w:ilvl w:val="0"/>
          <w:numId w:val="4"/>
        </w:numPr>
        <w:rPr>
          <w:rFonts w:ascii="Arial" w:hAnsi="Arial" w:cs="Arial"/>
          <w:sz w:val="23"/>
          <w:szCs w:val="23"/>
        </w:rPr>
      </w:pPr>
      <w:r w:rsidRPr="007F6F24">
        <w:rPr>
          <w:rFonts w:ascii="Arial" w:hAnsi="Arial" w:cs="Arial"/>
          <w:b/>
          <w:bCs/>
          <w:sz w:val="23"/>
          <w:szCs w:val="23"/>
        </w:rPr>
        <w:t>Purchasing CGM privately  </w:t>
      </w:r>
    </w:p>
    <w:p w14:paraId="448EA127" w14:textId="77777777" w:rsidR="007F6F24" w:rsidRPr="007F6F24" w:rsidRDefault="007F6F24" w:rsidP="007F6F24">
      <w:pPr>
        <w:rPr>
          <w:rFonts w:ascii="Arial" w:hAnsi="Arial" w:cs="Arial"/>
          <w:sz w:val="23"/>
          <w:szCs w:val="23"/>
        </w:rPr>
      </w:pPr>
      <w:r w:rsidRPr="007F6F24">
        <w:rPr>
          <w:rFonts w:ascii="Arial" w:hAnsi="Arial" w:cs="Arial"/>
          <w:sz w:val="23"/>
          <w:szCs w:val="23"/>
        </w:rPr>
        <w:t>CGM prices in appendix 1 relate to prices to the NHS. Patients may wish to purchase CGM from a pharmacy on a private basis. The private purchase price of CGM will vary between different pharmacies and may include VAT. Where patients have diabetes, they might not have to pay VAT. VAT exemption needs to be discussed with the relevant pharmacy where the patient is purchasing the CGM and may be only claimed at the time of purchase. The diabetes UK website contains information that patients may find helpful in relation to </w:t>
      </w:r>
      <w:hyperlink r:id="rId8" w:history="1">
        <w:r w:rsidRPr="007F6F24">
          <w:rPr>
            <w:rStyle w:val="Hyperlink"/>
            <w:rFonts w:ascii="Arial" w:hAnsi="Arial" w:cs="Arial"/>
            <w:sz w:val="23"/>
            <w:szCs w:val="23"/>
          </w:rPr>
          <w:t>VAT Exemption for People with Diabetes</w:t>
        </w:r>
      </w:hyperlink>
      <w:r w:rsidRPr="007F6F24">
        <w:rPr>
          <w:rFonts w:ascii="Arial" w:hAnsi="Arial" w:cs="Arial"/>
          <w:sz w:val="23"/>
          <w:szCs w:val="23"/>
        </w:rPr>
        <w:t>. </w:t>
      </w:r>
    </w:p>
    <w:p w14:paraId="2EC9360D" w14:textId="77777777" w:rsidR="007F6F24" w:rsidRPr="007F6F24" w:rsidRDefault="007F6F24" w:rsidP="007F6F24">
      <w:pPr>
        <w:rPr>
          <w:rFonts w:ascii="Arial" w:hAnsi="Arial" w:cs="Arial"/>
          <w:sz w:val="23"/>
          <w:szCs w:val="23"/>
        </w:rPr>
      </w:pPr>
      <w:r w:rsidRPr="007F6F24">
        <w:rPr>
          <w:rFonts w:ascii="Arial" w:hAnsi="Arial" w:cs="Arial"/>
          <w:sz w:val="23"/>
          <w:szCs w:val="23"/>
        </w:rPr>
        <w:t> </w:t>
      </w:r>
    </w:p>
    <w:p w14:paraId="782B653D" w14:textId="77777777" w:rsidR="007F6F24" w:rsidRPr="007F6F24" w:rsidRDefault="007F6F24" w:rsidP="007F6F24">
      <w:pPr>
        <w:rPr>
          <w:rFonts w:ascii="Arial" w:hAnsi="Arial" w:cs="Arial"/>
          <w:sz w:val="23"/>
          <w:szCs w:val="23"/>
        </w:rPr>
      </w:pPr>
      <w:r w:rsidRPr="007F6F24">
        <w:rPr>
          <w:rFonts w:ascii="Arial" w:hAnsi="Arial" w:cs="Arial"/>
          <w:b/>
          <w:bCs/>
          <w:sz w:val="23"/>
          <w:szCs w:val="23"/>
          <w:u w:val="single"/>
        </w:rPr>
        <w:t>Eligibility for high-cost CGM</w:t>
      </w:r>
    </w:p>
    <w:p w14:paraId="33D7D12B" w14:textId="77777777" w:rsidR="007F6F24" w:rsidRPr="007F6F24" w:rsidRDefault="007F6F24" w:rsidP="007F6F24">
      <w:pPr>
        <w:rPr>
          <w:rFonts w:ascii="Arial" w:hAnsi="Arial" w:cs="Arial"/>
          <w:sz w:val="23"/>
          <w:szCs w:val="23"/>
        </w:rPr>
      </w:pPr>
      <w:r w:rsidRPr="007F6F24">
        <w:rPr>
          <w:rFonts w:ascii="Arial" w:hAnsi="Arial" w:cs="Arial"/>
          <w:sz w:val="23"/>
          <w:szCs w:val="23"/>
        </w:rPr>
        <w:t>Some patients will require additional functionality that is only available on high-cost CGM devices. To ensure the most cost-effective, clinically appropriate device is chosen, patients requiring a high-cost CGM device must meet both the eligibility criteria above for CGM and the criteria for the relevant high-cost CGM device.</w:t>
      </w:r>
    </w:p>
    <w:p w14:paraId="798029C5" w14:textId="77777777" w:rsidR="007F6F24" w:rsidRPr="007F6F24" w:rsidRDefault="007F6F24" w:rsidP="007F6F24">
      <w:pPr>
        <w:rPr>
          <w:rFonts w:ascii="Arial" w:hAnsi="Arial" w:cs="Arial"/>
          <w:sz w:val="23"/>
          <w:szCs w:val="23"/>
        </w:rPr>
      </w:pPr>
      <w:r w:rsidRPr="007F6F24">
        <w:rPr>
          <w:rFonts w:ascii="Arial" w:hAnsi="Arial" w:cs="Arial"/>
          <w:sz w:val="23"/>
          <w:szCs w:val="23"/>
        </w:rPr>
        <w:t>After funding for high-cost CGM has been approved, if a patient’s circumstances change such that they are no longer eligible for a high-cost device, they should be switched to a low-cost device at the earliest opportunity, rather than at the end of the approved funding period. </w:t>
      </w:r>
    </w:p>
    <w:p w14:paraId="44CF71E3" w14:textId="77777777" w:rsidR="007F6F24" w:rsidRPr="007F6F24" w:rsidRDefault="007F6F24" w:rsidP="007F6F24">
      <w:pPr>
        <w:rPr>
          <w:rFonts w:ascii="Arial" w:hAnsi="Arial" w:cs="Arial"/>
          <w:sz w:val="23"/>
          <w:szCs w:val="23"/>
        </w:rPr>
      </w:pPr>
      <w:r w:rsidRPr="007F6F24">
        <w:rPr>
          <w:rFonts w:ascii="Arial" w:hAnsi="Arial" w:cs="Arial"/>
          <w:sz w:val="23"/>
          <w:szCs w:val="23"/>
        </w:rPr>
        <w:t>The following criteria are based on the additional functionality and cost of each device (see appendix2).  </w:t>
      </w:r>
      <w:r w:rsidRPr="007F6F24">
        <w:rPr>
          <w:rFonts w:ascii="Arial" w:hAnsi="Arial" w:cs="Arial"/>
          <w:sz w:val="23"/>
          <w:szCs w:val="23"/>
        </w:rPr>
        <w:br/>
      </w:r>
      <w:r w:rsidRPr="007F6F24">
        <w:rPr>
          <w:rFonts w:ascii="Arial" w:hAnsi="Arial" w:cs="Arial"/>
          <w:sz w:val="23"/>
          <w:szCs w:val="23"/>
        </w:rPr>
        <w:br/>
      </w:r>
      <w:proofErr w:type="spellStart"/>
      <w:r w:rsidRPr="007F6F24">
        <w:rPr>
          <w:rFonts w:ascii="Arial" w:hAnsi="Arial" w:cs="Arial"/>
          <w:b/>
          <w:bCs/>
          <w:sz w:val="23"/>
          <w:szCs w:val="23"/>
        </w:rPr>
        <w:t>FreeStyle</w:t>
      </w:r>
      <w:proofErr w:type="spellEnd"/>
      <w:r w:rsidRPr="007F6F24">
        <w:rPr>
          <w:rFonts w:ascii="Arial" w:hAnsi="Arial" w:cs="Arial"/>
          <w:b/>
          <w:bCs/>
          <w:sz w:val="23"/>
          <w:szCs w:val="23"/>
        </w:rPr>
        <w:t xml:space="preserve"> Libre 3 plus</w:t>
      </w:r>
    </w:p>
    <w:p w14:paraId="6550ED1A" w14:textId="77777777" w:rsidR="007F6F24" w:rsidRPr="007F6F24" w:rsidRDefault="007F6F24" w:rsidP="007F6F24">
      <w:pPr>
        <w:rPr>
          <w:rFonts w:ascii="Arial" w:hAnsi="Arial" w:cs="Arial"/>
          <w:sz w:val="23"/>
          <w:szCs w:val="23"/>
        </w:rPr>
      </w:pPr>
      <w:r w:rsidRPr="007F6F24">
        <w:rPr>
          <w:rFonts w:ascii="Arial" w:hAnsi="Arial" w:cs="Arial"/>
          <w:b/>
          <w:bCs/>
          <w:sz w:val="23"/>
          <w:szCs w:val="23"/>
        </w:rPr>
        <w:t xml:space="preserve">The </w:t>
      </w:r>
      <w:proofErr w:type="spellStart"/>
      <w:r w:rsidRPr="007F6F24">
        <w:rPr>
          <w:rFonts w:ascii="Arial" w:hAnsi="Arial" w:cs="Arial"/>
          <w:b/>
          <w:bCs/>
          <w:sz w:val="23"/>
          <w:szCs w:val="23"/>
        </w:rPr>
        <w:t>FreeStyle</w:t>
      </w:r>
      <w:proofErr w:type="spellEnd"/>
      <w:r w:rsidRPr="007F6F24">
        <w:rPr>
          <w:rFonts w:ascii="Arial" w:hAnsi="Arial" w:cs="Arial"/>
          <w:b/>
          <w:bCs/>
          <w:sz w:val="23"/>
          <w:szCs w:val="23"/>
        </w:rPr>
        <w:t xml:space="preserve"> Libre 3 plus is the least expensive of the formulary high-cost devices. It can be used as a standalone CGM with optional high/low glucose alarms and a mandatory urgent low alarm </w:t>
      </w:r>
      <w:proofErr w:type="gramStart"/>
      <w:r w:rsidRPr="007F6F24">
        <w:rPr>
          <w:rFonts w:ascii="Arial" w:hAnsi="Arial" w:cs="Arial"/>
          <w:b/>
          <w:bCs/>
          <w:sz w:val="23"/>
          <w:szCs w:val="23"/>
        </w:rPr>
        <w:t>and also</w:t>
      </w:r>
      <w:proofErr w:type="gramEnd"/>
      <w:r w:rsidRPr="007F6F24">
        <w:rPr>
          <w:rFonts w:ascii="Arial" w:hAnsi="Arial" w:cs="Arial"/>
          <w:b/>
          <w:bCs/>
          <w:sz w:val="23"/>
          <w:szCs w:val="23"/>
        </w:rPr>
        <w:t xml:space="preserve"> has data sharing capability It can be linked with a compatible insulin pump to create a hybrid closed loop system.</w:t>
      </w:r>
    </w:p>
    <w:p w14:paraId="79CF96AA" w14:textId="77777777" w:rsidR="007F6F24" w:rsidRDefault="007F6F24" w:rsidP="007F6F24">
      <w:pPr>
        <w:rPr>
          <w:rFonts w:ascii="Arial" w:hAnsi="Arial" w:cs="Arial"/>
          <w:b/>
          <w:bCs/>
          <w:sz w:val="23"/>
          <w:szCs w:val="23"/>
        </w:rPr>
      </w:pPr>
    </w:p>
    <w:p w14:paraId="6CA4DDE7" w14:textId="2E1514E6" w:rsidR="007F6F24" w:rsidRPr="007F6F24" w:rsidRDefault="007F6F24" w:rsidP="007F6F24">
      <w:pPr>
        <w:rPr>
          <w:rFonts w:ascii="Arial" w:hAnsi="Arial" w:cs="Arial"/>
          <w:sz w:val="23"/>
          <w:szCs w:val="23"/>
        </w:rPr>
      </w:pPr>
      <w:r w:rsidRPr="007F6F24">
        <w:rPr>
          <w:rFonts w:ascii="Arial" w:hAnsi="Arial" w:cs="Arial"/>
          <w:b/>
          <w:bCs/>
          <w:sz w:val="23"/>
          <w:szCs w:val="23"/>
        </w:rPr>
        <w:t>Criteria: One of the following must apply</w:t>
      </w:r>
    </w:p>
    <w:p w14:paraId="0BE1D07F"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 For use in children aged 2+ who have tried low cost FSL2/ FSL2 plus and Dexcom One / Dexcom One </w:t>
      </w:r>
      <w:proofErr w:type="gramStart"/>
      <w:r w:rsidRPr="007F6F24">
        <w:rPr>
          <w:rFonts w:ascii="Arial" w:hAnsi="Arial" w:cs="Arial"/>
          <w:sz w:val="23"/>
          <w:szCs w:val="23"/>
        </w:rPr>
        <w:t>Plus, but</w:t>
      </w:r>
      <w:proofErr w:type="gramEnd"/>
      <w:r w:rsidRPr="007F6F24">
        <w:rPr>
          <w:rFonts w:ascii="Arial" w:hAnsi="Arial" w:cs="Arial"/>
          <w:sz w:val="23"/>
          <w:szCs w:val="23"/>
        </w:rPr>
        <w:t xml:space="preserve"> are unable to wear the sensors due to the size and require a smaller sensor. Evidence must be provided.</w:t>
      </w:r>
    </w:p>
    <w:p w14:paraId="71084910"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 Eligible for a hybrid closed loop system and where currently using or about to start a compatible </w:t>
      </w:r>
      <w:proofErr w:type="spellStart"/>
      <w:r w:rsidRPr="007F6F24">
        <w:rPr>
          <w:rFonts w:ascii="Arial" w:hAnsi="Arial" w:cs="Arial"/>
          <w:sz w:val="23"/>
          <w:szCs w:val="23"/>
        </w:rPr>
        <w:t>YPSOmed</w:t>
      </w:r>
      <w:proofErr w:type="spellEnd"/>
      <w:r w:rsidRPr="007F6F24">
        <w:rPr>
          <w:rFonts w:ascii="Arial" w:hAnsi="Arial" w:cs="Arial"/>
          <w:sz w:val="23"/>
          <w:szCs w:val="23"/>
        </w:rPr>
        <w:t xml:space="preserve"> pump with </w:t>
      </w:r>
      <w:proofErr w:type="spellStart"/>
      <w:r w:rsidRPr="007F6F24">
        <w:rPr>
          <w:rFonts w:ascii="Arial" w:hAnsi="Arial" w:cs="Arial"/>
          <w:sz w:val="23"/>
          <w:szCs w:val="23"/>
        </w:rPr>
        <w:t>CamAPS</w:t>
      </w:r>
      <w:proofErr w:type="spellEnd"/>
      <w:r w:rsidRPr="007F6F24">
        <w:rPr>
          <w:rFonts w:ascii="Arial" w:hAnsi="Arial" w:cs="Arial"/>
          <w:sz w:val="23"/>
          <w:szCs w:val="23"/>
        </w:rPr>
        <w:t>.</w:t>
      </w:r>
    </w:p>
    <w:p w14:paraId="65E7DC1A"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Initiation of </w:t>
      </w:r>
      <w:proofErr w:type="spellStart"/>
      <w:r w:rsidRPr="007F6F24">
        <w:rPr>
          <w:rFonts w:ascii="Arial" w:hAnsi="Arial" w:cs="Arial"/>
          <w:sz w:val="23"/>
          <w:szCs w:val="23"/>
        </w:rPr>
        <w:t>FreeStyle</w:t>
      </w:r>
      <w:proofErr w:type="spellEnd"/>
      <w:r w:rsidRPr="007F6F24">
        <w:rPr>
          <w:rFonts w:ascii="Arial" w:hAnsi="Arial" w:cs="Arial"/>
          <w:sz w:val="23"/>
          <w:szCs w:val="23"/>
        </w:rPr>
        <w:t xml:space="preserve"> Libre 3 plus is via specialist diabetes teams only. Applications should be made by the specialist teams via the </w:t>
      </w:r>
      <w:proofErr w:type="spellStart"/>
      <w:r w:rsidRPr="007F6F24">
        <w:rPr>
          <w:rFonts w:ascii="Arial" w:hAnsi="Arial" w:cs="Arial"/>
          <w:sz w:val="23"/>
          <w:szCs w:val="23"/>
        </w:rPr>
        <w:t>Blueteq</w:t>
      </w:r>
      <w:proofErr w:type="spellEnd"/>
      <w:r w:rsidRPr="007F6F24">
        <w:rPr>
          <w:rFonts w:ascii="Arial" w:hAnsi="Arial" w:cs="Arial"/>
          <w:sz w:val="23"/>
          <w:szCs w:val="23"/>
        </w:rPr>
        <w:t xml:space="preserve"> drug management system. An initial supply of 28 days will be supplied by the specialist teams. Primary care can be requested to take up on-going prescribing after initiation. The devices can be prescribed via FP10.</w:t>
      </w:r>
    </w:p>
    <w:p w14:paraId="7D247263" w14:textId="77777777" w:rsidR="007F6F24" w:rsidRDefault="007F6F24" w:rsidP="007F6F24">
      <w:pPr>
        <w:rPr>
          <w:rFonts w:ascii="Arial" w:hAnsi="Arial" w:cs="Arial"/>
          <w:b/>
          <w:bCs/>
          <w:sz w:val="23"/>
          <w:szCs w:val="23"/>
          <w:u w:val="single"/>
        </w:rPr>
      </w:pPr>
    </w:p>
    <w:p w14:paraId="0AF3C3DD" w14:textId="2BD3F32B" w:rsidR="007F6F24" w:rsidRPr="007F6F24" w:rsidRDefault="007F6F24" w:rsidP="007F6F24">
      <w:pPr>
        <w:rPr>
          <w:rFonts w:ascii="Arial" w:hAnsi="Arial" w:cs="Arial"/>
          <w:sz w:val="23"/>
          <w:szCs w:val="23"/>
        </w:rPr>
      </w:pPr>
      <w:r w:rsidRPr="007F6F24">
        <w:rPr>
          <w:rFonts w:ascii="Arial" w:hAnsi="Arial" w:cs="Arial"/>
          <w:b/>
          <w:bCs/>
          <w:sz w:val="23"/>
          <w:szCs w:val="23"/>
          <w:u w:val="single"/>
        </w:rPr>
        <w:t>Information for Primary Care</w:t>
      </w:r>
    </w:p>
    <w:p w14:paraId="44ADB6C6" w14:textId="77777777" w:rsidR="007F6F24" w:rsidRPr="007F6F24" w:rsidRDefault="007F6F24" w:rsidP="007F6F24">
      <w:pPr>
        <w:numPr>
          <w:ilvl w:val="0"/>
          <w:numId w:val="5"/>
        </w:numPr>
        <w:rPr>
          <w:rFonts w:ascii="Arial" w:hAnsi="Arial" w:cs="Arial"/>
          <w:sz w:val="23"/>
          <w:szCs w:val="23"/>
        </w:rPr>
      </w:pPr>
      <w:r w:rsidRPr="007F6F24">
        <w:rPr>
          <w:rFonts w:ascii="Arial" w:hAnsi="Arial" w:cs="Arial"/>
          <w:b/>
          <w:bCs/>
          <w:sz w:val="23"/>
          <w:szCs w:val="23"/>
        </w:rPr>
        <w:t>Upgrading from Freestyle Libre 3 to Freestyle Libre 3 Plus </w:t>
      </w:r>
      <w:r w:rsidRPr="007F6F24">
        <w:rPr>
          <w:rFonts w:ascii="Arial" w:hAnsi="Arial" w:cs="Arial"/>
          <w:sz w:val="23"/>
          <w:szCs w:val="23"/>
        </w:rPr>
        <w:t> </w:t>
      </w:r>
    </w:p>
    <w:p w14:paraId="57499A54" w14:textId="77777777" w:rsidR="007F6F24" w:rsidRDefault="007F6F24" w:rsidP="007F6F24">
      <w:pPr>
        <w:rPr>
          <w:rFonts w:ascii="Arial" w:hAnsi="Arial" w:cs="Arial"/>
          <w:sz w:val="23"/>
          <w:szCs w:val="23"/>
        </w:rPr>
      </w:pPr>
      <w:r w:rsidRPr="007F6F24">
        <w:rPr>
          <w:rFonts w:ascii="Arial" w:hAnsi="Arial" w:cs="Arial"/>
          <w:sz w:val="23"/>
          <w:szCs w:val="23"/>
        </w:rPr>
        <w:t>All existing users of Freestyle Libre 3 will require upgrade to Freestyle Libre 3 Plus. Secondary care is responsible for identifying and upgrading patients. </w:t>
      </w:r>
    </w:p>
    <w:p w14:paraId="32E85A1E" w14:textId="77777777" w:rsidR="00766686" w:rsidRPr="007F6F24" w:rsidRDefault="00766686" w:rsidP="007F6F24">
      <w:pPr>
        <w:rPr>
          <w:rFonts w:ascii="Arial" w:hAnsi="Arial" w:cs="Arial"/>
          <w:sz w:val="23"/>
          <w:szCs w:val="23"/>
        </w:rPr>
      </w:pPr>
    </w:p>
    <w:p w14:paraId="3DB25E89" w14:textId="77777777" w:rsidR="007F6F24" w:rsidRPr="007F6F24" w:rsidRDefault="007F6F24" w:rsidP="007F6F24">
      <w:pPr>
        <w:rPr>
          <w:rFonts w:ascii="Arial" w:hAnsi="Arial" w:cs="Arial"/>
          <w:sz w:val="23"/>
          <w:szCs w:val="23"/>
        </w:rPr>
      </w:pPr>
      <w:r w:rsidRPr="007F6F24">
        <w:rPr>
          <w:rFonts w:ascii="Arial" w:hAnsi="Arial" w:cs="Arial"/>
          <w:sz w:val="23"/>
          <w:szCs w:val="23"/>
        </w:rPr>
        <w:lastRenderedPageBreak/>
        <w:br/>
      </w:r>
      <w:proofErr w:type="spellStart"/>
      <w:r w:rsidRPr="007F6F24">
        <w:rPr>
          <w:rFonts w:ascii="Arial" w:hAnsi="Arial" w:cs="Arial"/>
          <w:b/>
          <w:bCs/>
          <w:sz w:val="23"/>
          <w:szCs w:val="23"/>
        </w:rPr>
        <w:t>FreeStyle</w:t>
      </w:r>
      <w:proofErr w:type="spellEnd"/>
      <w:r w:rsidRPr="007F6F24">
        <w:rPr>
          <w:rFonts w:ascii="Arial" w:hAnsi="Arial" w:cs="Arial"/>
          <w:b/>
          <w:bCs/>
          <w:sz w:val="23"/>
          <w:szCs w:val="23"/>
        </w:rPr>
        <w:t xml:space="preserve"> Libre 3 plus</w:t>
      </w:r>
    </w:p>
    <w:p w14:paraId="7EE17553"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The Freestyle Libre 3 plus is an upgrade to the Freestyle Libre 3. The Libre 3 app and the libre 3 reader work with the new sensor, no app updates or change of reader are required. It continues to allow data sharing. The sensors have </w:t>
      </w:r>
      <w:proofErr w:type="gramStart"/>
      <w:r w:rsidRPr="007F6F24">
        <w:rPr>
          <w:rFonts w:ascii="Arial" w:hAnsi="Arial" w:cs="Arial"/>
          <w:sz w:val="23"/>
          <w:szCs w:val="23"/>
        </w:rPr>
        <w:t>15 day</w:t>
      </w:r>
      <w:proofErr w:type="gramEnd"/>
      <w:r w:rsidRPr="007F6F24">
        <w:rPr>
          <w:rFonts w:ascii="Arial" w:hAnsi="Arial" w:cs="Arial"/>
          <w:sz w:val="23"/>
          <w:szCs w:val="23"/>
        </w:rPr>
        <w:t xml:space="preserve"> wear (opposed to 14) and has an expanded age indication of 2 years and older.</w:t>
      </w:r>
    </w:p>
    <w:p w14:paraId="4DFDA078" w14:textId="77777777" w:rsidR="007F6F24" w:rsidRDefault="007F6F24" w:rsidP="007F6F24">
      <w:pPr>
        <w:rPr>
          <w:rFonts w:ascii="Arial" w:hAnsi="Arial" w:cs="Arial"/>
          <w:b/>
          <w:bCs/>
          <w:sz w:val="23"/>
          <w:szCs w:val="23"/>
        </w:rPr>
      </w:pPr>
    </w:p>
    <w:p w14:paraId="2A5EDCE7" w14:textId="7A4541E3" w:rsidR="007F6F24" w:rsidRPr="007F6F24" w:rsidRDefault="007F6F24" w:rsidP="007F6F24">
      <w:pPr>
        <w:rPr>
          <w:rFonts w:ascii="Arial" w:hAnsi="Arial" w:cs="Arial"/>
          <w:sz w:val="23"/>
          <w:szCs w:val="23"/>
        </w:rPr>
      </w:pPr>
      <w:r w:rsidRPr="007F6F24">
        <w:rPr>
          <w:rFonts w:ascii="Arial" w:hAnsi="Arial" w:cs="Arial"/>
          <w:b/>
          <w:bCs/>
          <w:sz w:val="23"/>
          <w:szCs w:val="23"/>
        </w:rPr>
        <w:t>Dexcom G7</w:t>
      </w:r>
    </w:p>
    <w:p w14:paraId="144D4530" w14:textId="77777777" w:rsidR="007F6F24" w:rsidRPr="007F6F24" w:rsidRDefault="007F6F24" w:rsidP="007F6F24">
      <w:pPr>
        <w:rPr>
          <w:rFonts w:ascii="Arial" w:hAnsi="Arial" w:cs="Arial"/>
          <w:sz w:val="23"/>
          <w:szCs w:val="23"/>
        </w:rPr>
      </w:pPr>
      <w:r w:rsidRPr="007F6F24">
        <w:rPr>
          <w:rFonts w:ascii="Arial" w:hAnsi="Arial" w:cs="Arial"/>
          <w:sz w:val="23"/>
          <w:szCs w:val="23"/>
        </w:rPr>
        <w:t>In addition to the functionality of the low-cost CGM devices and Free Style Libre 3 plus, the Dexcom G7 has predictive alerts, which warn the wearer that they will be hypoglycaemic soon. These allow more time to act to prevent or self-treat hypoglycaemia. Like the Dexcom ONE plus, the G7 is able to do repeat hypoglycaemia alerts (e.g. if hypoglycaemia continues after the initial alert or reoccurs within 15 mins</w:t>
      </w:r>
      <w:proofErr w:type="gramStart"/>
      <w:r w:rsidRPr="007F6F24">
        <w:rPr>
          <w:rFonts w:ascii="Arial" w:hAnsi="Arial" w:cs="Arial"/>
          <w:sz w:val="23"/>
          <w:szCs w:val="23"/>
        </w:rPr>
        <w:t>), and</w:t>
      </w:r>
      <w:proofErr w:type="gramEnd"/>
      <w:r w:rsidRPr="007F6F24">
        <w:rPr>
          <w:rFonts w:ascii="Arial" w:hAnsi="Arial" w:cs="Arial"/>
          <w:sz w:val="23"/>
          <w:szCs w:val="23"/>
        </w:rPr>
        <w:t xml:space="preserve"> is also able to share readings. Dexcom G7 a cost-effective option where predictive alerts are required.  </w:t>
      </w:r>
      <w:bookmarkStart w:id="6" w:name="_Hlk172624202"/>
      <w:bookmarkEnd w:id="6"/>
    </w:p>
    <w:p w14:paraId="73640FE9" w14:textId="77777777" w:rsidR="007F6F24" w:rsidRPr="007F6F24" w:rsidRDefault="007F6F24" w:rsidP="007F6F24">
      <w:pPr>
        <w:rPr>
          <w:rFonts w:ascii="Arial" w:hAnsi="Arial" w:cs="Arial"/>
          <w:sz w:val="23"/>
          <w:szCs w:val="23"/>
        </w:rPr>
      </w:pPr>
      <w:r w:rsidRPr="007F6F24">
        <w:rPr>
          <w:rFonts w:ascii="Arial" w:hAnsi="Arial" w:cs="Arial"/>
          <w:sz w:val="23"/>
          <w:szCs w:val="23"/>
        </w:rPr>
        <w:t>Criteria: </w:t>
      </w:r>
    </w:p>
    <w:p w14:paraId="60C356CD" w14:textId="77777777" w:rsidR="007F6F24" w:rsidRPr="007F6F24" w:rsidRDefault="007F6F24" w:rsidP="007F6F24">
      <w:pPr>
        <w:rPr>
          <w:rFonts w:ascii="Arial" w:hAnsi="Arial" w:cs="Arial"/>
          <w:sz w:val="23"/>
          <w:szCs w:val="23"/>
        </w:rPr>
      </w:pPr>
      <w:r w:rsidRPr="007F6F24">
        <w:rPr>
          <w:rFonts w:ascii="Arial" w:hAnsi="Arial" w:cs="Arial"/>
          <w:sz w:val="23"/>
          <w:szCs w:val="23"/>
        </w:rPr>
        <w:t>- Have tried low cost real-time CGM</w:t>
      </w:r>
      <w:r w:rsidRPr="007F6F24">
        <w:rPr>
          <w:rFonts w:ascii="Arial" w:hAnsi="Arial" w:cs="Arial"/>
          <w:sz w:val="23"/>
          <w:szCs w:val="23"/>
        </w:rPr>
        <w:br/>
        <w:t>AND</w:t>
      </w:r>
      <w:r w:rsidRPr="007F6F24">
        <w:rPr>
          <w:rFonts w:ascii="Arial" w:hAnsi="Arial" w:cs="Arial"/>
          <w:sz w:val="23"/>
          <w:szCs w:val="23"/>
        </w:rPr>
        <w:br/>
        <w:t>- Require predictive alerts due to at least one of the following whilst on low cost real-time CGM: </w:t>
      </w:r>
    </w:p>
    <w:p w14:paraId="40E5EBBC" w14:textId="77777777" w:rsidR="007F6F24" w:rsidRPr="007F6F24" w:rsidRDefault="007F6F24" w:rsidP="007F6F24">
      <w:pPr>
        <w:numPr>
          <w:ilvl w:val="2"/>
          <w:numId w:val="6"/>
        </w:numPr>
        <w:rPr>
          <w:rFonts w:ascii="Arial" w:hAnsi="Arial" w:cs="Arial"/>
          <w:sz w:val="23"/>
          <w:szCs w:val="23"/>
        </w:rPr>
      </w:pPr>
      <w:r w:rsidRPr="007F6F24">
        <w:rPr>
          <w:rFonts w:ascii="Arial" w:hAnsi="Arial" w:cs="Arial"/>
          <w:sz w:val="23"/>
          <w:szCs w:val="23"/>
        </w:rPr>
        <w:t>More than 1 episode in a year of severe hypoglycaemia (i.e. requiring 3rd party assistance) with no obviously preventable precipitating cause</w:t>
      </w:r>
      <w:r w:rsidRPr="007F6F24">
        <w:rPr>
          <w:rFonts w:ascii="Arial" w:hAnsi="Arial" w:cs="Arial"/>
          <w:sz w:val="23"/>
          <w:szCs w:val="23"/>
        </w:rPr>
        <w:br/>
        <w:t>OR</w:t>
      </w:r>
    </w:p>
    <w:p w14:paraId="4F916F67" w14:textId="77777777" w:rsidR="007F6F24" w:rsidRPr="007F6F24" w:rsidRDefault="007F6F24" w:rsidP="007F6F24">
      <w:pPr>
        <w:numPr>
          <w:ilvl w:val="2"/>
          <w:numId w:val="6"/>
        </w:numPr>
        <w:rPr>
          <w:rFonts w:ascii="Arial" w:hAnsi="Arial" w:cs="Arial"/>
          <w:sz w:val="23"/>
          <w:szCs w:val="23"/>
        </w:rPr>
      </w:pPr>
      <w:r w:rsidRPr="007F6F24">
        <w:rPr>
          <w:rFonts w:ascii="Arial" w:hAnsi="Arial" w:cs="Arial"/>
          <w:sz w:val="23"/>
          <w:szCs w:val="23"/>
        </w:rPr>
        <w:t>Frequent (more than 2 episodes a week) asymptomatic hypoglycaemia that is causing problems with daily activities.</w:t>
      </w:r>
      <w:r w:rsidRPr="007F6F24">
        <w:rPr>
          <w:rFonts w:ascii="Arial" w:hAnsi="Arial" w:cs="Arial"/>
          <w:sz w:val="23"/>
          <w:szCs w:val="23"/>
        </w:rPr>
        <w:br/>
        <w:t>OR</w:t>
      </w:r>
    </w:p>
    <w:p w14:paraId="196B8FAC" w14:textId="77777777" w:rsidR="007F6F24" w:rsidRPr="007F6F24" w:rsidRDefault="007F6F24" w:rsidP="007F6F24">
      <w:pPr>
        <w:numPr>
          <w:ilvl w:val="2"/>
          <w:numId w:val="6"/>
        </w:numPr>
        <w:rPr>
          <w:rFonts w:ascii="Arial" w:hAnsi="Arial" w:cs="Arial"/>
          <w:sz w:val="23"/>
          <w:szCs w:val="23"/>
        </w:rPr>
      </w:pPr>
      <w:r w:rsidRPr="007F6F24">
        <w:rPr>
          <w:rFonts w:ascii="Arial" w:hAnsi="Arial" w:cs="Arial"/>
          <w:sz w:val="23"/>
          <w:szCs w:val="23"/>
        </w:rPr>
        <w:t>Extreme fear of hypoglycaemia that persists despite 6 months of low cost real-time CGM.</w:t>
      </w:r>
    </w:p>
    <w:p w14:paraId="4E737760" w14:textId="77777777" w:rsidR="007F6F24" w:rsidRPr="007F6F24" w:rsidRDefault="007F6F24" w:rsidP="007F6F24">
      <w:pPr>
        <w:rPr>
          <w:rFonts w:ascii="Arial" w:hAnsi="Arial" w:cs="Arial"/>
          <w:sz w:val="23"/>
          <w:szCs w:val="23"/>
        </w:rPr>
      </w:pPr>
      <w:r w:rsidRPr="007F6F24">
        <w:rPr>
          <w:rFonts w:ascii="Arial" w:hAnsi="Arial" w:cs="Arial"/>
          <w:b/>
          <w:bCs/>
          <w:sz w:val="23"/>
          <w:szCs w:val="23"/>
        </w:rPr>
        <w:t>Dexcom G6</w:t>
      </w:r>
      <w:r w:rsidRPr="007F6F24">
        <w:rPr>
          <w:rFonts w:ascii="Arial" w:hAnsi="Arial" w:cs="Arial"/>
          <w:b/>
          <w:bCs/>
          <w:sz w:val="23"/>
          <w:szCs w:val="23"/>
        </w:rPr>
        <w:br/>
      </w:r>
      <w:r w:rsidRPr="007F6F24">
        <w:rPr>
          <w:rFonts w:ascii="Arial" w:hAnsi="Arial" w:cs="Arial"/>
          <w:b/>
          <w:bCs/>
          <w:sz w:val="23"/>
          <w:szCs w:val="23"/>
        </w:rPr>
        <w:br/>
      </w:r>
      <w:r w:rsidRPr="007F6F24">
        <w:rPr>
          <w:rFonts w:ascii="Arial" w:hAnsi="Arial" w:cs="Arial"/>
          <w:sz w:val="23"/>
          <w:szCs w:val="23"/>
        </w:rPr>
        <w:t>Used with a compatible pump, the G6 can form a hybrid closed loop (HCL) or predictive low-glucose suspend (PLGS) sensor-augmented pump</w:t>
      </w:r>
    </w:p>
    <w:p w14:paraId="3EB77910" w14:textId="77777777" w:rsidR="007F6F24" w:rsidRPr="007F6F24" w:rsidRDefault="007F6F24" w:rsidP="007F6F24">
      <w:pPr>
        <w:rPr>
          <w:rFonts w:ascii="Arial" w:hAnsi="Arial" w:cs="Arial"/>
          <w:sz w:val="23"/>
          <w:szCs w:val="23"/>
        </w:rPr>
      </w:pPr>
      <w:r w:rsidRPr="007F6F24">
        <w:rPr>
          <w:rFonts w:ascii="Arial" w:hAnsi="Arial" w:cs="Arial"/>
          <w:sz w:val="23"/>
          <w:szCs w:val="23"/>
        </w:rPr>
        <w:t>Criteria:</w:t>
      </w:r>
    </w:p>
    <w:p w14:paraId="1FAC36D4" w14:textId="77777777" w:rsidR="007F6F24" w:rsidRPr="007F6F24" w:rsidRDefault="007F6F24" w:rsidP="007F6F24">
      <w:pPr>
        <w:rPr>
          <w:rFonts w:ascii="Arial" w:hAnsi="Arial" w:cs="Arial"/>
          <w:sz w:val="23"/>
          <w:szCs w:val="23"/>
        </w:rPr>
      </w:pPr>
      <w:r w:rsidRPr="007F6F24">
        <w:rPr>
          <w:rFonts w:ascii="Arial" w:hAnsi="Arial" w:cs="Arial"/>
          <w:sz w:val="23"/>
          <w:szCs w:val="23"/>
        </w:rPr>
        <w:t>- Using an insulin pump which requires the G6 to create a hybrid closed loop (HCL) or predictive low-glucose suspend (PLGS) sensor-augmented pump.</w:t>
      </w:r>
      <w:r w:rsidRPr="007F6F24">
        <w:rPr>
          <w:rFonts w:ascii="Arial" w:hAnsi="Arial" w:cs="Arial"/>
          <w:sz w:val="23"/>
          <w:szCs w:val="23"/>
        </w:rPr>
        <w:br/>
        <w:t>OR</w:t>
      </w:r>
      <w:r w:rsidRPr="007F6F24">
        <w:rPr>
          <w:rFonts w:ascii="Arial" w:hAnsi="Arial" w:cs="Arial"/>
          <w:sz w:val="23"/>
          <w:szCs w:val="23"/>
        </w:rPr>
        <w:br/>
        <w:t>- Currently eligible for an insulin pump and intend to start pump therapy with a compatible pump within the next 3-6 months.</w:t>
      </w:r>
    </w:p>
    <w:p w14:paraId="2CC01897" w14:textId="77777777" w:rsidR="007F6F24" w:rsidRPr="007F6F24" w:rsidRDefault="007F6F24" w:rsidP="007F6F24">
      <w:pPr>
        <w:rPr>
          <w:rFonts w:ascii="Arial" w:hAnsi="Arial" w:cs="Arial"/>
          <w:sz w:val="23"/>
          <w:szCs w:val="23"/>
        </w:rPr>
      </w:pPr>
      <w:r w:rsidRPr="007F6F24">
        <w:rPr>
          <w:rFonts w:ascii="Arial" w:hAnsi="Arial" w:cs="Arial"/>
          <w:b/>
          <w:bCs/>
          <w:sz w:val="23"/>
          <w:szCs w:val="23"/>
        </w:rPr>
        <w:t>Medtronic 3 and Medtronic 4</w:t>
      </w:r>
      <w:r w:rsidRPr="007F6F24">
        <w:rPr>
          <w:rFonts w:ascii="Arial" w:hAnsi="Arial" w:cs="Arial"/>
          <w:b/>
          <w:bCs/>
          <w:sz w:val="23"/>
          <w:szCs w:val="23"/>
        </w:rPr>
        <w:br/>
      </w:r>
      <w:r w:rsidRPr="007F6F24">
        <w:rPr>
          <w:rFonts w:ascii="Arial" w:hAnsi="Arial" w:cs="Arial"/>
          <w:sz w:val="23"/>
          <w:szCs w:val="23"/>
        </w:rPr>
        <w:br/>
        <w:t>The Medtronic 3 and 4 are not standalone CGMs and can only be used with the Medtronic pump as part of a low-glucose suspend (LGS) sensor-augmented pump, predictive low-glucose suspend (PLGS) sensor-augmented pump or hybrid closed loop (HCL) system.</w:t>
      </w:r>
    </w:p>
    <w:p w14:paraId="607C2DD3" w14:textId="77777777" w:rsidR="007F6F24" w:rsidRPr="007F6F24" w:rsidRDefault="007F6F24" w:rsidP="007F6F24">
      <w:pPr>
        <w:rPr>
          <w:rFonts w:ascii="Arial" w:hAnsi="Arial" w:cs="Arial"/>
          <w:sz w:val="23"/>
          <w:szCs w:val="23"/>
        </w:rPr>
      </w:pPr>
      <w:r w:rsidRPr="007F6F24">
        <w:rPr>
          <w:rFonts w:ascii="Arial" w:hAnsi="Arial" w:cs="Arial"/>
          <w:sz w:val="23"/>
          <w:szCs w:val="23"/>
        </w:rPr>
        <w:t>Criteria:</w:t>
      </w:r>
    </w:p>
    <w:p w14:paraId="16F6D0BF" w14:textId="77777777" w:rsidR="007F6F24" w:rsidRPr="007F6F24" w:rsidRDefault="007F6F24" w:rsidP="007F6F24">
      <w:pPr>
        <w:rPr>
          <w:rFonts w:ascii="Arial" w:hAnsi="Arial" w:cs="Arial"/>
          <w:sz w:val="23"/>
          <w:szCs w:val="23"/>
        </w:rPr>
      </w:pPr>
      <w:r w:rsidRPr="007F6F24">
        <w:rPr>
          <w:rFonts w:ascii="Arial" w:hAnsi="Arial" w:cs="Arial"/>
          <w:sz w:val="23"/>
          <w:szCs w:val="23"/>
        </w:rPr>
        <w:t>- Currently using or about to start a compatible Medtronic pump.</w:t>
      </w:r>
    </w:p>
    <w:p w14:paraId="2C2D48EC" w14:textId="77777777" w:rsidR="00766686" w:rsidRDefault="00766686" w:rsidP="007F6F24">
      <w:pPr>
        <w:rPr>
          <w:rFonts w:ascii="Arial" w:hAnsi="Arial" w:cs="Arial"/>
          <w:b/>
          <w:bCs/>
          <w:sz w:val="23"/>
          <w:szCs w:val="23"/>
        </w:rPr>
      </w:pPr>
    </w:p>
    <w:p w14:paraId="15B2E1BE" w14:textId="16D6093E" w:rsidR="007F6F24" w:rsidRPr="007F6F24" w:rsidRDefault="007F6F24" w:rsidP="007F6F24">
      <w:pPr>
        <w:rPr>
          <w:rFonts w:ascii="Arial" w:hAnsi="Arial" w:cs="Arial"/>
          <w:sz w:val="23"/>
          <w:szCs w:val="23"/>
        </w:rPr>
      </w:pPr>
      <w:r w:rsidRPr="007F6F24">
        <w:rPr>
          <w:rFonts w:ascii="Arial" w:hAnsi="Arial" w:cs="Arial"/>
          <w:b/>
          <w:bCs/>
          <w:sz w:val="23"/>
          <w:szCs w:val="23"/>
        </w:rPr>
        <w:lastRenderedPageBreak/>
        <w:t>Other indications for high cost CGM</w:t>
      </w:r>
      <w:r w:rsidRPr="007F6F24">
        <w:rPr>
          <w:rFonts w:ascii="Arial" w:hAnsi="Arial" w:cs="Arial"/>
          <w:sz w:val="23"/>
          <w:szCs w:val="23"/>
        </w:rPr>
        <w:br/>
        <w:t>Sleeping through hypoglycaemia alarms is not an indication to switch to a higher-cost CGM. This is because manufacturer specifications do not indicate that higher cost CGM have louder alarms. Differences in smartphone devices may have more impact on alarm volume than the CGM device (and its corresponding app). Patients should be supported to ensure that their smartphone is optimally configured.</w:t>
      </w:r>
    </w:p>
    <w:p w14:paraId="0A8AEBE7" w14:textId="77777777" w:rsidR="007F6F24" w:rsidRPr="007F6F24" w:rsidRDefault="007F6F24" w:rsidP="007F6F24">
      <w:pPr>
        <w:rPr>
          <w:rFonts w:ascii="Arial" w:hAnsi="Arial" w:cs="Arial"/>
          <w:sz w:val="23"/>
          <w:szCs w:val="23"/>
        </w:rPr>
      </w:pPr>
      <w:r w:rsidRPr="007F6F24">
        <w:rPr>
          <w:rFonts w:ascii="Arial" w:hAnsi="Arial" w:cs="Arial"/>
          <w:sz w:val="23"/>
          <w:szCs w:val="23"/>
        </w:rPr>
        <w:t>Funding for higher-cost CGM devices will be considered due to skin reactions to sensor adhesives where there is:</w:t>
      </w:r>
    </w:p>
    <w:p w14:paraId="0E88A109" w14:textId="77777777" w:rsidR="007F6F24" w:rsidRPr="007F6F24" w:rsidRDefault="007F6F24" w:rsidP="007F6F24">
      <w:pPr>
        <w:rPr>
          <w:rFonts w:ascii="Arial" w:hAnsi="Arial" w:cs="Arial"/>
          <w:sz w:val="23"/>
          <w:szCs w:val="23"/>
        </w:rPr>
      </w:pPr>
      <w:r w:rsidRPr="007F6F24">
        <w:rPr>
          <w:rFonts w:ascii="Arial" w:hAnsi="Arial" w:cs="Arial"/>
          <w:sz w:val="23"/>
          <w:szCs w:val="23"/>
        </w:rPr>
        <w:t>- Significant, documented, contact dermatitis in response to sensor adhesives that cannot be managed otherwise (e.g. through use of barrier products)</w:t>
      </w:r>
      <w:r w:rsidRPr="007F6F24">
        <w:rPr>
          <w:rFonts w:ascii="Arial" w:hAnsi="Arial" w:cs="Arial"/>
          <w:sz w:val="23"/>
          <w:szCs w:val="23"/>
        </w:rPr>
        <w:br/>
        <w:t>OR</w:t>
      </w:r>
      <w:r w:rsidRPr="007F6F24">
        <w:rPr>
          <w:rFonts w:ascii="Arial" w:hAnsi="Arial" w:cs="Arial"/>
          <w:sz w:val="23"/>
          <w:szCs w:val="23"/>
        </w:rPr>
        <w:br/>
        <w:t>- Documented allergic reaction to sensor adhesive.</w:t>
      </w:r>
    </w:p>
    <w:p w14:paraId="2A969EE0" w14:textId="77777777" w:rsidR="007F6F24" w:rsidRPr="007F6F24" w:rsidRDefault="007F6F24" w:rsidP="007F6F24">
      <w:pPr>
        <w:rPr>
          <w:rFonts w:ascii="Arial" w:hAnsi="Arial" w:cs="Arial"/>
          <w:sz w:val="23"/>
          <w:szCs w:val="23"/>
        </w:rPr>
      </w:pPr>
      <w:r w:rsidRPr="007F6F24">
        <w:rPr>
          <w:rFonts w:ascii="Arial" w:hAnsi="Arial" w:cs="Arial"/>
          <w:sz w:val="23"/>
          <w:szCs w:val="23"/>
        </w:rPr>
        <w:t>The lowest cost, clinically suitable device should be selected.</w:t>
      </w:r>
    </w:p>
    <w:p w14:paraId="6F59D196" w14:textId="77777777" w:rsidR="007F6F24" w:rsidRPr="007F6F24" w:rsidRDefault="007F6F24" w:rsidP="007F6F24">
      <w:pPr>
        <w:rPr>
          <w:rFonts w:ascii="Arial" w:hAnsi="Arial" w:cs="Arial"/>
          <w:sz w:val="23"/>
          <w:szCs w:val="23"/>
        </w:rPr>
      </w:pPr>
      <w:r w:rsidRPr="007F6F24">
        <w:rPr>
          <w:rFonts w:ascii="Arial" w:hAnsi="Arial" w:cs="Arial"/>
          <w:sz w:val="23"/>
          <w:szCs w:val="23"/>
        </w:rPr>
        <w:t>Indications outside of the criteria listed in this guidance will be considered on an individual basis via the IFR route, with a review of the guidance criteria if relevant additional cohorts are identified.</w:t>
      </w:r>
      <w:r w:rsidRPr="007F6F24">
        <w:rPr>
          <w:rFonts w:ascii="Arial" w:hAnsi="Arial" w:cs="Arial"/>
          <w:sz w:val="23"/>
          <w:szCs w:val="23"/>
        </w:rPr>
        <w:br/>
      </w:r>
    </w:p>
    <w:p w14:paraId="63CA5C01" w14:textId="77777777" w:rsidR="007F6F24" w:rsidRPr="007F6F24" w:rsidRDefault="007F6F24" w:rsidP="007F6F24">
      <w:pPr>
        <w:rPr>
          <w:rFonts w:ascii="Arial" w:hAnsi="Arial" w:cs="Arial"/>
          <w:sz w:val="23"/>
          <w:szCs w:val="23"/>
        </w:rPr>
      </w:pPr>
      <w:r w:rsidRPr="007F6F24">
        <w:rPr>
          <w:rFonts w:ascii="Arial" w:hAnsi="Arial" w:cs="Arial"/>
          <w:b/>
          <w:bCs/>
          <w:sz w:val="23"/>
          <w:szCs w:val="23"/>
        </w:rPr>
        <w:t xml:space="preserve">3. Monitoring </w:t>
      </w:r>
    </w:p>
    <w:p w14:paraId="65387D95"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Diabetes technology is a rapidly changing area. This guidance will be closely monitored and reviewed in response to significant changes, such as the publication of the NICE TA943 on hybrid closed loops (Dec </w:t>
      </w:r>
      <w:proofErr w:type="gramStart"/>
      <w:r w:rsidRPr="007F6F24">
        <w:rPr>
          <w:rFonts w:ascii="Arial" w:hAnsi="Arial" w:cs="Arial"/>
          <w:sz w:val="23"/>
          <w:szCs w:val="23"/>
        </w:rPr>
        <w:t>2023)⁶</w:t>
      </w:r>
      <w:proofErr w:type="gramEnd"/>
      <w:r w:rsidRPr="007F6F24">
        <w:rPr>
          <w:rFonts w:ascii="Arial" w:hAnsi="Arial" w:cs="Arial"/>
          <w:sz w:val="23"/>
          <w:szCs w:val="23"/>
        </w:rPr>
        <w:t xml:space="preserve"> and subsequent ongoing work that is being undertaken by NHSE and NHS supply chain on products that will meet the cost-effectiveness thresholds set in NICE TA943.</w:t>
      </w:r>
    </w:p>
    <w:p w14:paraId="4336BA8F" w14:textId="77777777" w:rsidR="007F6F24" w:rsidRPr="007F6F24" w:rsidRDefault="007F6F24" w:rsidP="007F6F24">
      <w:pPr>
        <w:rPr>
          <w:rFonts w:ascii="Arial" w:hAnsi="Arial" w:cs="Arial"/>
          <w:sz w:val="23"/>
          <w:szCs w:val="23"/>
        </w:rPr>
      </w:pPr>
      <w:r w:rsidRPr="007F6F24">
        <w:rPr>
          <w:rFonts w:ascii="Arial" w:hAnsi="Arial" w:cs="Arial"/>
          <w:sz w:val="23"/>
          <w:szCs w:val="23"/>
        </w:rPr>
        <w:t>Data to be monitored for all patients on CGM, and all patients eligible for CGM who have not taken it up:</w:t>
      </w:r>
    </w:p>
    <w:p w14:paraId="259FDC56" w14:textId="77777777" w:rsidR="007F6F24" w:rsidRPr="007F6F24" w:rsidRDefault="007F6F24" w:rsidP="007F6F24">
      <w:pPr>
        <w:numPr>
          <w:ilvl w:val="0"/>
          <w:numId w:val="7"/>
        </w:numPr>
        <w:rPr>
          <w:rFonts w:ascii="Arial" w:hAnsi="Arial" w:cs="Arial"/>
          <w:sz w:val="23"/>
          <w:szCs w:val="23"/>
        </w:rPr>
      </w:pPr>
      <w:r w:rsidRPr="007F6F24">
        <w:rPr>
          <w:rFonts w:ascii="Arial" w:hAnsi="Arial" w:cs="Arial"/>
          <w:sz w:val="23"/>
          <w:szCs w:val="23"/>
        </w:rPr>
        <w:t>HbA1c</w:t>
      </w:r>
    </w:p>
    <w:p w14:paraId="00D4A7A9" w14:textId="77777777" w:rsidR="007F6F24" w:rsidRPr="007F6F24" w:rsidRDefault="007F6F24" w:rsidP="007F6F24">
      <w:pPr>
        <w:numPr>
          <w:ilvl w:val="0"/>
          <w:numId w:val="7"/>
        </w:numPr>
        <w:rPr>
          <w:rFonts w:ascii="Arial" w:hAnsi="Arial" w:cs="Arial"/>
          <w:sz w:val="23"/>
          <w:szCs w:val="23"/>
        </w:rPr>
      </w:pPr>
      <w:r w:rsidRPr="007F6F24">
        <w:rPr>
          <w:rFonts w:ascii="Arial" w:hAnsi="Arial" w:cs="Arial"/>
          <w:sz w:val="23"/>
          <w:szCs w:val="23"/>
        </w:rPr>
        <w:t>Time in range</w:t>
      </w:r>
    </w:p>
    <w:p w14:paraId="7930BEC1" w14:textId="77777777" w:rsidR="007F6F24" w:rsidRPr="007F6F24" w:rsidRDefault="007F6F24" w:rsidP="007F6F24">
      <w:pPr>
        <w:numPr>
          <w:ilvl w:val="0"/>
          <w:numId w:val="7"/>
        </w:numPr>
        <w:rPr>
          <w:rFonts w:ascii="Arial" w:hAnsi="Arial" w:cs="Arial"/>
          <w:sz w:val="23"/>
          <w:szCs w:val="23"/>
        </w:rPr>
      </w:pPr>
      <w:r w:rsidRPr="007F6F24">
        <w:rPr>
          <w:rFonts w:ascii="Arial" w:hAnsi="Arial" w:cs="Arial"/>
          <w:sz w:val="23"/>
          <w:szCs w:val="23"/>
        </w:rPr>
        <w:t>Number of blood glucose testing strips (BGTS) used</w:t>
      </w:r>
    </w:p>
    <w:p w14:paraId="5E12F370" w14:textId="77777777" w:rsidR="007F6F24" w:rsidRPr="007F6F24" w:rsidRDefault="007F6F24" w:rsidP="007F6F24">
      <w:pPr>
        <w:numPr>
          <w:ilvl w:val="0"/>
          <w:numId w:val="7"/>
        </w:numPr>
        <w:rPr>
          <w:rFonts w:ascii="Arial" w:hAnsi="Arial" w:cs="Arial"/>
          <w:sz w:val="23"/>
          <w:szCs w:val="23"/>
        </w:rPr>
      </w:pPr>
      <w:r w:rsidRPr="007F6F24">
        <w:rPr>
          <w:rFonts w:ascii="Arial" w:hAnsi="Arial" w:cs="Arial"/>
          <w:sz w:val="23"/>
          <w:szCs w:val="23"/>
        </w:rPr>
        <w:t>Hospital admissions for diabetes emergencies such as diabetic ketoacidosis (DKA) or severe hypoglycaemia.</w:t>
      </w:r>
    </w:p>
    <w:p w14:paraId="181208B3" w14:textId="77777777" w:rsidR="007F6F24" w:rsidRPr="007F6F24" w:rsidRDefault="007F6F24" w:rsidP="007F6F24">
      <w:pPr>
        <w:numPr>
          <w:ilvl w:val="0"/>
          <w:numId w:val="7"/>
        </w:numPr>
        <w:rPr>
          <w:rFonts w:ascii="Arial" w:hAnsi="Arial" w:cs="Arial"/>
          <w:sz w:val="23"/>
          <w:szCs w:val="23"/>
        </w:rPr>
      </w:pPr>
      <w:r w:rsidRPr="007F6F24">
        <w:rPr>
          <w:rFonts w:ascii="Arial" w:hAnsi="Arial" w:cs="Arial"/>
          <w:sz w:val="23"/>
          <w:szCs w:val="23"/>
        </w:rPr>
        <w:t>Episodes of severe hypoglycaemia which did not result in hospital admission.</w:t>
      </w:r>
    </w:p>
    <w:p w14:paraId="06E47BEB" w14:textId="77777777" w:rsidR="007F6F24" w:rsidRPr="007F6F24" w:rsidRDefault="007F6F24" w:rsidP="007F6F24">
      <w:pPr>
        <w:rPr>
          <w:rFonts w:ascii="Arial" w:hAnsi="Arial" w:cs="Arial"/>
          <w:sz w:val="23"/>
          <w:szCs w:val="23"/>
        </w:rPr>
      </w:pPr>
      <w:r w:rsidRPr="007F6F24">
        <w:rPr>
          <w:rFonts w:ascii="Arial" w:hAnsi="Arial" w:cs="Arial"/>
          <w:sz w:val="23"/>
          <w:szCs w:val="23"/>
        </w:rPr>
        <w:t>We would expect to see an improvement in these indicators in patients on CGM. We would expect to see an improvement in HbA1c, an increase in time spent in range, and a reduction of BGTS used, hospital admissions and episodes of severe hypoglycaemia.</w:t>
      </w:r>
    </w:p>
    <w:p w14:paraId="0672A564" w14:textId="77777777" w:rsidR="007F6F24" w:rsidRPr="007F6F24" w:rsidRDefault="007F6F24" w:rsidP="007F6F24">
      <w:pPr>
        <w:rPr>
          <w:rFonts w:ascii="Arial" w:hAnsi="Arial" w:cs="Arial"/>
          <w:sz w:val="23"/>
          <w:szCs w:val="23"/>
        </w:rPr>
      </w:pPr>
      <w:r w:rsidRPr="007F6F24">
        <w:rPr>
          <w:rFonts w:ascii="Arial" w:hAnsi="Arial" w:cs="Arial"/>
          <w:sz w:val="23"/>
          <w:szCs w:val="23"/>
        </w:rPr>
        <w:t>As per the 2022 NICE guidance regarding addressing inequalities in CGM access and uptake, other actions to be taken include:</w:t>
      </w:r>
    </w:p>
    <w:p w14:paraId="773F9796" w14:textId="77777777" w:rsidR="007F6F24" w:rsidRPr="007F6F24" w:rsidRDefault="007F6F24" w:rsidP="007F6F24">
      <w:pPr>
        <w:numPr>
          <w:ilvl w:val="0"/>
          <w:numId w:val="8"/>
        </w:numPr>
        <w:rPr>
          <w:rFonts w:ascii="Arial" w:hAnsi="Arial" w:cs="Arial"/>
          <w:sz w:val="23"/>
          <w:szCs w:val="23"/>
        </w:rPr>
      </w:pPr>
      <w:r w:rsidRPr="007F6F24">
        <w:rPr>
          <w:rFonts w:ascii="Arial" w:hAnsi="Arial" w:cs="Arial"/>
          <w:sz w:val="23"/>
          <w:szCs w:val="23"/>
        </w:rPr>
        <w:t>Monitoring who is using CGM – age, sex, ethnicity, deprivation</w:t>
      </w:r>
    </w:p>
    <w:p w14:paraId="5DA7406A" w14:textId="77777777" w:rsidR="007F6F24" w:rsidRPr="007F6F24" w:rsidRDefault="007F6F24" w:rsidP="007F6F24">
      <w:pPr>
        <w:numPr>
          <w:ilvl w:val="0"/>
          <w:numId w:val="8"/>
        </w:numPr>
        <w:rPr>
          <w:rFonts w:ascii="Arial" w:hAnsi="Arial" w:cs="Arial"/>
          <w:sz w:val="23"/>
          <w:szCs w:val="23"/>
        </w:rPr>
      </w:pPr>
      <w:r w:rsidRPr="007F6F24">
        <w:rPr>
          <w:rFonts w:ascii="Arial" w:hAnsi="Arial" w:cs="Arial"/>
          <w:sz w:val="23"/>
          <w:szCs w:val="23"/>
        </w:rPr>
        <w:t>Identifying groups who are eligible but have a lower uptake</w:t>
      </w:r>
    </w:p>
    <w:p w14:paraId="745F0423" w14:textId="77777777" w:rsidR="007F6F24" w:rsidRPr="007F6F24" w:rsidRDefault="007F6F24" w:rsidP="007F6F24">
      <w:pPr>
        <w:numPr>
          <w:ilvl w:val="0"/>
          <w:numId w:val="8"/>
        </w:numPr>
        <w:rPr>
          <w:rFonts w:ascii="Arial" w:hAnsi="Arial" w:cs="Arial"/>
          <w:sz w:val="23"/>
          <w:szCs w:val="23"/>
        </w:rPr>
      </w:pPr>
      <w:r w:rsidRPr="007F6F24">
        <w:rPr>
          <w:rFonts w:ascii="Arial" w:hAnsi="Arial" w:cs="Arial"/>
          <w:sz w:val="23"/>
          <w:szCs w:val="23"/>
        </w:rPr>
        <w:t>Making plans to engage with these groups to encourage them to consider CGM. (1) (2)</w:t>
      </w:r>
    </w:p>
    <w:p w14:paraId="7C2EA68D" w14:textId="77777777" w:rsidR="007F6F24" w:rsidRPr="007F6F24" w:rsidRDefault="007F6F24" w:rsidP="007F6F24">
      <w:pPr>
        <w:rPr>
          <w:rFonts w:ascii="Arial" w:hAnsi="Arial" w:cs="Arial"/>
          <w:sz w:val="23"/>
          <w:szCs w:val="23"/>
        </w:rPr>
      </w:pPr>
      <w:r w:rsidRPr="007F6F24">
        <w:rPr>
          <w:rFonts w:ascii="Arial" w:hAnsi="Arial" w:cs="Arial"/>
          <w:sz w:val="23"/>
          <w:szCs w:val="23"/>
        </w:rPr>
        <w:t>There should also be some qualitative data monitoring to capture insights on improvements in quality of life. The data collected using the above indicators and through qualitative methods will be used to evaluate the CGM guidance and to inform decisions and next steps at future guidance review stages.</w:t>
      </w:r>
      <w:r w:rsidRPr="007F6F24">
        <w:rPr>
          <w:rFonts w:ascii="Arial" w:hAnsi="Arial" w:cs="Arial"/>
          <w:sz w:val="23"/>
          <w:szCs w:val="23"/>
        </w:rPr>
        <w:br/>
      </w:r>
    </w:p>
    <w:p w14:paraId="748FD53C" w14:textId="77777777" w:rsidR="00766686" w:rsidRDefault="00766686" w:rsidP="007F6F24">
      <w:pPr>
        <w:rPr>
          <w:rFonts w:ascii="Arial" w:hAnsi="Arial" w:cs="Arial"/>
          <w:b/>
          <w:bCs/>
          <w:sz w:val="23"/>
          <w:szCs w:val="23"/>
        </w:rPr>
      </w:pPr>
    </w:p>
    <w:p w14:paraId="24B86889" w14:textId="60533E74" w:rsidR="007F6F24" w:rsidRPr="007F6F24" w:rsidRDefault="007F6F24" w:rsidP="007F6F24">
      <w:pPr>
        <w:rPr>
          <w:rFonts w:ascii="Arial" w:hAnsi="Arial" w:cs="Arial"/>
          <w:sz w:val="23"/>
          <w:szCs w:val="23"/>
        </w:rPr>
      </w:pPr>
      <w:r w:rsidRPr="007F6F24">
        <w:rPr>
          <w:rFonts w:ascii="Arial" w:hAnsi="Arial" w:cs="Arial"/>
          <w:b/>
          <w:bCs/>
          <w:sz w:val="23"/>
          <w:szCs w:val="23"/>
        </w:rPr>
        <w:lastRenderedPageBreak/>
        <w:t>4. References</w:t>
      </w:r>
    </w:p>
    <w:p w14:paraId="518F063E" w14:textId="77777777" w:rsidR="007F6F24" w:rsidRPr="007F6F24" w:rsidRDefault="007F6F24" w:rsidP="007F6F24">
      <w:pPr>
        <w:rPr>
          <w:rFonts w:ascii="Arial" w:hAnsi="Arial" w:cs="Arial"/>
          <w:sz w:val="23"/>
          <w:szCs w:val="23"/>
        </w:rPr>
      </w:pPr>
      <w:r w:rsidRPr="007F6F24">
        <w:rPr>
          <w:rFonts w:ascii="Arial" w:hAnsi="Arial" w:cs="Arial"/>
          <w:sz w:val="23"/>
          <w:szCs w:val="23"/>
        </w:rPr>
        <w:t>NHSE 2019 Flash guidance</w:t>
      </w:r>
    </w:p>
    <w:p w14:paraId="76EF5462" w14:textId="77777777" w:rsidR="007F6F24" w:rsidRPr="007F6F24" w:rsidRDefault="007F6F24" w:rsidP="007F6F24">
      <w:pPr>
        <w:numPr>
          <w:ilvl w:val="0"/>
          <w:numId w:val="9"/>
        </w:numPr>
        <w:rPr>
          <w:rFonts w:ascii="Arial" w:hAnsi="Arial" w:cs="Arial"/>
          <w:sz w:val="23"/>
          <w:szCs w:val="23"/>
        </w:rPr>
      </w:pPr>
      <w:r w:rsidRPr="007F6F24">
        <w:rPr>
          <w:rFonts w:ascii="Arial" w:hAnsi="Arial" w:cs="Arial"/>
          <w:b/>
          <w:bCs/>
          <w:sz w:val="23"/>
          <w:szCs w:val="23"/>
        </w:rPr>
        <w:t>National Institute for Health and Care Excellence</w:t>
      </w:r>
      <w:r w:rsidRPr="007F6F24">
        <w:rPr>
          <w:rFonts w:ascii="Arial" w:hAnsi="Arial" w:cs="Arial"/>
          <w:sz w:val="23"/>
          <w:szCs w:val="23"/>
        </w:rPr>
        <w:t>. NG18 Diabetes (type 1 and type 2) in children and young people: diagnosis and management. 2022.</w:t>
      </w:r>
    </w:p>
    <w:p w14:paraId="568527F7" w14:textId="77777777" w:rsidR="007F6F24" w:rsidRPr="007F6F24" w:rsidRDefault="007F6F24" w:rsidP="007F6F24">
      <w:pPr>
        <w:numPr>
          <w:ilvl w:val="0"/>
          <w:numId w:val="9"/>
        </w:numPr>
        <w:rPr>
          <w:rFonts w:ascii="Arial" w:hAnsi="Arial" w:cs="Arial"/>
          <w:sz w:val="23"/>
          <w:szCs w:val="23"/>
        </w:rPr>
      </w:pPr>
      <w:r w:rsidRPr="007F6F24">
        <w:rPr>
          <w:rFonts w:ascii="Arial" w:hAnsi="Arial" w:cs="Arial"/>
          <w:b/>
          <w:bCs/>
          <w:sz w:val="23"/>
          <w:szCs w:val="23"/>
        </w:rPr>
        <w:t>National Institute for Health and Care Excellence.</w:t>
      </w:r>
      <w:r w:rsidRPr="007F6F24">
        <w:rPr>
          <w:rFonts w:ascii="Arial" w:hAnsi="Arial" w:cs="Arial"/>
          <w:sz w:val="23"/>
          <w:szCs w:val="23"/>
        </w:rPr>
        <w:t> NG17 Type 1 diabetes in adults: diagnosis and management. 2022.</w:t>
      </w:r>
    </w:p>
    <w:p w14:paraId="4D5B0C04" w14:textId="77777777" w:rsidR="007F6F24" w:rsidRPr="007F6F24" w:rsidRDefault="007F6F24" w:rsidP="007F6F24">
      <w:pPr>
        <w:numPr>
          <w:ilvl w:val="0"/>
          <w:numId w:val="9"/>
        </w:numPr>
        <w:rPr>
          <w:rFonts w:ascii="Arial" w:hAnsi="Arial" w:cs="Arial"/>
          <w:sz w:val="23"/>
          <w:szCs w:val="23"/>
        </w:rPr>
      </w:pPr>
      <w:r w:rsidRPr="007F6F24">
        <w:rPr>
          <w:rFonts w:ascii="Arial" w:hAnsi="Arial" w:cs="Arial"/>
          <w:b/>
          <w:bCs/>
          <w:sz w:val="23"/>
          <w:szCs w:val="23"/>
        </w:rPr>
        <w:t>National Institute for Health and Care Excellence</w:t>
      </w:r>
      <w:r w:rsidRPr="007F6F24">
        <w:rPr>
          <w:rFonts w:ascii="Arial" w:hAnsi="Arial" w:cs="Arial"/>
          <w:sz w:val="23"/>
          <w:szCs w:val="23"/>
        </w:rPr>
        <w:t>. NG28Type 2 diabetes in adults: management. 2022.</w:t>
      </w:r>
    </w:p>
    <w:p w14:paraId="38E8D4C3" w14:textId="77777777" w:rsidR="007F6F24" w:rsidRPr="007F6F24" w:rsidRDefault="007F6F24" w:rsidP="007F6F24">
      <w:pPr>
        <w:numPr>
          <w:ilvl w:val="0"/>
          <w:numId w:val="9"/>
        </w:numPr>
        <w:rPr>
          <w:rFonts w:ascii="Arial" w:hAnsi="Arial" w:cs="Arial"/>
          <w:sz w:val="23"/>
          <w:szCs w:val="23"/>
        </w:rPr>
      </w:pPr>
      <w:r w:rsidRPr="007F6F24">
        <w:rPr>
          <w:rFonts w:ascii="Arial" w:hAnsi="Arial" w:cs="Arial"/>
          <w:b/>
          <w:bCs/>
          <w:sz w:val="23"/>
          <w:szCs w:val="23"/>
        </w:rPr>
        <w:t>Digital, NHS</w:t>
      </w:r>
      <w:r w:rsidRPr="007F6F24">
        <w:rPr>
          <w:rFonts w:ascii="Arial" w:hAnsi="Arial" w:cs="Arial"/>
          <w:sz w:val="23"/>
          <w:szCs w:val="23"/>
        </w:rPr>
        <w:t>. Quality and Outcomes Framework, 2020-21. 30 September 2021.</w:t>
      </w:r>
    </w:p>
    <w:p w14:paraId="5737187A" w14:textId="77777777" w:rsidR="007F6F24" w:rsidRPr="007F6F24" w:rsidRDefault="007F6F24" w:rsidP="007F6F24">
      <w:pPr>
        <w:numPr>
          <w:ilvl w:val="0"/>
          <w:numId w:val="9"/>
        </w:numPr>
        <w:rPr>
          <w:rFonts w:ascii="Arial" w:hAnsi="Arial" w:cs="Arial"/>
          <w:sz w:val="23"/>
          <w:szCs w:val="23"/>
        </w:rPr>
      </w:pPr>
      <w:r w:rsidRPr="007F6F24">
        <w:rPr>
          <w:rFonts w:ascii="Arial" w:hAnsi="Arial" w:cs="Arial"/>
          <w:b/>
          <w:bCs/>
          <w:sz w:val="23"/>
          <w:szCs w:val="23"/>
        </w:rPr>
        <w:t>NHS Digital</w:t>
      </w:r>
      <w:r w:rsidRPr="007F6F24">
        <w:rPr>
          <w:rFonts w:ascii="Arial" w:hAnsi="Arial" w:cs="Arial"/>
          <w:sz w:val="23"/>
          <w:szCs w:val="23"/>
        </w:rPr>
        <w:t>. National Diabetes Audit, 2020-21 Quarterly Report. 2021.</w:t>
      </w:r>
    </w:p>
    <w:p w14:paraId="77B2DFC7" w14:textId="77777777" w:rsidR="007F6F24" w:rsidRPr="007F6F24" w:rsidRDefault="007F6F24" w:rsidP="007F6F24">
      <w:pPr>
        <w:numPr>
          <w:ilvl w:val="0"/>
          <w:numId w:val="9"/>
        </w:numPr>
        <w:rPr>
          <w:rFonts w:ascii="Arial" w:hAnsi="Arial" w:cs="Arial"/>
          <w:sz w:val="23"/>
          <w:szCs w:val="23"/>
        </w:rPr>
      </w:pPr>
      <w:bookmarkStart w:id="7" w:name="_Hlk172625219"/>
      <w:bookmarkEnd w:id="7"/>
      <w:r w:rsidRPr="007F6F24">
        <w:rPr>
          <w:rFonts w:ascii="Arial" w:hAnsi="Arial" w:cs="Arial"/>
          <w:sz w:val="23"/>
          <w:szCs w:val="23"/>
        </w:rPr>
        <w:t>National Institute for Health and Care Excellence. TA943 (2023) Hybrid closed loop systems for managing blood glucose levels in type 1 diabetes</w:t>
      </w:r>
    </w:p>
    <w:p w14:paraId="53FB24EC" w14:textId="77777777" w:rsidR="007F6F24" w:rsidRDefault="007F6F24" w:rsidP="007F6F24">
      <w:pPr>
        <w:rPr>
          <w:rFonts w:ascii="Arial" w:hAnsi="Arial" w:cs="Arial"/>
          <w:b/>
          <w:bCs/>
          <w:sz w:val="23"/>
          <w:szCs w:val="23"/>
        </w:rPr>
      </w:pPr>
    </w:p>
    <w:p w14:paraId="243FBEDE" w14:textId="35ECAED0" w:rsidR="007F6F24" w:rsidRPr="007F6F24" w:rsidRDefault="007F6F24" w:rsidP="007F6F24">
      <w:pPr>
        <w:rPr>
          <w:rFonts w:ascii="Arial" w:hAnsi="Arial" w:cs="Arial"/>
          <w:sz w:val="23"/>
          <w:szCs w:val="23"/>
        </w:rPr>
      </w:pPr>
      <w:r w:rsidRPr="007F6F24">
        <w:rPr>
          <w:rFonts w:ascii="Arial" w:hAnsi="Arial" w:cs="Arial"/>
          <w:b/>
          <w:bCs/>
          <w:sz w:val="23"/>
          <w:szCs w:val="23"/>
        </w:rPr>
        <w:t>5. Associated documentation</w:t>
      </w:r>
    </w:p>
    <w:p w14:paraId="3C8A21F1" w14:textId="77777777" w:rsidR="007F6F24" w:rsidRPr="007F6F24" w:rsidRDefault="007F6F24" w:rsidP="007F6F24">
      <w:pPr>
        <w:numPr>
          <w:ilvl w:val="0"/>
          <w:numId w:val="10"/>
        </w:numPr>
        <w:rPr>
          <w:rFonts w:ascii="Arial" w:hAnsi="Arial" w:cs="Arial"/>
          <w:sz w:val="23"/>
          <w:szCs w:val="23"/>
        </w:rPr>
      </w:pPr>
    </w:p>
    <w:p w14:paraId="1A44E57B" w14:textId="77777777" w:rsidR="007F6F24" w:rsidRPr="007F6F24" w:rsidRDefault="007F6F24" w:rsidP="007F6F24">
      <w:pPr>
        <w:numPr>
          <w:ilvl w:val="0"/>
          <w:numId w:val="10"/>
        </w:numPr>
        <w:rPr>
          <w:rFonts w:ascii="Arial" w:hAnsi="Arial" w:cs="Arial"/>
          <w:sz w:val="23"/>
          <w:szCs w:val="23"/>
        </w:rPr>
      </w:pPr>
      <w:r w:rsidRPr="007F6F24">
        <w:rPr>
          <w:rFonts w:ascii="Arial" w:hAnsi="Arial" w:cs="Arial"/>
          <w:sz w:val="23"/>
          <w:szCs w:val="23"/>
        </w:rPr>
        <w:t>Continuous Glucose Monitoring for paediatrics – Position statement v3.1 (March 2026)</w:t>
      </w:r>
      <w:r w:rsidRPr="007F6F24">
        <w:rPr>
          <w:rFonts w:ascii="Arial" w:hAnsi="Arial" w:cs="Arial"/>
          <w:sz w:val="23"/>
          <w:szCs w:val="23"/>
        </w:rPr>
        <w:br/>
      </w:r>
    </w:p>
    <w:p w14:paraId="60246BBC" w14:textId="77777777" w:rsidR="007F6F24" w:rsidRPr="007F6F24" w:rsidRDefault="007F6F24" w:rsidP="007F6F24">
      <w:pPr>
        <w:numPr>
          <w:ilvl w:val="0"/>
          <w:numId w:val="10"/>
        </w:numPr>
        <w:rPr>
          <w:rFonts w:ascii="Arial" w:hAnsi="Arial" w:cs="Arial"/>
          <w:sz w:val="23"/>
          <w:szCs w:val="23"/>
        </w:rPr>
      </w:pPr>
      <w:bookmarkStart w:id="8" w:name="_Hlk172625251"/>
      <w:r w:rsidRPr="007F6F24">
        <w:rPr>
          <w:rFonts w:ascii="Arial" w:hAnsi="Arial" w:cs="Arial"/>
          <w:sz w:val="23"/>
          <w:szCs w:val="23"/>
        </w:rPr>
        <w:t xml:space="preserve">Insulin Pumps – Position statement v3.1 (March </w:t>
      </w:r>
      <w:proofErr w:type="gramStart"/>
      <w:r w:rsidRPr="007F6F24">
        <w:rPr>
          <w:rFonts w:ascii="Arial" w:hAnsi="Arial" w:cs="Arial"/>
          <w:sz w:val="23"/>
          <w:szCs w:val="23"/>
        </w:rPr>
        <w:t>2026 )</w:t>
      </w:r>
      <w:bookmarkEnd w:id="8"/>
      <w:proofErr w:type="gramEnd"/>
    </w:p>
    <w:p w14:paraId="7045F325" w14:textId="77777777" w:rsidR="007F6F24" w:rsidRPr="007F6F24" w:rsidRDefault="007F6F24" w:rsidP="007F6F24">
      <w:pPr>
        <w:numPr>
          <w:ilvl w:val="0"/>
          <w:numId w:val="10"/>
        </w:numPr>
        <w:rPr>
          <w:rFonts w:ascii="Arial" w:hAnsi="Arial" w:cs="Arial"/>
          <w:sz w:val="23"/>
          <w:szCs w:val="23"/>
        </w:rPr>
      </w:pPr>
      <w:r w:rsidRPr="007F6F24">
        <w:rPr>
          <w:rFonts w:ascii="Arial" w:hAnsi="Arial" w:cs="Arial"/>
          <w:sz w:val="23"/>
          <w:szCs w:val="23"/>
        </w:rPr>
        <w:t>Hybrid Closed Loop Systems for Adults – Local implementation plan v2.2 (March 2026</w:t>
      </w:r>
    </w:p>
    <w:p w14:paraId="468DC934" w14:textId="77777777" w:rsidR="007F6F24" w:rsidRPr="007F6F24" w:rsidRDefault="007F6F24" w:rsidP="007F6F24">
      <w:pPr>
        <w:numPr>
          <w:ilvl w:val="0"/>
          <w:numId w:val="10"/>
        </w:numPr>
        <w:rPr>
          <w:rFonts w:ascii="Arial" w:hAnsi="Arial" w:cs="Arial"/>
          <w:sz w:val="23"/>
          <w:szCs w:val="23"/>
        </w:rPr>
      </w:pPr>
      <w:r w:rsidRPr="007F6F24">
        <w:rPr>
          <w:rFonts w:ascii="Arial" w:hAnsi="Arial" w:cs="Arial"/>
          <w:sz w:val="23"/>
          <w:szCs w:val="23"/>
        </w:rPr>
        <w:t>Hybrid Closed Loop Systems for Children and Young People Position Statement v1.0 (July 2024)</w:t>
      </w:r>
      <w:r w:rsidRPr="007F6F24">
        <w:rPr>
          <w:rFonts w:ascii="Arial" w:hAnsi="Arial" w:cs="Arial"/>
          <w:sz w:val="23"/>
          <w:szCs w:val="23"/>
        </w:rPr>
        <w:br/>
      </w:r>
    </w:p>
    <w:p w14:paraId="486CA5FC" w14:textId="77777777" w:rsidR="007F6F24" w:rsidRPr="007F6F24" w:rsidRDefault="007F6F24" w:rsidP="007F6F24">
      <w:pPr>
        <w:rPr>
          <w:rFonts w:ascii="Arial" w:hAnsi="Arial" w:cs="Arial"/>
          <w:sz w:val="23"/>
          <w:szCs w:val="23"/>
        </w:rPr>
      </w:pPr>
      <w:r w:rsidRPr="007F6F24">
        <w:rPr>
          <w:rFonts w:ascii="Arial" w:hAnsi="Arial" w:cs="Arial"/>
          <w:sz w:val="23"/>
          <w:szCs w:val="23"/>
        </w:rPr>
        <w:t> </w:t>
      </w:r>
      <w:r w:rsidRPr="007F6F24">
        <w:rPr>
          <w:rFonts w:ascii="Arial" w:hAnsi="Arial" w:cs="Arial"/>
          <w:b/>
          <w:bCs/>
          <w:sz w:val="23"/>
          <w:szCs w:val="23"/>
        </w:rPr>
        <w:t>Appendix 1: Key features of standalone CGM available on FP10</w:t>
      </w:r>
      <w:r w:rsidRPr="007F6F24">
        <w:rPr>
          <w:rFonts w:ascii="Arial" w:hAnsi="Arial" w:cs="Arial"/>
          <w:sz w:val="23"/>
          <w:szCs w:val="23"/>
        </w:rPr>
        <w:t> </w:t>
      </w:r>
    </w:p>
    <w:p w14:paraId="0B288313" w14:textId="4CF44A9E" w:rsidR="007F6F24" w:rsidRPr="007F6F24" w:rsidRDefault="007F6F24" w:rsidP="007F6F24">
      <w:pPr>
        <w:rPr>
          <w:rFonts w:ascii="Arial" w:hAnsi="Arial" w:cs="Arial"/>
          <w:sz w:val="23"/>
          <w:szCs w:val="23"/>
        </w:rPr>
      </w:pPr>
      <w:r w:rsidRPr="007F6F24">
        <w:rPr>
          <w:rFonts w:ascii="Arial" w:hAnsi="Arial" w:cs="Arial"/>
          <w:sz w:val="23"/>
          <w:szCs w:val="23"/>
        </w:rPr>
        <w:drawing>
          <wp:inline distT="0" distB="0" distL="0" distR="0" wp14:anchorId="17F3D6C4" wp14:editId="0082E5F6">
            <wp:extent cx="6817572" cy="3924300"/>
            <wp:effectExtent l="0" t="0" r="2540" b="0"/>
            <wp:docPr id="1" name="Picture 2"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white sheet with black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5890" cy="3940600"/>
                    </a:xfrm>
                    <a:prstGeom prst="rect">
                      <a:avLst/>
                    </a:prstGeom>
                    <a:noFill/>
                    <a:ln>
                      <a:noFill/>
                    </a:ln>
                  </pic:spPr>
                </pic:pic>
              </a:graphicData>
            </a:graphic>
          </wp:inline>
        </w:drawing>
      </w:r>
    </w:p>
    <w:p w14:paraId="72B96804" w14:textId="77777777" w:rsidR="007F6F24" w:rsidRDefault="007F6F24" w:rsidP="007F6F24">
      <w:pPr>
        <w:rPr>
          <w:rFonts w:ascii="Arial" w:hAnsi="Arial" w:cs="Arial"/>
          <w:b/>
          <w:bCs/>
          <w:sz w:val="23"/>
          <w:szCs w:val="23"/>
        </w:rPr>
      </w:pPr>
    </w:p>
    <w:p w14:paraId="2C39312B" w14:textId="1164DE47" w:rsidR="007F6F24" w:rsidRPr="007F6F24" w:rsidRDefault="007F6F24" w:rsidP="007F6F24">
      <w:pPr>
        <w:rPr>
          <w:rFonts w:ascii="Arial" w:hAnsi="Arial" w:cs="Arial"/>
          <w:sz w:val="23"/>
          <w:szCs w:val="23"/>
        </w:rPr>
      </w:pPr>
      <w:r w:rsidRPr="007F6F24">
        <w:rPr>
          <w:rFonts w:ascii="Arial" w:hAnsi="Arial" w:cs="Arial"/>
          <w:b/>
          <w:bCs/>
          <w:sz w:val="23"/>
          <w:szCs w:val="23"/>
        </w:rPr>
        <w:t>Appendix 2: Indicative Cost and Functionality of locally available CGM devices (at time of publishing).</w:t>
      </w:r>
    </w:p>
    <w:p w14:paraId="291FFA1E" w14:textId="77777777" w:rsidR="007F6F24" w:rsidRPr="007F6F24" w:rsidRDefault="007F6F24" w:rsidP="007F6F24">
      <w:pPr>
        <w:rPr>
          <w:rFonts w:ascii="Arial" w:hAnsi="Arial" w:cs="Arial"/>
          <w:sz w:val="23"/>
          <w:szCs w:val="23"/>
        </w:rPr>
      </w:pPr>
      <w:r w:rsidRPr="007F6F24">
        <w:rPr>
          <w:rFonts w:ascii="Arial" w:hAnsi="Arial" w:cs="Arial"/>
          <w:sz w:val="23"/>
          <w:szCs w:val="23"/>
        </w:rPr>
        <w:drawing>
          <wp:inline distT="0" distB="0" distL="0" distR="0" wp14:anchorId="38BCD028" wp14:editId="05E8B91F">
            <wp:extent cx="6652260" cy="3249288"/>
            <wp:effectExtent l="0" t="0" r="0" b="8890"/>
            <wp:docPr id="2" name="Picture 2" descr="A white table with green and red check mar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table with green and red check mark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5491" cy="3280173"/>
                    </a:xfrm>
                    <a:prstGeom prst="rect">
                      <a:avLst/>
                    </a:prstGeom>
                    <a:noFill/>
                    <a:ln>
                      <a:noFill/>
                    </a:ln>
                  </pic:spPr>
                </pic:pic>
              </a:graphicData>
            </a:graphic>
          </wp:inline>
        </w:drawing>
      </w:r>
    </w:p>
    <w:p w14:paraId="6384FCC1" w14:textId="77777777" w:rsidR="007F6F24" w:rsidRDefault="007F6F24" w:rsidP="007F6F24">
      <w:pPr>
        <w:rPr>
          <w:rFonts w:ascii="Arial" w:hAnsi="Arial" w:cs="Arial"/>
          <w:b/>
          <w:bCs/>
          <w:sz w:val="23"/>
          <w:szCs w:val="23"/>
        </w:rPr>
      </w:pPr>
    </w:p>
    <w:p w14:paraId="4ACB0CEA" w14:textId="1601F0F1" w:rsidR="007F6F24" w:rsidRPr="007F6F24" w:rsidRDefault="007F6F24" w:rsidP="007F6F24">
      <w:pPr>
        <w:rPr>
          <w:rFonts w:ascii="Arial" w:hAnsi="Arial" w:cs="Arial"/>
          <w:sz w:val="23"/>
          <w:szCs w:val="23"/>
        </w:rPr>
      </w:pPr>
      <w:r w:rsidRPr="007F6F24">
        <w:rPr>
          <w:rFonts w:ascii="Arial" w:hAnsi="Arial" w:cs="Arial"/>
          <w:b/>
          <w:bCs/>
          <w:sz w:val="23"/>
          <w:szCs w:val="23"/>
        </w:rPr>
        <w:t>Appendix 3: Summary of process for initiation and supply of low cost CGM</w:t>
      </w:r>
      <w:r w:rsidRPr="007F6F24">
        <w:rPr>
          <w:rFonts w:ascii="Arial" w:hAnsi="Arial" w:cs="Arial"/>
          <w:sz w:val="23"/>
          <w:szCs w:val="23"/>
        </w:rPr>
        <w:br/>
      </w:r>
      <w:r w:rsidRPr="007F6F24">
        <w:rPr>
          <w:rFonts w:ascii="Arial" w:hAnsi="Arial" w:cs="Arial"/>
          <w:sz w:val="23"/>
          <w:szCs w:val="23"/>
        </w:rPr>
        <w:br/>
      </w:r>
      <w:r w:rsidRPr="007F6F24">
        <w:rPr>
          <w:rFonts w:ascii="Arial" w:hAnsi="Arial" w:cs="Arial"/>
          <w:sz w:val="23"/>
          <w:szCs w:val="23"/>
        </w:rPr>
        <w:drawing>
          <wp:inline distT="0" distB="0" distL="0" distR="0" wp14:anchorId="5BD6440C" wp14:editId="45FD67C3">
            <wp:extent cx="6969760" cy="4775200"/>
            <wp:effectExtent l="0" t="0" r="2540" b="6350"/>
            <wp:docPr id="3"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diagram of a flowchar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9657" cy="4781981"/>
                    </a:xfrm>
                    <a:prstGeom prst="rect">
                      <a:avLst/>
                    </a:prstGeom>
                    <a:noFill/>
                    <a:ln>
                      <a:noFill/>
                    </a:ln>
                  </pic:spPr>
                </pic:pic>
              </a:graphicData>
            </a:graphic>
          </wp:inline>
        </w:drawing>
      </w:r>
      <w:r w:rsidRPr="007F6F24">
        <w:rPr>
          <w:rFonts w:ascii="Arial" w:hAnsi="Arial" w:cs="Arial"/>
          <w:sz w:val="23"/>
          <w:szCs w:val="23"/>
        </w:rPr>
        <w:br/>
      </w:r>
    </w:p>
    <w:p w14:paraId="3B588871" w14:textId="77777777" w:rsidR="007F6F24" w:rsidRDefault="007F6F24" w:rsidP="007F6F24">
      <w:pPr>
        <w:rPr>
          <w:rFonts w:ascii="Arial" w:hAnsi="Arial" w:cs="Arial"/>
          <w:b/>
          <w:bCs/>
          <w:sz w:val="23"/>
          <w:szCs w:val="23"/>
        </w:rPr>
      </w:pPr>
    </w:p>
    <w:p w14:paraId="6ABB59CD" w14:textId="5435C7B9" w:rsidR="007F6F24" w:rsidRPr="007F6F24" w:rsidRDefault="007F6F24" w:rsidP="007F6F24">
      <w:pPr>
        <w:rPr>
          <w:rFonts w:ascii="Arial" w:hAnsi="Arial" w:cs="Arial"/>
          <w:sz w:val="23"/>
          <w:szCs w:val="23"/>
        </w:rPr>
      </w:pPr>
      <w:r w:rsidRPr="007F6F24">
        <w:rPr>
          <w:rFonts w:ascii="Arial" w:hAnsi="Arial" w:cs="Arial"/>
          <w:b/>
          <w:bCs/>
          <w:sz w:val="23"/>
          <w:szCs w:val="23"/>
        </w:rPr>
        <w:t>Appendix 4: Frequently Asked Questions for low cost CGM</w:t>
      </w:r>
    </w:p>
    <w:p w14:paraId="307103C9" w14:textId="77777777" w:rsidR="007F6F24" w:rsidRPr="007F6F24" w:rsidRDefault="007F6F24" w:rsidP="007F6F24">
      <w:pPr>
        <w:rPr>
          <w:rFonts w:ascii="Arial" w:hAnsi="Arial" w:cs="Arial"/>
          <w:sz w:val="23"/>
          <w:szCs w:val="23"/>
        </w:rPr>
      </w:pPr>
      <w:r w:rsidRPr="007F6F24">
        <w:rPr>
          <w:rFonts w:ascii="Arial" w:hAnsi="Arial" w:cs="Arial"/>
          <w:b/>
          <w:bCs/>
          <w:sz w:val="23"/>
          <w:szCs w:val="23"/>
        </w:rPr>
        <w:t>1. Replacing faulty sensors/transmitters or sensors that fall off before they are due to be changed</w:t>
      </w:r>
    </w:p>
    <w:p w14:paraId="7AAB0896" w14:textId="77777777" w:rsidR="007F6F24" w:rsidRPr="007F6F24" w:rsidRDefault="007F6F24" w:rsidP="007F6F24">
      <w:pPr>
        <w:rPr>
          <w:rFonts w:ascii="Arial" w:hAnsi="Arial" w:cs="Arial"/>
          <w:sz w:val="23"/>
          <w:szCs w:val="23"/>
        </w:rPr>
      </w:pPr>
      <w:r w:rsidRPr="007F6F24">
        <w:rPr>
          <w:rFonts w:ascii="Arial" w:hAnsi="Arial" w:cs="Arial"/>
          <w:sz w:val="23"/>
          <w:szCs w:val="23"/>
        </w:rPr>
        <w:t>If the sensor or transmitter is suspected to be defective or if the sensor falls off before it is due to be changed, patients should contact the manufacturer as soon as possible to obtain a replacement (see contact details below). Patients will need to keep the defective sensor/transmitter and follow the instructions given by the representative. </w:t>
      </w:r>
      <w:r w:rsidRPr="007F6F24">
        <w:rPr>
          <w:rFonts w:ascii="Arial" w:hAnsi="Arial" w:cs="Arial"/>
          <w:b/>
          <w:bCs/>
          <w:sz w:val="23"/>
          <w:szCs w:val="23"/>
          <w:u w:val="single"/>
        </w:rPr>
        <w:t>Specialists/GPs should not issue additional prescriptions to replace defective sensors/transmitters or sensors that have fallen off. </w:t>
      </w:r>
      <w:r w:rsidRPr="007F6F24">
        <w:rPr>
          <w:rFonts w:ascii="Arial" w:hAnsi="Arial" w:cs="Arial"/>
          <w:sz w:val="23"/>
          <w:szCs w:val="23"/>
        </w:rPr>
        <w:t> </w:t>
      </w:r>
    </w:p>
    <w:p w14:paraId="0E756924" w14:textId="77777777" w:rsidR="007F6F24" w:rsidRPr="007F6F24" w:rsidRDefault="007F6F24" w:rsidP="007F6F24">
      <w:pPr>
        <w:rPr>
          <w:rFonts w:ascii="Arial" w:hAnsi="Arial" w:cs="Arial"/>
          <w:sz w:val="23"/>
          <w:szCs w:val="23"/>
        </w:rPr>
      </w:pPr>
      <w:r w:rsidRPr="007F6F24">
        <w:rPr>
          <w:rFonts w:ascii="Arial" w:hAnsi="Arial" w:cs="Arial"/>
          <w:sz w:val="23"/>
          <w:szCs w:val="23"/>
        </w:rPr>
        <w:t>Dexcom Technical Support Line</w:t>
      </w:r>
      <w:r w:rsidRPr="007F6F24">
        <w:rPr>
          <w:rFonts w:ascii="Arial" w:hAnsi="Arial" w:cs="Arial"/>
          <w:sz w:val="23"/>
          <w:szCs w:val="23"/>
        </w:rPr>
        <w:br/>
        <w:t>Tel: 0800 031 5763</w:t>
      </w:r>
      <w:r w:rsidRPr="007F6F24">
        <w:rPr>
          <w:rFonts w:ascii="Arial" w:hAnsi="Arial" w:cs="Arial"/>
          <w:sz w:val="23"/>
          <w:szCs w:val="23"/>
        </w:rPr>
        <w:br/>
        <w:t>Details of office opening hours can be found at: </w:t>
      </w:r>
      <w:hyperlink r:id="rId12" w:history="1">
        <w:r w:rsidRPr="007F6F24">
          <w:rPr>
            <w:rStyle w:val="Hyperlink"/>
            <w:rFonts w:ascii="Arial" w:hAnsi="Arial" w:cs="Arial"/>
            <w:sz w:val="23"/>
            <w:szCs w:val="23"/>
          </w:rPr>
          <w:t>https://www.dexcom.com/en-gb/contact-us-direct</w:t>
        </w:r>
      </w:hyperlink>
      <w:r w:rsidRPr="007F6F24">
        <w:rPr>
          <w:rFonts w:ascii="Arial" w:hAnsi="Arial" w:cs="Arial"/>
          <w:sz w:val="23"/>
          <w:szCs w:val="23"/>
        </w:rPr>
        <w:t>  </w:t>
      </w:r>
    </w:p>
    <w:p w14:paraId="494F4D4A" w14:textId="77777777" w:rsidR="007F6F24" w:rsidRPr="007F6F24" w:rsidRDefault="007F6F24" w:rsidP="007F6F24">
      <w:pPr>
        <w:rPr>
          <w:rFonts w:ascii="Arial" w:hAnsi="Arial" w:cs="Arial"/>
          <w:sz w:val="23"/>
          <w:szCs w:val="23"/>
        </w:rPr>
      </w:pPr>
      <w:r w:rsidRPr="007F6F24">
        <w:rPr>
          <w:rFonts w:ascii="Arial" w:hAnsi="Arial" w:cs="Arial"/>
          <w:sz w:val="23"/>
          <w:szCs w:val="23"/>
        </w:rPr>
        <w:t>Abbott Customer Careline</w:t>
      </w:r>
      <w:r w:rsidRPr="007F6F24">
        <w:rPr>
          <w:rFonts w:ascii="Arial" w:hAnsi="Arial" w:cs="Arial"/>
          <w:sz w:val="23"/>
          <w:szCs w:val="23"/>
        </w:rPr>
        <w:br/>
        <w:t>Tel: 0800 170 1177</w:t>
      </w:r>
      <w:r w:rsidRPr="007F6F24">
        <w:rPr>
          <w:rFonts w:ascii="Arial" w:hAnsi="Arial" w:cs="Arial"/>
          <w:sz w:val="23"/>
          <w:szCs w:val="23"/>
        </w:rPr>
        <w:br/>
        <w:t>Details of office opening hours can be found at: </w:t>
      </w:r>
      <w:hyperlink r:id="rId13" w:history="1">
        <w:r w:rsidRPr="007F6F24">
          <w:rPr>
            <w:rStyle w:val="Hyperlink"/>
            <w:rFonts w:ascii="Arial" w:hAnsi="Arial" w:cs="Arial"/>
            <w:sz w:val="23"/>
            <w:szCs w:val="23"/>
          </w:rPr>
          <w:t>https://freestylediabetes.co.uk/contact-us</w:t>
        </w:r>
      </w:hyperlink>
      <w:r w:rsidRPr="007F6F24">
        <w:rPr>
          <w:rFonts w:ascii="Arial" w:hAnsi="Arial" w:cs="Arial"/>
          <w:sz w:val="23"/>
          <w:szCs w:val="23"/>
        </w:rPr>
        <w:t>  </w:t>
      </w:r>
    </w:p>
    <w:p w14:paraId="0254E71A" w14:textId="77777777" w:rsidR="007F6F24" w:rsidRPr="007F6F24" w:rsidRDefault="007F6F24" w:rsidP="007F6F24">
      <w:pPr>
        <w:rPr>
          <w:rFonts w:ascii="Arial" w:hAnsi="Arial" w:cs="Arial"/>
          <w:sz w:val="23"/>
          <w:szCs w:val="23"/>
        </w:rPr>
      </w:pPr>
      <w:r w:rsidRPr="007F6F24">
        <w:rPr>
          <w:rFonts w:ascii="Arial" w:hAnsi="Arial" w:cs="Arial"/>
          <w:sz w:val="23"/>
          <w:szCs w:val="23"/>
        </w:rPr>
        <w:t>Medtronic Product/technical support</w:t>
      </w:r>
      <w:r w:rsidRPr="007F6F24">
        <w:rPr>
          <w:rFonts w:ascii="Arial" w:hAnsi="Arial" w:cs="Arial"/>
          <w:sz w:val="23"/>
          <w:szCs w:val="23"/>
        </w:rPr>
        <w:br/>
        <w:t>Tel: </w:t>
      </w:r>
      <w:hyperlink r:id="rId14" w:history="1">
        <w:r w:rsidRPr="007F6F24">
          <w:rPr>
            <w:rStyle w:val="Hyperlink"/>
            <w:rFonts w:ascii="Arial" w:hAnsi="Arial" w:cs="Arial"/>
            <w:sz w:val="23"/>
            <w:szCs w:val="23"/>
          </w:rPr>
          <w:t>01923205167</w:t>
        </w:r>
        <w:r w:rsidRPr="007F6F24">
          <w:rPr>
            <w:rStyle w:val="Hyperlink"/>
            <w:rFonts w:ascii="Arial" w:hAnsi="Arial" w:cs="Arial"/>
            <w:sz w:val="23"/>
            <w:szCs w:val="23"/>
          </w:rPr>
          <w:br/>
        </w:r>
      </w:hyperlink>
      <w:r w:rsidRPr="007F6F24">
        <w:rPr>
          <w:rFonts w:ascii="Arial" w:hAnsi="Arial" w:cs="Arial"/>
          <w:sz w:val="23"/>
          <w:szCs w:val="23"/>
        </w:rPr>
        <w:t>Support can be provided through their app.</w:t>
      </w:r>
      <w:r w:rsidRPr="007F6F24">
        <w:rPr>
          <w:rFonts w:ascii="Arial" w:hAnsi="Arial" w:cs="Arial"/>
          <w:sz w:val="23"/>
          <w:szCs w:val="23"/>
        </w:rPr>
        <w:br/>
        <w:t>  </w:t>
      </w:r>
    </w:p>
    <w:p w14:paraId="0E329469" w14:textId="77777777" w:rsidR="007F6F24" w:rsidRPr="007F6F24" w:rsidRDefault="007F6F24" w:rsidP="007F6F24">
      <w:pPr>
        <w:rPr>
          <w:rFonts w:ascii="Arial" w:hAnsi="Arial" w:cs="Arial"/>
          <w:sz w:val="23"/>
          <w:szCs w:val="23"/>
        </w:rPr>
      </w:pPr>
      <w:r w:rsidRPr="007F6F24">
        <w:rPr>
          <w:rFonts w:ascii="Arial" w:hAnsi="Arial" w:cs="Arial"/>
          <w:b/>
          <w:bCs/>
          <w:sz w:val="23"/>
          <w:szCs w:val="23"/>
        </w:rPr>
        <w:t>2. Quantities of blood glucose test strips/lancets</w:t>
      </w:r>
      <w:r w:rsidRPr="007F6F24">
        <w:rPr>
          <w:rFonts w:ascii="Arial" w:hAnsi="Arial" w:cs="Arial"/>
          <w:sz w:val="23"/>
          <w:szCs w:val="23"/>
        </w:rPr>
        <w:t>  </w:t>
      </w:r>
    </w:p>
    <w:p w14:paraId="457429F5" w14:textId="77777777" w:rsidR="007F6F24" w:rsidRPr="007F6F24" w:rsidRDefault="007F6F24" w:rsidP="007F6F24">
      <w:pPr>
        <w:rPr>
          <w:rFonts w:ascii="Arial" w:hAnsi="Arial" w:cs="Arial"/>
          <w:sz w:val="23"/>
          <w:szCs w:val="23"/>
        </w:rPr>
      </w:pPr>
      <w:r w:rsidRPr="007F6F24">
        <w:rPr>
          <w:rFonts w:ascii="Arial" w:hAnsi="Arial" w:cs="Arial"/>
          <w:sz w:val="23"/>
          <w:szCs w:val="23"/>
        </w:rPr>
        <w:t>Patients who use CGM still need to take blood glucose measurements, but </w:t>
      </w:r>
      <w:r w:rsidRPr="007F6F24">
        <w:rPr>
          <w:rFonts w:ascii="Arial" w:hAnsi="Arial" w:cs="Arial"/>
          <w:b/>
          <w:bCs/>
          <w:sz w:val="23"/>
          <w:szCs w:val="23"/>
        </w:rPr>
        <w:t>less often.</w:t>
      </w:r>
      <w:r w:rsidRPr="007F6F24">
        <w:rPr>
          <w:rFonts w:ascii="Arial" w:hAnsi="Arial" w:cs="Arial"/>
          <w:sz w:val="23"/>
          <w:szCs w:val="23"/>
        </w:rPr>
        <w:t> Blood glucose monitoring is required to check the accuracy of their CGM device and as a backup when blood glucose levels are changing quickly, or the device stops working. When CGM is commenced, prescribed quantities of blood glucose test strips/lancets should reduce. As per NHS England guidance, patients using a CGM are expected to be provided with 50 blood glucose test strips per month (one box per month), subject to the clinical prescriber’s discretion. Specialists should advise primary care clinicians of the change in quantity of blood glucose strips and primary care should amend the repeat prescriptions (reduction in number of strips).  </w:t>
      </w:r>
    </w:p>
    <w:p w14:paraId="147A741F" w14:textId="77777777" w:rsidR="007F6F24" w:rsidRPr="007F6F24" w:rsidRDefault="007F6F24" w:rsidP="007F6F24">
      <w:pPr>
        <w:rPr>
          <w:rFonts w:ascii="Arial" w:hAnsi="Arial" w:cs="Arial"/>
          <w:sz w:val="23"/>
          <w:szCs w:val="23"/>
        </w:rPr>
      </w:pPr>
      <w:r w:rsidRPr="007F6F24">
        <w:rPr>
          <w:rFonts w:ascii="Arial" w:hAnsi="Arial" w:cs="Arial"/>
          <w:sz w:val="23"/>
          <w:szCs w:val="23"/>
        </w:rPr>
        <w:t>For further information, please see </w:t>
      </w:r>
      <w:hyperlink r:id="rId15" w:history="1">
        <w:r w:rsidRPr="007F6F24">
          <w:rPr>
            <w:rStyle w:val="Hyperlink"/>
            <w:rFonts w:ascii="Arial" w:hAnsi="Arial" w:cs="Arial"/>
            <w:sz w:val="23"/>
            <w:szCs w:val="23"/>
          </w:rPr>
          <w:t>Guidance for Self-monitoring of Blood Glucose (SMBG) in patients with Diabetes Mellitus.</w:t>
        </w:r>
      </w:hyperlink>
      <w:r w:rsidRPr="007F6F24">
        <w:rPr>
          <w:rFonts w:ascii="Arial" w:hAnsi="Arial" w:cs="Arial"/>
          <w:sz w:val="23"/>
          <w:szCs w:val="23"/>
        </w:rPr>
        <w:t> </w:t>
      </w:r>
    </w:p>
    <w:p w14:paraId="38C5941E" w14:textId="77777777" w:rsidR="007F6F24" w:rsidRPr="007F6F24" w:rsidRDefault="007F6F24" w:rsidP="007F6F24">
      <w:pPr>
        <w:rPr>
          <w:rFonts w:ascii="Arial" w:hAnsi="Arial" w:cs="Arial"/>
          <w:sz w:val="23"/>
          <w:szCs w:val="23"/>
        </w:rPr>
      </w:pPr>
      <w:r w:rsidRPr="007F6F24">
        <w:rPr>
          <w:rFonts w:ascii="Arial" w:hAnsi="Arial" w:cs="Arial"/>
          <w:sz w:val="23"/>
          <w:szCs w:val="23"/>
        </w:rPr>
        <w:t> </w:t>
      </w:r>
    </w:p>
    <w:p w14:paraId="0ED007FC" w14:textId="77777777" w:rsidR="007F6F24" w:rsidRPr="007F6F24" w:rsidRDefault="007F6F24" w:rsidP="007F6F24">
      <w:pPr>
        <w:rPr>
          <w:rFonts w:ascii="Arial" w:hAnsi="Arial" w:cs="Arial"/>
          <w:sz w:val="23"/>
          <w:szCs w:val="23"/>
        </w:rPr>
      </w:pPr>
      <w:r w:rsidRPr="007F6F24">
        <w:rPr>
          <w:rFonts w:ascii="Arial" w:hAnsi="Arial" w:cs="Arial"/>
          <w:b/>
          <w:bCs/>
          <w:sz w:val="23"/>
          <w:szCs w:val="23"/>
        </w:rPr>
        <w:t>3. Using CGM to monitor blood glucose levels for the purpose of driving</w:t>
      </w:r>
      <w:r w:rsidRPr="007F6F24">
        <w:rPr>
          <w:rFonts w:ascii="Arial" w:hAnsi="Arial" w:cs="Arial"/>
          <w:sz w:val="23"/>
          <w:szCs w:val="23"/>
        </w:rPr>
        <w:t>  </w:t>
      </w:r>
    </w:p>
    <w:p w14:paraId="5DCF1427" w14:textId="77777777" w:rsidR="007F6F24" w:rsidRPr="007F6F24" w:rsidRDefault="007F6F24" w:rsidP="007F6F24">
      <w:pPr>
        <w:rPr>
          <w:rFonts w:ascii="Arial" w:hAnsi="Arial" w:cs="Arial"/>
          <w:sz w:val="23"/>
          <w:szCs w:val="23"/>
        </w:rPr>
      </w:pPr>
      <w:r w:rsidRPr="007F6F24">
        <w:rPr>
          <w:rFonts w:ascii="Arial" w:hAnsi="Arial" w:cs="Arial"/>
          <w:sz w:val="23"/>
          <w:szCs w:val="23"/>
        </w:rPr>
        <w:t>The Driver and Vehicle Licensing Agency (DVLA) has published guidance relating to the use of CGM to monitor blood glucose levels for the purpose of driving – click </w:t>
      </w:r>
      <w:hyperlink r:id="rId16" w:history="1">
        <w:r w:rsidRPr="007F6F24">
          <w:rPr>
            <w:rStyle w:val="Hyperlink"/>
            <w:rFonts w:ascii="Arial" w:hAnsi="Arial" w:cs="Arial"/>
            <w:sz w:val="23"/>
            <w:szCs w:val="23"/>
          </w:rPr>
          <w:t>here</w:t>
        </w:r>
      </w:hyperlink>
      <w:r w:rsidRPr="007F6F24">
        <w:rPr>
          <w:rFonts w:ascii="Arial" w:hAnsi="Arial" w:cs="Arial"/>
          <w:sz w:val="23"/>
          <w:szCs w:val="23"/>
        </w:rPr>
        <w:t> to access the guidance</w:t>
      </w:r>
    </w:p>
    <w:p w14:paraId="6C45128D" w14:textId="77777777" w:rsidR="007F6F24" w:rsidRPr="007F6F24" w:rsidRDefault="007F6F24" w:rsidP="007F6F24">
      <w:pPr>
        <w:rPr>
          <w:rFonts w:ascii="Arial" w:hAnsi="Arial" w:cs="Arial"/>
          <w:sz w:val="23"/>
          <w:szCs w:val="23"/>
        </w:rPr>
      </w:pPr>
      <w:r w:rsidRPr="007F6F24">
        <w:rPr>
          <w:rFonts w:ascii="Arial" w:hAnsi="Arial" w:cs="Arial"/>
          <w:sz w:val="23"/>
          <w:szCs w:val="23"/>
        </w:rPr>
        <w:t>Version control</w:t>
      </w:r>
    </w:p>
    <w:p w14:paraId="30E5AB20" w14:textId="77777777" w:rsidR="007F6F24" w:rsidRPr="007F6F24" w:rsidRDefault="007F6F24" w:rsidP="007F6F24">
      <w:pPr>
        <w:rPr>
          <w:rFonts w:ascii="Arial" w:hAnsi="Arial" w:cs="Arial"/>
          <w:sz w:val="23"/>
          <w:szCs w:val="23"/>
        </w:rPr>
      </w:pPr>
      <w:r w:rsidRPr="007F6F24">
        <w:rPr>
          <w:rFonts w:ascii="Arial" w:hAnsi="Arial" w:cs="Arial"/>
          <w:sz w:val="23"/>
          <w:szCs w:val="23"/>
        </w:rPr>
        <w:t xml:space="preserve">V3.1 March 2026: Following review by HWE ICB Diabetes Technology Group document type designated as Position statement and removal of references to policy. </w:t>
      </w:r>
    </w:p>
    <w:p w14:paraId="75E2C6DC" w14:textId="77777777" w:rsidR="007F6F24" w:rsidRPr="007F6F24" w:rsidRDefault="007F6F24" w:rsidP="007F6F24"/>
    <w:p w14:paraId="7E3D22EB" w14:textId="77777777" w:rsidR="00691678" w:rsidRDefault="00691678"/>
    <w:sectPr w:rsidR="00691678" w:rsidSect="007F6F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68DC" w14:textId="77777777" w:rsidR="008D24F5" w:rsidRDefault="008D24F5" w:rsidP="007F6F24">
      <w:pPr>
        <w:spacing w:after="0" w:line="240" w:lineRule="auto"/>
      </w:pPr>
      <w:r>
        <w:separator/>
      </w:r>
    </w:p>
  </w:endnote>
  <w:endnote w:type="continuationSeparator" w:id="0">
    <w:p w14:paraId="233D86A0" w14:textId="77777777" w:rsidR="008D24F5" w:rsidRDefault="008D24F5" w:rsidP="007F6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991A3" w14:textId="77777777" w:rsidR="008D24F5" w:rsidRDefault="008D24F5" w:rsidP="007F6F24">
      <w:pPr>
        <w:spacing w:after="0" w:line="240" w:lineRule="auto"/>
      </w:pPr>
      <w:r>
        <w:separator/>
      </w:r>
    </w:p>
  </w:footnote>
  <w:footnote w:type="continuationSeparator" w:id="0">
    <w:p w14:paraId="142DC591" w14:textId="77777777" w:rsidR="008D24F5" w:rsidRDefault="008D24F5" w:rsidP="007F6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2DE8"/>
    <w:multiLevelType w:val="multilevel"/>
    <w:tmpl w:val="C376F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16B0B"/>
    <w:multiLevelType w:val="multilevel"/>
    <w:tmpl w:val="B5AE6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F1517"/>
    <w:multiLevelType w:val="multilevel"/>
    <w:tmpl w:val="7C02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95DDD"/>
    <w:multiLevelType w:val="multilevel"/>
    <w:tmpl w:val="6E16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54DF7"/>
    <w:multiLevelType w:val="multilevel"/>
    <w:tmpl w:val="9F3C4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FD7450"/>
    <w:multiLevelType w:val="multilevel"/>
    <w:tmpl w:val="FE82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A53972"/>
    <w:multiLevelType w:val="multilevel"/>
    <w:tmpl w:val="2356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875BA4"/>
    <w:multiLevelType w:val="multilevel"/>
    <w:tmpl w:val="CC38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D45670"/>
    <w:multiLevelType w:val="multilevel"/>
    <w:tmpl w:val="BDCA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3E7297"/>
    <w:multiLevelType w:val="multilevel"/>
    <w:tmpl w:val="B6D8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2580155">
    <w:abstractNumId w:val="0"/>
  </w:num>
  <w:num w:numId="2" w16cid:durableId="216280279">
    <w:abstractNumId w:val="2"/>
  </w:num>
  <w:num w:numId="3" w16cid:durableId="1187253146">
    <w:abstractNumId w:val="9"/>
  </w:num>
  <w:num w:numId="4" w16cid:durableId="971246815">
    <w:abstractNumId w:val="6"/>
  </w:num>
  <w:num w:numId="5" w16cid:durableId="1583837597">
    <w:abstractNumId w:val="8"/>
  </w:num>
  <w:num w:numId="6" w16cid:durableId="662127703">
    <w:abstractNumId w:val="1"/>
  </w:num>
  <w:num w:numId="7" w16cid:durableId="609970360">
    <w:abstractNumId w:val="5"/>
  </w:num>
  <w:num w:numId="8" w16cid:durableId="607397944">
    <w:abstractNumId w:val="3"/>
  </w:num>
  <w:num w:numId="9" w16cid:durableId="114565184">
    <w:abstractNumId w:val="4"/>
  </w:num>
  <w:num w:numId="10" w16cid:durableId="19585629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F24"/>
    <w:rsid w:val="002257A8"/>
    <w:rsid w:val="005430E7"/>
    <w:rsid w:val="005F0F1D"/>
    <w:rsid w:val="00691678"/>
    <w:rsid w:val="00766686"/>
    <w:rsid w:val="007F6F24"/>
    <w:rsid w:val="008D24F5"/>
    <w:rsid w:val="00A716E9"/>
    <w:rsid w:val="00F22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BD222"/>
  <w15:chartTrackingRefBased/>
  <w15:docId w15:val="{4EEED855-CE8C-46C9-8648-CA6D6FE0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6F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6F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F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6F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F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F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F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F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F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F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F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F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F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F24"/>
    <w:rPr>
      <w:rFonts w:eastAsiaTheme="majorEastAsia" w:cstheme="majorBidi"/>
      <w:color w:val="272727" w:themeColor="text1" w:themeTint="D8"/>
    </w:rPr>
  </w:style>
  <w:style w:type="paragraph" w:styleId="Title">
    <w:name w:val="Title"/>
    <w:basedOn w:val="Normal"/>
    <w:next w:val="Normal"/>
    <w:link w:val="TitleChar"/>
    <w:uiPriority w:val="10"/>
    <w:qFormat/>
    <w:rsid w:val="007F6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6F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F24"/>
    <w:pPr>
      <w:spacing w:before="160"/>
      <w:jc w:val="center"/>
    </w:pPr>
    <w:rPr>
      <w:i/>
      <w:iCs/>
      <w:color w:val="404040" w:themeColor="text1" w:themeTint="BF"/>
    </w:rPr>
  </w:style>
  <w:style w:type="character" w:customStyle="1" w:styleId="QuoteChar">
    <w:name w:val="Quote Char"/>
    <w:basedOn w:val="DefaultParagraphFont"/>
    <w:link w:val="Quote"/>
    <w:uiPriority w:val="29"/>
    <w:rsid w:val="007F6F24"/>
    <w:rPr>
      <w:i/>
      <w:iCs/>
      <w:color w:val="404040" w:themeColor="text1" w:themeTint="BF"/>
    </w:rPr>
  </w:style>
  <w:style w:type="paragraph" w:styleId="ListParagraph">
    <w:name w:val="List Paragraph"/>
    <w:basedOn w:val="Normal"/>
    <w:uiPriority w:val="34"/>
    <w:qFormat/>
    <w:rsid w:val="007F6F24"/>
    <w:pPr>
      <w:ind w:left="720"/>
      <w:contextualSpacing/>
    </w:pPr>
  </w:style>
  <w:style w:type="character" w:styleId="IntenseEmphasis">
    <w:name w:val="Intense Emphasis"/>
    <w:basedOn w:val="DefaultParagraphFont"/>
    <w:uiPriority w:val="21"/>
    <w:qFormat/>
    <w:rsid w:val="007F6F24"/>
    <w:rPr>
      <w:i/>
      <w:iCs/>
      <w:color w:val="0F4761" w:themeColor="accent1" w:themeShade="BF"/>
    </w:rPr>
  </w:style>
  <w:style w:type="paragraph" w:styleId="IntenseQuote">
    <w:name w:val="Intense Quote"/>
    <w:basedOn w:val="Normal"/>
    <w:next w:val="Normal"/>
    <w:link w:val="IntenseQuoteChar"/>
    <w:uiPriority w:val="30"/>
    <w:qFormat/>
    <w:rsid w:val="007F6F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F24"/>
    <w:rPr>
      <w:i/>
      <w:iCs/>
      <w:color w:val="0F4761" w:themeColor="accent1" w:themeShade="BF"/>
    </w:rPr>
  </w:style>
  <w:style w:type="character" w:styleId="IntenseReference">
    <w:name w:val="Intense Reference"/>
    <w:basedOn w:val="DefaultParagraphFont"/>
    <w:uiPriority w:val="32"/>
    <w:qFormat/>
    <w:rsid w:val="007F6F24"/>
    <w:rPr>
      <w:b/>
      <w:bCs/>
      <w:smallCaps/>
      <w:color w:val="0F4761" w:themeColor="accent1" w:themeShade="BF"/>
      <w:spacing w:val="5"/>
    </w:rPr>
  </w:style>
  <w:style w:type="character" w:styleId="Hyperlink">
    <w:name w:val="Hyperlink"/>
    <w:basedOn w:val="DefaultParagraphFont"/>
    <w:uiPriority w:val="99"/>
    <w:unhideWhenUsed/>
    <w:rsid w:val="007F6F24"/>
    <w:rPr>
      <w:color w:val="467886" w:themeColor="hyperlink"/>
      <w:u w:val="single"/>
    </w:rPr>
  </w:style>
  <w:style w:type="character" w:styleId="UnresolvedMention">
    <w:name w:val="Unresolved Mention"/>
    <w:basedOn w:val="DefaultParagraphFont"/>
    <w:uiPriority w:val="99"/>
    <w:semiHidden/>
    <w:unhideWhenUsed/>
    <w:rsid w:val="007F6F24"/>
    <w:rPr>
      <w:color w:val="605E5C"/>
      <w:shd w:val="clear" w:color="auto" w:fill="E1DFDD"/>
    </w:rPr>
  </w:style>
  <w:style w:type="paragraph" w:styleId="EndnoteText">
    <w:name w:val="endnote text"/>
    <w:basedOn w:val="Normal"/>
    <w:link w:val="EndnoteTextChar"/>
    <w:uiPriority w:val="99"/>
    <w:semiHidden/>
    <w:unhideWhenUsed/>
    <w:rsid w:val="007F6F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6F24"/>
    <w:rPr>
      <w:sz w:val="20"/>
      <w:szCs w:val="20"/>
    </w:rPr>
  </w:style>
  <w:style w:type="character" w:styleId="EndnoteReference">
    <w:name w:val="endnote reference"/>
    <w:basedOn w:val="DefaultParagraphFont"/>
    <w:uiPriority w:val="99"/>
    <w:semiHidden/>
    <w:unhideWhenUsed/>
    <w:rsid w:val="007F6F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diabetes.co.uk%2Fvat-exemption.html&amp;data=05%7C02%7Cbijal.pankhania%40nhs.net%7Cb2abd19402924dc6779e08de0fee1e2f%7C37c354b285b047f5b22207b48d774ee3%7C0%7C0%7C638965712540056022%7CUnknown%7CTWFpbGZsb3d8eyJFbXB0eU1hcGkiOnRydWUsIlYiOiIwLjAuMDAwMCIsIlAiOiJXaW4zMiIsIkFOIjoiTWFpbCIsIldUIjoyfQ%3D%3D%7C0%7C%7C%7C&amp;sdata=EEnireQVdGLdyLWY0%2BQCbpuGmetaohe8udqCqzQh28k%3D&amp;reserved=0" TargetMode="External"/><Relationship Id="rId13" Type="http://schemas.openxmlformats.org/officeDocument/2006/relationships/hyperlink" Target="https://gbr01.safelinks.protection.outlook.com/?url=https%3A%2F%2Ffreestylediabetes.co.uk%2Fcontact-us&amp;data=05%7C02%7Cmihirvaria%40nhs.net%7C1712c8b535f441c3195f08dcabc81e70%7C37c354b285b047f5b22207b48d774ee3%7C0%7C0%7C638574123224320225%7CUnknown%7CTWFpbGZsb3d8eyJWIjoiMC4wLjAwMDAiLCJQIjoiV2luMzIiLCJBTiI6Ik1haWwiLCJXVCI6Mn0%3D%7C0%7C%7C%7C&amp;sdata=CftwPJSJBiDdN27hkAHuZcUKOnBQNkwj8o9SbdZXOPg%3D&amp;reserved=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br01.safelinks.protection.outlook.com/?url=https%3A%2F%2Fwww.dexcom.com%2Fen-gb%2Fcontact-us-direct&amp;data=05%7C02%7Cmihirvaria%40nhs.net%7C1712c8b535f441c3195f08dcabc81e70%7C37c354b285b047f5b22207b48d774ee3%7C0%7C0%7C638574123224306130%7CUnknown%7CTWFpbGZsb3d8eyJWIjoiMC4wLjAwMDAiLCJQIjoiV2luMzIiLCJBTiI6Ik1haWwiLCJXVCI6Mn0%3D%7C0%7C%7C%7C&amp;sdata=U0%2Fx%2BRzIPH8CQbjEduSg64yWV20%2BBiKdsC1poK%2B5V9w%3D&amp;reserve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br01.safelinks.protection.outlook.com/?url=https%3A%2F%2Fwww.gov.uk%2Fguidance%2Fdiabetes-mellitus-assessing-fitness-to-drive&amp;data=05%7C02%7Cmihirvaria%40nhs.net%7C1712c8b535f441c3195f08dcabc81e70%7C37c354b285b047f5b22207b48d774ee3%7C0%7C0%7C638574123224329964%7CUnknown%7CTWFpbGZsb3d8eyJWIjoiMC4wLjAwMDAiLCJQIjoiV2luMzIiLCJBTiI6Ik1haWwiLCJXVCI6Mn0%3D%7C0%7C%7C%7C&amp;sdata=vwueJecK8ZJ7nDNL22i%2FS5AnUGe3gI5%2B0mH8ROl8GSk%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gbr01.safelinks.protection.outlook.com/?url=https%3A%2F%2Fwww.hweclinicalguidance.nhs.uk%2Fall-clinical-areas-documents%2Fdownload%3Fcid%3D3390%26checksum%3D8ed36a8485e30937b99c0d247e9c3832&amp;data=05%7C02%7Cmelanie.skerry%40nhs.net%7C0a226478c8fe4d50bd0908dce12d52d4%7C37c354b285b047f5b22207b48d774ee3%7C0%7C0%7C638632831971950648%7CUnknown%7CTWFpbGZsb3d8eyJWIjoiMC4wLjAwMDAiLCJQIjoiV2luMzIiLCJBTiI6Ik1haWwiLCJXVCI6Mn0%3D%7C0%7C%7C%7C&amp;sdata=Ew2VldGBhBEjV%2BnTx8KimNZD7IOnggvCyOQHsdOvCTA%3D&amp;reserved=0"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tel:01923205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53D3D-591A-4B78-98D0-A27B6B896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2880</Words>
  <Characters>16416</Characters>
  <Application>Microsoft Office Word</Application>
  <DocSecurity>0</DocSecurity>
  <Lines>136</Lines>
  <Paragraphs>38</Paragraphs>
  <ScaleCrop>false</ScaleCrop>
  <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FERRY, Lillie (NHS HERTFORDSHIRE AND WEST ESSEX ICB - 06K)</dc:creator>
  <cp:keywords/>
  <dc:description/>
  <cp:lastModifiedBy>FERRY, Lillie (NHS HERTFORDSHIRE AND WEST ESSEX ICB - 06K)</cp:lastModifiedBy>
  <cp:revision>2</cp:revision>
  <dcterms:created xsi:type="dcterms:W3CDTF">2026-03-30T09:50:00Z</dcterms:created>
  <dcterms:modified xsi:type="dcterms:W3CDTF">2026-03-30T09:57:00Z</dcterms:modified>
</cp:coreProperties>
</file>